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Anh Tran Group/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|—/01_Phase_1_Context_and_Scope/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|——ISMS_Scope_Statement.docx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|——Context_Analysis.xlsx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|——Interested_Parties.xlsx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|—/02_Phase_2_Risk_Assessment/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|——Information_Security_Policy.docx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|——Asset_Register.xlsx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|——Risk_Assessment_Report.xlsx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|—/03_Phase_3_Controls_and_SoA/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|——Risk_Treatment_Plan.docx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|——Statement_of_Applicability.xlsx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|——Control_Selection_Rationale.docx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|—/04_Phase_4_Documentation/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|——/Security_Procedures/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|————Access_Control_Procedure.docx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|————Data_Classification_Procedure.docx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|————Incident_Response_Procedure.docx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|————Vulnerability_Management_Procedure.docx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|——RACI_Matrix.xlsx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|—/05_Phase_5_Monitoring_Audit/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|——Internal_Audit_Plan.docx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|——Audit_Checklist.xlsx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|——ISMS_KPI_Dashboard.xlsx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|—/Reference_Materials/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|——ISO_27001_Summary.pdf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|——Annex_A_Controls_List.xlsx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|—/Templates/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|——Access_Control_Audit_Checklist_Template.xlsx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|——Asset_Register_Template.xlsx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|——Context_Analysis_Template.xlsx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|——Interested_Parties_Template.xlsx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|——ISMS_KPI_Dashboard_Template.xlsx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|——RACI_Matrix_Template.xlsx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|——Risk_Assessment_Report_Template.xlsx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|——Statement_of_Applicability_Template.xlsx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|—Document_Structure.docx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4tWlvf+PcX21/tW6BAVCQu5bpg==">CgMxLjA4AHIhMTlIX2dMclg1QjVJZGZQWDA2WmNucW9PR0dZemg2UDYw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