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Anh Tran Group/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|—/01_Phase_1_Context_and_Scope/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|——ISMS_Scope_Statement.docx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|——Context_Analysis.xlsx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|——Interested_Parties.xlsx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|—/02_Phase_2_Risk_Assessment/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|——Information_Security_Policy.docx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|——Asset_Register.xlsx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|——Risk_Assessment_Report.xlsx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|—/03_Phase_3_Controls_and_SoA/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|——Risk_Treatment_Plan.docx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|——Statement_of_Applicability.xlsx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|——Control_Selection_Rationale.docx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|—/04_Phase_4_Documentation/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|——/Security_Procedures/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|————Access_Control_Procedure.docx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|————Data_Classification_Procedure.docx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|————Incident_Response_Procedure.docx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|————Vulnerability_Management_Procedure.docx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|——RACI_Matrix.xlsx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|—/05_Phase_5_Monitoring_Audit/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|——Internal_Audit_Plan.docx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|——Audit_Checklist.xlsx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|——ISMS_KPI_Dashboard.xlsx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|—/Reference_Materials/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|——ISO_27001_Summary.pdf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|——Annex_A_Controls_List.xlsx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|—/Templates/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|— Document_Structure.docx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