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6"/>
        </w:rPr>
        <w:t>JIMMY CHAMBERLIN</w:t>
      </w:r>
    </w:p>
    <w:p>
      <w:pPr>
        <w:spacing w:after="40"/>
        <w:jc w:val="center"/>
      </w:pPr>
      <w:r>
        <w:rPr>
          <w:rFonts w:ascii="Calibri" w:hAnsi="Calibri"/>
          <w:color w:val="2B6CB0"/>
          <w:sz w:val="21"/>
        </w:rPr>
        <w:t>Operations Architect  |  Process Automation &amp; Systems Integration</w:t>
      </w:r>
    </w:p>
    <w:p>
      <w:pPr>
        <w:spacing w:after="0"/>
        <w:jc w:val="center"/>
      </w:pPr>
      <w:r>
        <w:rPr>
          <w:rFonts w:ascii="Calibri" w:hAnsi="Calibri"/>
          <w:color w:val="444444"/>
          <w:sz w:val="18"/>
        </w:rPr>
        <w:t>jimchamberlin7@gmail.com  |  517-936-1032  |  linkedin.com/in/chamberlin-ops  |  Michigan</w:t>
      </w:r>
    </w:p>
    <w:p>
      <w:pPr>
        <w:spacing w:before="160" w:after="40"/>
        <w:pBdr>
          <w:bottom w:val="single" w:sz="4" w:space="1" w:color="1a568b"/>
        </w:pBdr>
      </w:pPr>
      <w:r>
        <w:rPr>
          <w:rFonts w:ascii="Calibri" w:hAnsi="Calibri"/>
          <w:b/>
          <w:color w:val="1A568B"/>
          <w:sz w:val="21"/>
        </w:rPr>
        <w:t>PROFESSIONAL SUMMARY</w:t>
      </w:r>
    </w:p>
    <w:p>
      <w:pPr>
        <w:spacing w:after="40"/>
      </w:pPr>
      <w:r>
        <w:rPr>
          <w:rFonts w:ascii="Calibri" w:hAnsi="Calibri"/>
          <w:sz w:val="19"/>
        </w:rPr>
        <w:t>Operations architect with 16+ years building self-sustaining systems across four industries — legal, logistics, food &amp; beverage, and IT infrastructure. I take fragmented manual processes and convert them into documented, automated, compliance-enforced workflows that run without constant oversight. Proven results: built a freight brokerage from zero (FMCSA MC-2979), ran solo legal operations for a 7-practice law firm, drove 71% revenue growth through financial modeling, and automated 300+ workstation deployments. Now focused on bridging deep operational expertise with modern automation tooling — leveraging scripting, systems integration, and AI-enabled platforms to eliminate manual touchpoints and surface data-driven decisions. Targeting roles where operations leadership meets technology-enabled transformation.</w:t>
      </w:r>
    </w:p>
    <w:p>
      <w:pPr>
        <w:spacing w:before="160" w:after="40"/>
        <w:pBdr>
          <w:bottom w:val="single" w:sz="4" w:space="1" w:color="1a568b"/>
        </w:pBdr>
      </w:pPr>
      <w:r>
        <w:rPr>
          <w:rFonts w:ascii="Calibri" w:hAnsi="Calibri"/>
          <w:b/>
          <w:color w:val="1A568B"/>
          <w:sz w:val="21"/>
        </w:rPr>
        <w:t>CORE COMPETENCIES</w:t>
      </w:r>
    </w:p>
    <w:p>
      <w:pPr>
        <w:spacing w:after="40"/>
      </w:pPr>
      <w:r>
        <w:rPr>
          <w:rFonts w:ascii="Calibri" w:hAnsi="Calibri"/>
          <w:sz w:val="18"/>
        </w:rPr>
        <w:t>Operations Strategy &amp; Execution  |  P&amp;L Management &amp; Financial Modeling  |  Process Automation &amp; Workflow Design  |  Systems Integration &amp; Tool-Stack Architecture  |  KPI Development &amp; Performance Dashboards  |  Cross-Functional Team Leadership  |  Vendor &amp; Carrier Management  |  Supply Chain &amp; Logistics Operations  |  SOP Development &amp; Knowledge Transfer  |  Regulatory Compliance (FMCSA, DoD, MLCC)  |  TMS / ERP / CMS Integration  |  Data-Driven Decision Systems  |  Contract Negotiation  |  Stakeholder Communication &amp; Executive Reporting</w:t>
      </w:r>
    </w:p>
    <w:p>
      <w:pPr>
        <w:spacing w:before="160" w:after="40"/>
        <w:pBdr>
          <w:bottom w:val="single" w:sz="4" w:space="1" w:color="1a568b"/>
        </w:pBdr>
      </w:pPr>
      <w:r>
        <w:rPr>
          <w:rFonts w:ascii="Calibri" w:hAnsi="Calibri"/>
          <w:b/>
          <w:color w:val="1A568B"/>
          <w:sz w:val="21"/>
        </w:rPr>
        <w:t>PROFESSIONAL EXPERIENCE</w:t>
      </w:r>
    </w:p>
    <w:p>
      <w:pPr>
        <w:spacing w:before="100" w:after="0"/>
      </w:pPr>
      <w:r>
        <w:rPr>
          <w:rFonts w:ascii="Calibri" w:hAnsi="Calibri"/>
          <w:b/>
          <w:sz w:val="21"/>
        </w:rPr>
        <w:t>Legal Operations Manager &amp; Systems Architect</w:t>
      </w:r>
      <w:r>
        <w:rPr>
          <w:sz w:val="20"/>
        </w:rPr>
        <w:t xml:space="preserve">  |  Kyser Law, PLC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Jan 2021 – Sep 2025</w:t>
      </w:r>
      <w:r>
        <w:rPr>
          <w:rFonts w:ascii="Calibri" w:hAnsi="Calibri"/>
          <w:color w:val="777777"/>
          <w:sz w:val="18"/>
        </w:rPr>
        <w:t xml:space="preserve">  |  40 hrs/wk | Supervisor: Eric Kyser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Ran complete legal back-office solo across 7+ practice areas (estate planning, probate, family law, LLC formations, evictions, adoptions) — integrated PracticePanther CMS, LawPay billing, MiFILE e-filing, and Google Workspace into unified workflow; reduced administrative overhead ~40% and eliminated double-entry across all systems.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Designed automated document preparation pipeline with template libraries and conditional logic — cut case file setup from hours to minutes; maintained 100% Michigan court filing compliance across 4.5 years with zero rejected filings.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Managed full client lifecycle: deployed secure client portal, automated ACH payment reconciliation via LawPay, authored SOPs that sustained operations through multiple staff transitions with zero service disruption. Served as Michigan Notary Public throughout tenure.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Built workflow diagrams, checklists, and process documentation for complex multi-step legal procedures based on Michigan Court Rules (MCR) and Michigan Compiled Laws (MCL) — reducing procedural errors and standardizing firm-wide practices.</w:t>
      </w:r>
    </w:p>
    <w:p>
      <w:pPr>
        <w:spacing w:before="100" w:after="0"/>
      </w:pPr>
      <w:r>
        <w:rPr>
          <w:rFonts w:ascii="Calibri" w:hAnsi="Calibri"/>
          <w:b/>
          <w:sz w:val="21"/>
        </w:rPr>
        <w:t>Logistics Operations Manager — Freight Brokerage &amp; Fleet Compliance</w:t>
      </w:r>
      <w:r>
        <w:rPr>
          <w:sz w:val="20"/>
        </w:rPr>
        <w:t xml:space="preserve">  |  J&amp;J Freight Logistics, LLC (subsidiary of J&amp;J Auto Express, LLC)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Feb 2017 – Mar 2020</w:t>
      </w:r>
      <w:r>
        <w:rPr>
          <w:rFonts w:ascii="Calibri" w:hAnsi="Calibri"/>
          <w:color w:val="777777"/>
          <w:sz w:val="18"/>
        </w:rPr>
        <w:t xml:space="preserve">  |  40+ hrs/wk | Supervisor: Jordon Tew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Built licensed freight brokerage from zero: secured FMCSA MC-2979 authority, deployed VehicHaul TMS (migrated from AscendTMS eliminating double-entry bottleneck), and engineered carrier onboarding with automated ePOD enforcement — 3 years with zero FMCSA enforcement actions.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Achieved 100% fleet ELD compliance ahead of Dec 2017 federal mandate — deployed Samsung Tab A fleet with BigRoad DashLink ELD + Samsung Knox MDM for remote policy enforcement across distributed driver network.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Qualified company as SDDC DoD Certified Carrier; managed ACE/ACI cross-border eManifest; grew carrier network from single-customer dependency to multi-carrier brokerage. Reconciled 2,561 carrier invoices through automated Excel ledger with systematic discrepancy detection.</w:t>
      </w:r>
    </w:p>
    <w:p>
      <w:pPr>
        <w:spacing w:before="100" w:after="0"/>
      </w:pPr>
      <w:r>
        <w:rPr>
          <w:rFonts w:ascii="Calibri" w:hAnsi="Calibri"/>
          <w:b/>
          <w:sz w:val="21"/>
        </w:rPr>
        <w:t>Restaurant &amp; F&amp;B Operations Manager</w:t>
      </w:r>
      <w:r>
        <w:rPr>
          <w:sz w:val="20"/>
        </w:rPr>
        <w:t xml:space="preserve">  |  The Pointe Bar &amp; Grill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May 2014 – Sep 2016</w:t>
      </w:r>
      <w:r>
        <w:rPr>
          <w:rFonts w:ascii="Calibri" w:hAnsi="Calibri"/>
          <w:color w:val="777777"/>
          <w:sz w:val="18"/>
        </w:rPr>
        <w:t xml:space="preserve">  |  40+ hrs/wk | Supervisor: upon request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Drove 71% revenue growth ($734K → $1.25M) through financial modeling, dual-vendor sourcing (GFS + Sysco), and 29-person staffing optimization — transformed underperforming location into top revenue generator within group.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Maintained 31.7% COGS for 89 consecutive weeks — built 19-sheet Excel P&amp;L providing real-time margin visibility across food, beverage, and labor cost centers; leveraged data for vendor negotiation and portion-control SOPs.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Designed and implemented SOPs for all kitchen and FOH operations, reducing training time and ensuring consistent quality. Managed MLCC compliance with zero violations across full tenure.</w:t>
      </w:r>
    </w:p>
    <w:p>
      <w:pPr>
        <w:spacing w:before="100" w:after="0"/>
      </w:pPr>
      <w:r>
        <w:rPr>
          <w:rFonts w:ascii="Calibri" w:hAnsi="Calibri"/>
          <w:b/>
          <w:sz w:val="21"/>
        </w:rPr>
        <w:t>IT Systems Administrator — Automation &amp; Endpoint Management</w:t>
      </w:r>
      <w:r>
        <w:rPr>
          <w:sz w:val="20"/>
        </w:rPr>
        <w:t xml:space="preserve">  |  MMCC (Mid Michigan Community College)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May 2009 – Jun 2010</w:t>
      </w:r>
      <w:r>
        <w:rPr>
          <w:rFonts w:ascii="Calibri" w:hAnsi="Calibri"/>
          <w:color w:val="777777"/>
          <w:sz w:val="18"/>
        </w:rPr>
        <w:t xml:space="preserve">  |  40 hrs/wk | Supervisor: Kirk Lehr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Automated multi-campus lab deployments for 300–400+ workstations across Mount Pleasant and Harrison campuses using PowerShell, VBScript, WMI, and psexec — reduced per-machine setup from 4+ hours to ~20 minutes, saving 1,500+ labor hours per deployment cycle.</w:t>
      </w:r>
    </w:p>
    <w:p>
      <w:pPr>
        <w:pStyle w:val="ListBullet"/>
        <w:spacing w:after="20" w:before="0"/>
        <w:ind w:left="283"/>
      </w:pPr>
      <w:r>
        <w:rPr>
          <w:rFonts w:ascii="Calibri" w:hAnsi="Calibri"/>
          <w:sz w:val="19"/>
        </w:rPr>
        <w:t>Engineered remote Windows Update management via WUA COM API automation — eliminated manual patching across distributed campus network. Managed Faronics Deep Freeze thaw/freeze cycles to maintain clean lab images while pushing updates.</w:t>
      </w:r>
    </w:p>
    <w:p>
      <w:pPr>
        <w:spacing w:before="160" w:after="40"/>
        <w:pBdr>
          <w:bottom w:val="single" w:sz="4" w:space="1" w:color="1a568b"/>
        </w:pBdr>
      </w:pPr>
      <w:r>
        <w:rPr>
          <w:rFonts w:ascii="Calibri" w:hAnsi="Calibri"/>
          <w:b/>
          <w:color w:val="1A568B"/>
          <w:sz w:val="21"/>
        </w:rPr>
        <w:t>ADDITIONAL EXPERIENCE</w:t>
      </w:r>
    </w:p>
    <w:p>
      <w:pPr>
        <w:spacing w:after="20"/>
      </w:pPr>
      <w:r>
        <w:rPr>
          <w:rFonts w:ascii="Calibri" w:hAnsi="Calibri"/>
          <w:sz w:val="19"/>
        </w:rPr>
        <w:t>Independent Operations Consultant (2010–2014, 2016–2017, 2020–2021): Delivered operational assessments, vendor selection, process documentation, and compliance infrastructure for SMBs in logistics, legal services, and hospitality. Engagements included TMS evaluation for a regional carrier, SOP development for a multi-location restaurant group, and workflow automation for a legal services firm. (2016–2017 includes staffing placement at Flexible Staffing Services Inc. for Dawson Food Products — warehouse operations.)</w:t>
      </w:r>
    </w:p>
    <w:p>
      <w:pPr>
        <w:spacing w:before="160" w:after="40"/>
        <w:pBdr>
          <w:bottom w:val="single" w:sz="4" w:space="1" w:color="1a568b"/>
        </w:pBdr>
      </w:pPr>
      <w:r>
        <w:rPr>
          <w:rFonts w:ascii="Calibri" w:hAnsi="Calibri"/>
          <w:b/>
          <w:color w:val="1A568B"/>
          <w:sz w:val="21"/>
        </w:rPr>
        <w:t>EDUCATION</w:t>
      </w:r>
    </w:p>
    <w:p>
      <w:pPr>
        <w:spacing w:after="0"/>
      </w:pPr>
      <w:r>
        <w:rPr>
          <w:rFonts w:ascii="Calibri" w:hAnsi="Calibri"/>
          <w:b/>
          <w:sz w:val="20"/>
        </w:rPr>
        <w:t>BBA, Business Administration</w:t>
      </w:r>
      <w:r>
        <w:rPr>
          <w:sz w:val="19"/>
        </w:rPr>
        <w:t xml:space="preserve">  —  Baker College, Michigan</w:t>
      </w:r>
    </w:p>
    <w:p>
      <w:pPr>
        <w:spacing w:before="160" w:after="40"/>
        <w:pBdr>
          <w:bottom w:val="single" w:sz="4" w:space="1" w:color="1a568b"/>
        </w:pBdr>
      </w:pPr>
      <w:r>
        <w:rPr>
          <w:rFonts w:ascii="Calibri" w:hAnsi="Calibri"/>
          <w:b/>
          <w:color w:val="1A568B"/>
          <w:sz w:val="21"/>
        </w:rPr>
        <w:t>CERTIFICATIONS &amp; CREDENTIALS</w:t>
      </w:r>
    </w:p>
    <w:p>
      <w:pPr>
        <w:spacing w:after="0"/>
      </w:pPr>
      <w:r>
        <w:rPr>
          <w:rFonts w:ascii="Calibri" w:hAnsi="Calibri"/>
          <w:b/>
          <w:sz w:val="19"/>
        </w:rPr>
        <w:t>Michigan Notary Public</w:t>
      </w:r>
      <w:r>
        <w:rPr>
          <w:sz w:val="18"/>
        </w:rPr>
        <w:t xml:space="preserve">  —  Active through February 2028</w:t>
      </w:r>
    </w:p>
    <w:p>
      <w:pPr>
        <w:spacing w:after="0"/>
      </w:pPr>
      <w:r>
        <w:rPr>
          <w:rFonts w:ascii="Calibri" w:hAnsi="Calibri"/>
          <w:b/>
          <w:sz w:val="19"/>
        </w:rPr>
        <w:t>FMCSA Broker Authority (MC-2979)</w:t>
      </w:r>
      <w:r>
        <w:rPr>
          <w:sz w:val="18"/>
        </w:rPr>
        <w:t xml:space="preserve">  —  Secured and maintained, 2017–2020</w:t>
      </w:r>
    </w:p>
    <w:p>
      <w:pPr>
        <w:spacing w:after="0"/>
      </w:pPr>
      <w:r>
        <w:rPr>
          <w:rFonts w:ascii="Calibri" w:hAnsi="Calibri"/>
          <w:b/>
          <w:sz w:val="19"/>
        </w:rPr>
        <w:t>SDDC DoD Certified Carrier Operations</w:t>
      </w:r>
      <w:r>
        <w:rPr>
          <w:sz w:val="18"/>
        </w:rPr>
        <w:t xml:space="preserve">  —  J&amp;J Auto Express, 2017–2020</w:t>
      </w:r>
    </w:p>
    <w:p>
      <w:pPr>
        <w:spacing w:before="160" w:after="40"/>
        <w:pBdr>
          <w:bottom w:val="single" w:sz="4" w:space="1" w:color="1a568b"/>
        </w:pBdr>
      </w:pPr>
      <w:r>
        <w:rPr>
          <w:rFonts w:ascii="Calibri" w:hAnsi="Calibri"/>
          <w:b/>
          <w:color w:val="1A568B"/>
          <w:sz w:val="21"/>
        </w:rPr>
        <w:t>TECHNICAL PROFICIENCY</w:t>
      </w:r>
    </w:p>
    <w:p>
      <w:pPr>
        <w:spacing w:after="0"/>
      </w:pPr>
      <w:r>
        <w:rPr>
          <w:rFonts w:ascii="Calibri" w:hAnsi="Calibri"/>
          <w:sz w:val="17"/>
        </w:rPr>
        <w:t>Automation &amp; Scripting: PowerShell, VBScript, WMI, psexec, Excel VBA (Advanced P&amp;L Modeling)  |  TMS / ERP: VehicHaul, AscendTMS  |  Legal Tech: PracticePanther, LawPay, MiFILE  |  Fleet &amp; MDM: BigRoad DashLink, Samsung Knox  |  Productivity: Google Workspace, Microsoft Office (Advanced Excel)  |  Modern Tooling: LLM Prompt Engineering (Claude, ChatGPT), AI-Augmented Document Processing, Workflow Automation Design</w:t>
      </w:r>
    </w:p>
    <w:sectPr w:rsidR="00FC693F" w:rsidRPr="0006063C" w:rsidSect="00034616">
      <w:pgSz w:w="12240" w:h="15840"/>
      <w:pgMar w:top="56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5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