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13" w:rsidRPr="00554313" w:rsidRDefault="00554313" w:rsidP="00554313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Matemática Financiera</w:t>
      </w:r>
    </w:p>
    <w:p w:rsidR="00554313" w:rsidRPr="00554313" w:rsidRDefault="00AA60EF" w:rsidP="00554313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4</w:t>
      </w:r>
      <w:bookmarkStart w:id="0" w:name="_GoBack"/>
      <w:bookmarkEnd w:id="0"/>
      <w:r w:rsidR="00554313" w:rsidRPr="00554313">
        <w:rPr>
          <w:rFonts w:ascii="GillSans Light" w:hAnsi="GillSans Light"/>
          <w:sz w:val="32"/>
        </w:rPr>
        <w:t>To. Bachillerato – Grupo Polochic - IGER</w:t>
      </w:r>
    </w:p>
    <w:p w:rsidR="00554313" w:rsidRPr="00554313" w:rsidRDefault="00554313" w:rsidP="00554313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Actividad 2</w:t>
      </w:r>
      <w:r w:rsidRPr="00554313">
        <w:rPr>
          <w:rFonts w:ascii="GillSans Light" w:hAnsi="GillSans Light"/>
          <w:sz w:val="32"/>
        </w:rPr>
        <w:t xml:space="preserve"> – Semana </w:t>
      </w:r>
      <w:r>
        <w:rPr>
          <w:rFonts w:ascii="GillSans Light" w:hAnsi="GillSans Light"/>
          <w:sz w:val="32"/>
        </w:rPr>
        <w:t>12</w:t>
      </w:r>
    </w:p>
    <w:p w:rsidR="00554313" w:rsidRPr="00554313" w:rsidRDefault="00554313" w:rsidP="00554313">
      <w:pPr>
        <w:rPr>
          <w:rFonts w:ascii="GillSans Light" w:hAnsi="GillSans Light"/>
          <w:sz w:val="32"/>
        </w:rPr>
      </w:pPr>
      <w:r>
        <w:rPr>
          <w:rFonts w:ascii="GillSans Light" w:hAnsi="GillSans Light"/>
          <w:sz w:val="32"/>
        </w:rPr>
        <w:t>Tasas promedio ponderada de cartera de créditos</w:t>
      </w:r>
    </w:p>
    <w:tbl>
      <w:tblPr>
        <w:tblStyle w:val="Estilo1"/>
        <w:tblW w:w="14737" w:type="dxa"/>
        <w:tblLayout w:type="fixed"/>
        <w:tblLook w:val="04A0" w:firstRow="1" w:lastRow="0" w:firstColumn="1" w:lastColumn="0" w:noHBand="0" w:noVBand="1"/>
      </w:tblPr>
      <w:tblGrid>
        <w:gridCol w:w="4531"/>
        <w:gridCol w:w="2127"/>
        <w:gridCol w:w="2126"/>
        <w:gridCol w:w="2126"/>
        <w:gridCol w:w="1559"/>
        <w:gridCol w:w="2268"/>
      </w:tblGrid>
      <w:tr w:rsidR="00554313" w:rsidRPr="00342A64" w:rsidTr="00FE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14737" w:type="dxa"/>
            <w:gridSpan w:val="6"/>
            <w:shd w:val="clear" w:color="auto" w:fill="FBE4D5" w:themeFill="accent2" w:themeFillTint="33"/>
            <w:vAlign w:val="center"/>
          </w:tcPr>
          <w:p w:rsidR="00554313" w:rsidRPr="00554313" w:rsidRDefault="00554313" w:rsidP="00FE00FA">
            <w:pPr>
              <w:spacing w:after="0"/>
              <w:rPr>
                <w:rFonts w:cs="Arial"/>
                <w:szCs w:val="32"/>
              </w:rPr>
            </w:pPr>
            <w:r w:rsidRPr="00554313">
              <w:rPr>
                <w:rFonts w:cs="Arial"/>
                <w:sz w:val="36"/>
                <w:szCs w:val="32"/>
              </w:rPr>
              <w:t>TASAS PROMEDIO PONDERADA DE CARTERA DE CRÉDITOS</w:t>
            </w:r>
          </w:p>
        </w:tc>
      </w:tr>
      <w:tr w:rsidR="00554313" w:rsidRPr="00342A64" w:rsidTr="00FE00FA">
        <w:trPr>
          <w:trHeight w:val="680"/>
        </w:trPr>
        <w:tc>
          <w:tcPr>
            <w:tcW w:w="14737" w:type="dxa"/>
            <w:gridSpan w:val="6"/>
            <w:shd w:val="clear" w:color="auto" w:fill="FBE4D5" w:themeFill="accent2" w:themeFillTint="33"/>
            <w:vAlign w:val="center"/>
          </w:tcPr>
          <w:p w:rsidR="00554313" w:rsidRPr="00FE00FA" w:rsidRDefault="00554313" w:rsidP="00554313">
            <w:pPr>
              <w:tabs>
                <w:tab w:val="left" w:pos="2383"/>
                <w:tab w:val="center" w:pos="6392"/>
              </w:tabs>
              <w:spacing w:after="0"/>
              <w:jc w:val="both"/>
              <w:rPr>
                <w:rFonts w:cs="Arial"/>
                <w:szCs w:val="32"/>
              </w:rPr>
            </w:pPr>
            <w:r w:rsidRPr="00FE00FA">
              <w:rPr>
                <w:rFonts w:cs="Arial"/>
                <w:szCs w:val="32"/>
              </w:rPr>
              <w:t>MONEDA NACIONAL</w:t>
            </w:r>
          </w:p>
        </w:tc>
      </w:tr>
      <w:tr w:rsidR="00554313" w:rsidRPr="00342A64" w:rsidTr="00FE00FA">
        <w:trPr>
          <w:trHeight w:val="680"/>
        </w:trPr>
        <w:tc>
          <w:tcPr>
            <w:tcW w:w="14737" w:type="dxa"/>
            <w:gridSpan w:val="6"/>
            <w:shd w:val="clear" w:color="auto" w:fill="FBE4D5" w:themeFill="accent2" w:themeFillTint="33"/>
            <w:vAlign w:val="center"/>
          </w:tcPr>
          <w:p w:rsidR="00554313" w:rsidRDefault="00554313" w:rsidP="00554313">
            <w:pPr>
              <w:tabs>
                <w:tab w:val="left" w:pos="2383"/>
                <w:tab w:val="center" w:pos="6392"/>
              </w:tabs>
              <w:spacing w:after="0"/>
              <w:jc w:val="both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Al 31/07/2017</w:t>
            </w:r>
          </w:p>
        </w:tc>
      </w:tr>
      <w:tr w:rsidR="00554313" w:rsidRPr="00342A64" w:rsidTr="00FE00FA">
        <w:trPr>
          <w:trHeight w:val="169"/>
        </w:trPr>
        <w:tc>
          <w:tcPr>
            <w:tcW w:w="4531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INSTITUCIONES BANCARIAS</w:t>
            </w:r>
          </w:p>
        </w:tc>
        <w:tc>
          <w:tcPr>
            <w:tcW w:w="2127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EMPRESARIAL MAYOR</w:t>
            </w:r>
          </w:p>
        </w:tc>
        <w:tc>
          <w:tcPr>
            <w:tcW w:w="2126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EMPRESARIAL MENOR</w:t>
            </w:r>
          </w:p>
        </w:tc>
        <w:tc>
          <w:tcPr>
            <w:tcW w:w="2126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CONSUMO</w:t>
            </w:r>
          </w:p>
        </w:tc>
        <w:tc>
          <w:tcPr>
            <w:tcW w:w="1559" w:type="dxa"/>
            <w:shd w:val="clear" w:color="auto" w:fill="F9EDED"/>
            <w:vAlign w:val="center"/>
          </w:tcPr>
          <w:p w:rsidR="00554313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MICRO</w:t>
            </w:r>
          </w:p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CRÉDITO</w:t>
            </w:r>
          </w:p>
        </w:tc>
        <w:tc>
          <w:tcPr>
            <w:tcW w:w="2268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jc w:val="center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HIPOTECARIO PARA VIVIENDA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EL CRÉDITO HIPOTECARIO NACIONAL DE GUATEMALA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9.28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10.88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15.66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23.07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9.36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INMOBILIARIO,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8.51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12.18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28.55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tabs>
                <w:tab w:val="center" w:pos="1123"/>
              </w:tabs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 xml:space="preserve"> 26.24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9.14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DE LOS TRABAJADORES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8.31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13.33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21.27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13.49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11.93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INDUSTRIAL,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7.1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9.39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23.15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9.14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DE DESARROLLO RURAL,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8.14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12.03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17.27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18.55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13.27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Pr="00FE00FA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INTERNACIONAL,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7.47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9.64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13.34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9.63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CITIBANK, N.A., SUCURSAL GUATEMALA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6.5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36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VIVIBANCO,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10.95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13.47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15.27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9.32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FICOHSA GUATEMALA,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11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12.05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51.43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10.6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12.66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PROMERICA,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8.73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14.78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36.87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16.99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12.78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DE ANTIGUA,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24.05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41.15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38.92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DE AMÉRICA CENTRAL,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7.04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8.84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23.84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9.95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7.8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PROMERICA DE GUATEMALA,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11.91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47.95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10.39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AGROMERCANTIL DE GUATEMALA,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7.13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9.37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23.9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9.22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8.27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G&amp;T CONTINENTAL,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7.42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12.95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16.35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28.2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9.27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DE CRÉDITO,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11.86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12.44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22.11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22.94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13.47</w:t>
            </w: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AZTECA DE GUATEMALA,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16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79.04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vAlign w:val="center"/>
          </w:tcPr>
          <w:p w:rsidR="00554313" w:rsidRDefault="00554313" w:rsidP="00FE00FA">
            <w:pPr>
              <w:spacing w:before="240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INV, S.A.</w:t>
            </w:r>
          </w:p>
        </w:tc>
        <w:tc>
          <w:tcPr>
            <w:tcW w:w="2127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10.28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11.86</w:t>
            </w:r>
          </w:p>
        </w:tc>
        <w:tc>
          <w:tcPr>
            <w:tcW w:w="2126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9.85</w:t>
            </w:r>
          </w:p>
        </w:tc>
        <w:tc>
          <w:tcPr>
            <w:tcW w:w="1559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  <w:r>
              <w:rPr>
                <w:rFonts w:cs="Arial"/>
                <w:szCs w:val="32"/>
              </w:rPr>
              <w:t>10.26</w:t>
            </w:r>
          </w:p>
        </w:tc>
        <w:tc>
          <w:tcPr>
            <w:tcW w:w="2268" w:type="dxa"/>
            <w:vAlign w:val="center"/>
          </w:tcPr>
          <w:p w:rsidR="00554313" w:rsidRPr="00FE00FA" w:rsidRDefault="00554313" w:rsidP="00FE00FA">
            <w:pPr>
              <w:spacing w:before="240"/>
              <w:jc w:val="right"/>
              <w:rPr>
                <w:rFonts w:cs="Arial"/>
                <w:szCs w:val="32"/>
              </w:rPr>
            </w:pPr>
          </w:p>
        </w:tc>
      </w:tr>
      <w:tr w:rsidR="00554313" w:rsidRPr="00342A64" w:rsidTr="00FE00FA">
        <w:trPr>
          <w:trHeight w:val="340"/>
        </w:trPr>
        <w:tc>
          <w:tcPr>
            <w:tcW w:w="4531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 w:rsidRPr="00FE00FA">
              <w:rPr>
                <w:rFonts w:cs="Arial"/>
                <w:b/>
                <w:szCs w:val="32"/>
              </w:rPr>
              <w:t>SISTEMA BANCARIO</w:t>
            </w:r>
          </w:p>
        </w:tc>
        <w:tc>
          <w:tcPr>
            <w:tcW w:w="2127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 w:rsidRPr="00FE00FA">
              <w:rPr>
                <w:rFonts w:cs="Arial"/>
                <w:b/>
                <w:szCs w:val="32"/>
              </w:rPr>
              <w:t>7.38</w:t>
            </w:r>
          </w:p>
        </w:tc>
        <w:tc>
          <w:tcPr>
            <w:tcW w:w="2126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>
              <w:rPr>
                <w:rFonts w:cs="Arial"/>
                <w:b/>
                <w:szCs w:val="32"/>
              </w:rPr>
              <w:t>11.21</w:t>
            </w:r>
          </w:p>
        </w:tc>
        <w:tc>
          <w:tcPr>
            <w:tcW w:w="2126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>
              <w:rPr>
                <w:rFonts w:cs="Arial"/>
                <w:b/>
                <w:szCs w:val="32"/>
              </w:rPr>
              <w:t>23.22</w:t>
            </w:r>
          </w:p>
        </w:tc>
        <w:tc>
          <w:tcPr>
            <w:tcW w:w="1559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>
              <w:rPr>
                <w:rFonts w:cs="Arial"/>
                <w:b/>
                <w:szCs w:val="32"/>
              </w:rPr>
              <w:t>21.39</w:t>
            </w:r>
          </w:p>
        </w:tc>
        <w:tc>
          <w:tcPr>
            <w:tcW w:w="2268" w:type="dxa"/>
            <w:shd w:val="clear" w:color="auto" w:fill="F9EDED"/>
            <w:vAlign w:val="center"/>
          </w:tcPr>
          <w:p w:rsidR="00554313" w:rsidRPr="00FE00FA" w:rsidRDefault="00554313" w:rsidP="00FE00FA">
            <w:pPr>
              <w:spacing w:before="240"/>
              <w:jc w:val="center"/>
              <w:rPr>
                <w:rFonts w:cs="Arial"/>
                <w:b/>
                <w:szCs w:val="32"/>
              </w:rPr>
            </w:pPr>
            <w:r>
              <w:rPr>
                <w:rFonts w:cs="Arial"/>
                <w:b/>
                <w:szCs w:val="32"/>
              </w:rPr>
              <w:t>9.47</w:t>
            </w:r>
          </w:p>
        </w:tc>
      </w:tr>
    </w:tbl>
    <w:p w:rsidR="009D39D1" w:rsidRDefault="009D39D1" w:rsidP="009D39D1">
      <w:pPr>
        <w:jc w:val="right"/>
        <w:rPr>
          <w:rFonts w:ascii="GillSans Light" w:hAnsi="GillSans Light"/>
          <w:sz w:val="32"/>
          <w:szCs w:val="32"/>
        </w:rPr>
      </w:pPr>
    </w:p>
    <w:p w:rsidR="00554313" w:rsidRPr="009D39D1" w:rsidRDefault="009D39D1" w:rsidP="009D39D1">
      <w:pPr>
        <w:jc w:val="right"/>
        <w:rPr>
          <w:rFonts w:ascii="GillSans Light" w:hAnsi="GillSans Light"/>
          <w:sz w:val="32"/>
          <w:szCs w:val="32"/>
        </w:rPr>
      </w:pPr>
      <w:r w:rsidRPr="009D39D1">
        <w:rPr>
          <w:rFonts w:ascii="GillSans Light" w:hAnsi="GillSans Light"/>
          <w:sz w:val="32"/>
          <w:szCs w:val="32"/>
        </w:rPr>
        <w:t>Obtenido de la Superintendencia de Bancos</w:t>
      </w:r>
    </w:p>
    <w:sectPr w:rsidR="00554313" w:rsidRPr="009D39D1" w:rsidSect="005661D3">
      <w:pgSz w:w="17010" w:h="2835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 Light">
    <w:panose1 w:val="020B0402020204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13"/>
    <w:rsid w:val="000729AF"/>
    <w:rsid w:val="00420309"/>
    <w:rsid w:val="00554313"/>
    <w:rsid w:val="005661D3"/>
    <w:rsid w:val="00737EC9"/>
    <w:rsid w:val="009C2454"/>
    <w:rsid w:val="009D39D1"/>
    <w:rsid w:val="00A3430A"/>
    <w:rsid w:val="00AA60EF"/>
    <w:rsid w:val="00AE2EA0"/>
    <w:rsid w:val="00E1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54AE3-1605-4C20-8300-188C95F1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313"/>
    <w:pPr>
      <w:spacing w:after="200" w:line="276" w:lineRule="auto"/>
    </w:pPr>
    <w:rPr>
      <w:rFonts w:eastAsiaTheme="minorHAnsi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554313"/>
    <w:pPr>
      <w:spacing w:after="0" w:line="240" w:lineRule="auto"/>
    </w:pPr>
    <w:rPr>
      <w:rFonts w:ascii="GillSans Light" w:eastAsiaTheme="minorHAnsi" w:hAnsi="GillSans Light"/>
      <w:sz w:val="32"/>
    </w:rPr>
    <w:tblPr>
      <w:tblBorders>
        <w:top w:val="single" w:sz="4" w:space="0" w:color="DB0734"/>
        <w:left w:val="single" w:sz="4" w:space="0" w:color="DB0734"/>
        <w:bottom w:val="single" w:sz="4" w:space="0" w:color="DB0734"/>
        <w:right w:val="single" w:sz="4" w:space="0" w:color="DB0734"/>
        <w:insideH w:val="single" w:sz="4" w:space="0" w:color="DB0734"/>
        <w:insideV w:val="single" w:sz="4" w:space="0" w:color="DB0734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GillSans Light" w:hAnsi="GillSans Light"/>
        <w:b/>
        <w:sz w:val="32"/>
      </w:rPr>
      <w:tblPr/>
      <w:tcPr>
        <w:shd w:val="clear" w:color="auto" w:fill="FEE2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Flores</dc:creator>
  <cp:keywords/>
  <dc:description/>
  <cp:lastModifiedBy>Hilda Flores</cp:lastModifiedBy>
  <cp:revision>3</cp:revision>
  <dcterms:created xsi:type="dcterms:W3CDTF">2017-10-06T20:56:00Z</dcterms:created>
  <dcterms:modified xsi:type="dcterms:W3CDTF">2017-10-06T21:30:00Z</dcterms:modified>
</cp:coreProperties>
</file>