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76E29" w14:textId="77777777" w:rsidR="00CF7FD3" w:rsidRPr="00101936" w:rsidRDefault="00000000" w:rsidP="00101936">
      <w:pPr>
        <w:spacing w:before="4300" w:after="60"/>
        <w:jc w:val="center"/>
        <w:rPr>
          <w:rFonts w:asciiTheme="majorHAnsi" w:hAnsiTheme="majorHAnsi" w:cstheme="majorHAnsi"/>
          <w:sz w:val="24"/>
          <w:szCs w:val="24"/>
        </w:rPr>
      </w:pPr>
      <w:r w:rsidRPr="00101936">
        <w:rPr>
          <w:rFonts w:asciiTheme="majorHAnsi" w:hAnsiTheme="majorHAnsi" w:cstheme="majorHAnsi"/>
          <w:noProof/>
          <w:sz w:val="24"/>
          <w:szCs w:val="24"/>
        </w:rPr>
        <w:drawing>
          <wp:anchor distT="0" distB="0" distL="0" distR="0" simplePos="0" relativeHeight="251658240" behindDoc="1" locked="1" layoutInCell="1" allowOverlap="1" wp14:anchorId="1B0139A0" wp14:editId="190C7C3B">
            <wp:simplePos x="0" y="0"/>
            <wp:positionH relativeFrom="page">
              <wp:posOffset>0</wp:posOffset>
            </wp:positionH>
            <wp:positionV relativeFrom="page">
              <wp:posOffset>0</wp:posOffset>
            </wp:positionV>
            <wp:extent cx="7560310" cy="10692130"/>
            <wp:effectExtent l="0" t="0" r="0" b="0"/>
            <wp:wrapNone/>
            <wp:docPr id="9001" name="Title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title_bg2.jpg"/>
                    <pic:cNvPicPr/>
                  </pic:nvPicPr>
                  <pic:blipFill>
                    <a:blip r:embed="rId7"/>
                    <a:stretch>
                      <a:fillRect/>
                    </a:stretch>
                  </pic:blipFill>
                  <pic:spPr>
                    <a:xfrm>
                      <a:off x="0" y="0"/>
                      <a:ext cx="7560310" cy="10692130"/>
                    </a:xfrm>
                    <a:prstGeom prst="rect">
                      <a:avLst/>
                    </a:prstGeom>
                  </pic:spPr>
                </pic:pic>
              </a:graphicData>
            </a:graphic>
          </wp:anchor>
        </w:drawing>
      </w:r>
      <w:r w:rsidRPr="00101936">
        <w:rPr>
          <w:rFonts w:asciiTheme="majorHAnsi" w:hAnsiTheme="majorHAnsi" w:cstheme="majorHAnsi"/>
          <w:b/>
          <w:bCs/>
          <w:sz w:val="24"/>
          <w:szCs w:val="24"/>
        </w:rPr>
        <w:t>FUTURE BUSINESS ANALYST SEASON 6</w:t>
      </w:r>
    </w:p>
    <w:p w14:paraId="68EA006C" w14:textId="77777777" w:rsidR="00CF7FD3" w:rsidRPr="00101936" w:rsidRDefault="00000000" w:rsidP="00101936">
      <w:pPr>
        <w:spacing w:after="900"/>
        <w:jc w:val="center"/>
        <w:rPr>
          <w:rFonts w:asciiTheme="majorHAnsi" w:hAnsiTheme="majorHAnsi" w:cstheme="majorHAnsi"/>
        </w:rPr>
      </w:pPr>
      <w:r w:rsidRPr="00101936">
        <w:rPr>
          <w:rFonts w:asciiTheme="majorHAnsi" w:hAnsiTheme="majorHAnsi" w:cstheme="majorHAnsi"/>
          <w:b/>
          <w:bCs/>
          <w:sz w:val="24"/>
          <w:szCs w:val="24"/>
        </w:rPr>
        <w:t>ROUND 2 BUSINESS ANALYTICS REPORT</w:t>
      </w:r>
    </w:p>
    <w:p w14:paraId="741F0DCB" w14:textId="77777777" w:rsidR="00CF7FD3" w:rsidRPr="00101936" w:rsidRDefault="00000000" w:rsidP="00101936">
      <w:pPr>
        <w:spacing w:after="300"/>
        <w:jc w:val="center"/>
        <w:rPr>
          <w:rFonts w:asciiTheme="majorHAnsi" w:hAnsiTheme="majorHAnsi" w:cstheme="majorHAnsi"/>
        </w:rPr>
      </w:pPr>
      <w:r w:rsidRPr="00101936">
        <w:rPr>
          <w:rFonts w:asciiTheme="majorHAnsi" w:hAnsiTheme="majorHAnsi" w:cstheme="majorHAnsi"/>
          <w:b/>
          <w:bCs/>
          <w:sz w:val="72"/>
          <w:szCs w:val="72"/>
        </w:rPr>
        <w:t>DNSE Securities</w:t>
      </w:r>
      <w:r w:rsidRPr="00101936">
        <w:rPr>
          <w:rFonts w:asciiTheme="majorHAnsi" w:hAnsiTheme="majorHAnsi" w:cstheme="majorHAnsi"/>
          <w:b/>
          <w:bCs/>
          <w:sz w:val="72"/>
          <w:szCs w:val="72"/>
        </w:rPr>
        <w:br/>
        <w:t>Joint Stock Company</w:t>
      </w:r>
    </w:p>
    <w:tbl>
      <w:tblPr>
        <w:tblpPr w:leftFromText="180" w:rightFromText="180" w:vertAnchor="text" w:horzAnchor="page" w:tblpX="3937" w:tblpY="1144"/>
        <w:tblW w:w="5200" w:type="dxa"/>
        <w:tblBorders>
          <w:top w:val="none" w:sz="4" w:space="0" w:color="FFFFFF"/>
          <w:left w:val="none" w:sz="4" w:space="0" w:color="FFFFFF"/>
          <w:bottom w:val="none" w:sz="4" w:space="0" w:color="FFFFFF"/>
          <w:right w:val="none" w:sz="4" w:space="0" w:color="FFFFFF"/>
          <w:insideH w:val="none" w:sz="4" w:space="0" w:color="FFFFFF"/>
          <w:insideV w:val="none" w:sz="4" w:space="0" w:color="FFFFFF"/>
        </w:tblBorders>
        <w:tblCellMar>
          <w:left w:w="10" w:type="dxa"/>
          <w:right w:w="10" w:type="dxa"/>
        </w:tblCellMar>
        <w:tblLook w:val="04A0" w:firstRow="1" w:lastRow="0" w:firstColumn="1" w:lastColumn="0" w:noHBand="0" w:noVBand="1"/>
      </w:tblPr>
      <w:tblGrid>
        <w:gridCol w:w="1600"/>
        <w:gridCol w:w="3600"/>
      </w:tblGrid>
      <w:tr w:rsidR="00101936" w:rsidRPr="00101936" w14:paraId="65943D4B" w14:textId="77777777" w:rsidTr="00101936">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D52F54A" w14:textId="77777777" w:rsidR="00101936" w:rsidRPr="00101936" w:rsidRDefault="00101936" w:rsidP="00101936">
            <w:pPr>
              <w:jc w:val="both"/>
              <w:rPr>
                <w:rFonts w:asciiTheme="majorHAnsi" w:hAnsiTheme="majorHAnsi" w:cstheme="majorHAnsi"/>
                <w:sz w:val="32"/>
                <w:szCs w:val="32"/>
              </w:rPr>
            </w:pPr>
            <w:r w:rsidRPr="00101936">
              <w:rPr>
                <w:rFonts w:asciiTheme="majorHAnsi" w:hAnsiTheme="majorHAnsi" w:cstheme="majorHAnsi"/>
                <w:b/>
                <w:bCs/>
                <w:sz w:val="32"/>
                <w:szCs w:val="32"/>
              </w:rPr>
              <w:t>Team</w:t>
            </w:r>
          </w:p>
        </w:tc>
        <w:tc>
          <w:tcPr>
            <w:tcW w:w="3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29913AB" w14:textId="77777777" w:rsidR="00101936" w:rsidRPr="00101936" w:rsidRDefault="00101936" w:rsidP="00101936">
            <w:pPr>
              <w:jc w:val="both"/>
              <w:rPr>
                <w:rFonts w:asciiTheme="majorHAnsi" w:hAnsiTheme="majorHAnsi" w:cstheme="majorHAnsi"/>
                <w:sz w:val="32"/>
                <w:szCs w:val="32"/>
              </w:rPr>
            </w:pPr>
            <w:r w:rsidRPr="00101936">
              <w:rPr>
                <w:rFonts w:asciiTheme="majorHAnsi" w:hAnsiTheme="majorHAnsi" w:cstheme="majorHAnsi"/>
                <w:sz w:val="32"/>
                <w:szCs w:val="32"/>
              </w:rPr>
              <w:t>KTQT FTUers</w:t>
            </w:r>
          </w:p>
        </w:tc>
      </w:tr>
      <w:tr w:rsidR="00101936" w:rsidRPr="00101936" w14:paraId="0EB02FE5" w14:textId="77777777" w:rsidTr="00101936">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3004C9A" w14:textId="77777777" w:rsidR="00101936" w:rsidRPr="00101936" w:rsidRDefault="00101936" w:rsidP="00101936">
            <w:pPr>
              <w:jc w:val="both"/>
              <w:rPr>
                <w:rFonts w:asciiTheme="majorHAnsi" w:hAnsiTheme="majorHAnsi" w:cstheme="majorHAnsi"/>
                <w:sz w:val="32"/>
                <w:szCs w:val="32"/>
              </w:rPr>
            </w:pPr>
            <w:r w:rsidRPr="00101936">
              <w:rPr>
                <w:rFonts w:asciiTheme="majorHAnsi" w:hAnsiTheme="majorHAnsi" w:cstheme="majorHAnsi"/>
                <w:b/>
                <w:bCs/>
                <w:sz w:val="32"/>
                <w:szCs w:val="32"/>
              </w:rPr>
              <w:t>Date</w:t>
            </w:r>
          </w:p>
        </w:tc>
        <w:tc>
          <w:tcPr>
            <w:tcW w:w="3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D876811" w14:textId="77777777" w:rsidR="00101936" w:rsidRPr="00101936" w:rsidRDefault="00101936" w:rsidP="00101936">
            <w:pPr>
              <w:jc w:val="both"/>
              <w:rPr>
                <w:rFonts w:asciiTheme="majorHAnsi" w:hAnsiTheme="majorHAnsi" w:cstheme="majorHAnsi"/>
                <w:sz w:val="32"/>
                <w:szCs w:val="32"/>
              </w:rPr>
            </w:pPr>
            <w:r w:rsidRPr="00101936">
              <w:rPr>
                <w:rFonts w:asciiTheme="majorHAnsi" w:hAnsiTheme="majorHAnsi" w:cstheme="majorHAnsi"/>
                <w:sz w:val="32"/>
                <w:szCs w:val="32"/>
              </w:rPr>
              <w:t>27 September 2026</w:t>
            </w:r>
          </w:p>
        </w:tc>
      </w:tr>
    </w:tbl>
    <w:p w14:paraId="6661076D" w14:textId="77777777" w:rsidR="00CF7FD3" w:rsidRPr="00101936" w:rsidRDefault="00CF7FD3" w:rsidP="00101936">
      <w:pPr>
        <w:pBdr>
          <w:bottom w:val="single" w:sz="16" w:space="2" w:color="D7263D"/>
        </w:pBdr>
        <w:spacing w:after="900"/>
        <w:ind w:left="2600" w:right="2600"/>
        <w:jc w:val="both"/>
        <w:rPr>
          <w:rFonts w:asciiTheme="majorHAnsi" w:hAnsiTheme="majorHAnsi" w:cstheme="majorHAnsi"/>
        </w:rPr>
      </w:pPr>
    </w:p>
    <w:p w14:paraId="70538271" w14:textId="77777777" w:rsidR="00CF7FD3" w:rsidRPr="00101936" w:rsidRDefault="00000000" w:rsidP="00101936">
      <w:pPr>
        <w:pStyle w:val="Heading1"/>
        <w:keepNext/>
        <w:keepLines/>
        <w:pageBreakBefore/>
        <w:spacing w:before="0"/>
        <w:jc w:val="both"/>
        <w:rPr>
          <w:rFonts w:asciiTheme="majorHAnsi" w:hAnsiTheme="majorHAnsi" w:cstheme="majorHAnsi"/>
        </w:rPr>
      </w:pPr>
      <w:r w:rsidRPr="00101936">
        <w:rPr>
          <w:rFonts w:asciiTheme="majorHAnsi" w:hAnsiTheme="majorHAnsi" w:cstheme="majorHAnsi"/>
        </w:rPr>
        <w:lastRenderedPageBreak/>
        <w:t>Executive summary</w:t>
      </w:r>
    </w:p>
    <w:p w14:paraId="4EC0141F"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DNSE Securities leads Vietnam's brokers in account growth. Zero-fee trading on the Entrade X app, together with Margin Deal, Future X and the Ensa assistant, brought it one in five of the country's new securities accounts in 2025 and more than 1.7 million accounts by mid-2026, 12.3 per cent of the market. Customer money has not followed. DNSE holds 2.3 per cent of the cash investors keep at brokers, 1.4 per cent of margin lending and 0.6 per cent of industry profit. In December 2025, 5.7 per cent of its accounts used at least one product and 1.8 per cent held net assets of VND 10 million or more.</w:t>
      </w:r>
    </w:p>
    <w:p w14:paraId="39D0D8D5"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The funding gap is costly. Brokerage revenue has been below its direct cost for 16 consecutive quarters, and annualised return on equity fell to 3.8 per cent in the first half of 2026. Without a parent bank, DNSE borrows short term against pledged deposits that tie up 38 per cent of its assets. Between 2021 and 2025, accounts grew 33.8 times while core pre-tax profit grew 2.7 times. Platform and overhead costs of about VND 198 billion in 2025 fall on few funded customers, about VND 7.3 million a year for each account with VND 10 million or more, and at the industry's average cash per account DNSE would hold 5.4 times its current investor cash.</w:t>
      </w:r>
    </w:p>
    <w:p w14:paraId="1C1B289D"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Three causes explain the gap, with different strengths of evidence. DNSE's tools attract young traders with little capital. Trust fails at the first deposit, since complaints about deception, sign-up bonus terms and a closure fee appear in 37 per cent of DNSE's negative reviews since 2025, against 8 per cent at VPS, and the rating of substantive reviews fell from 4.15 in 2024 to 2.38 in 2025. Most important, no DNSE product turns a salaried customer's intention to invest into regular deposits, although 22.1 million Vietnamese adults hold an account without saving formally.</w:t>
      </w:r>
    </w:p>
    <w:p w14:paraId="58F1E294"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The core problem is the funding gap among existing accounts, and trust is a condition of any solution. We recommend Payday Portfolio, a goal-based investing plan built from products DNSE already runs. Ensa proposes one of three model portfolios inside DNSE's licensed advisory service, and the customer confirms it. A standing order then moves part of each salary into a virtual account in the customer's own name, and each contribution is invested in the asset class furthest below its target weight. Free commitment tiers reward three, six and twelve consecutive contributions, with one skipped month a year allowed, and trust controls remove the closure fee and conditional sign-up rewards. DNSE's wider technology should be organised around customer balances. ZaloPay round-ups become an entry route for customers without a salary, rule-based strategies become additional model portfolios, and a dashboard shows where client cash is held. A credit line secured on savings is not recommended because it conflicts with lending rules.</w:t>
      </w:r>
    </w:p>
    <w:p w14:paraId="528E35E9"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In the base case, 150,000 savers contributing VND 1.5 million a month would hold VND 2.8 trillion after 18 months, 1.4 times DNSE's current investor cash, and tier interest would cost at most VND 5.6 billion a year. Customer segments and intent remain hypotheses because DNSE does not publish customer-level data. Appendix F sets out a randomised pilot with 20,000 dormant customers. Its headline KPI is the number of accounts holding VND 10 million or more, 27,100 at the end of 2025, with a target of 85,000 within 18 months.</w:t>
      </w:r>
    </w:p>
    <w:p w14:paraId="34B705EF" w14:textId="77777777" w:rsidR="00CF7FD3" w:rsidRPr="00101936" w:rsidRDefault="00000000" w:rsidP="00101936">
      <w:pPr>
        <w:pStyle w:val="Heading1"/>
        <w:keepNext/>
        <w:keepLines/>
        <w:pageBreakBefore/>
        <w:spacing w:before="0"/>
        <w:jc w:val="both"/>
        <w:rPr>
          <w:rFonts w:asciiTheme="majorHAnsi" w:hAnsiTheme="majorHAnsi" w:cstheme="majorHAnsi"/>
        </w:rPr>
      </w:pPr>
      <w:r w:rsidRPr="00101936">
        <w:rPr>
          <w:rFonts w:asciiTheme="majorHAnsi" w:hAnsiTheme="majorHAnsi" w:cstheme="majorHAnsi"/>
        </w:rPr>
        <w:lastRenderedPageBreak/>
        <w:t>Table of contents</w:t>
      </w:r>
    </w:p>
    <w:p w14:paraId="6C6B76F1" w14:textId="77777777" w:rsidR="00CF7FD3" w:rsidRPr="00101936" w:rsidRDefault="00000000" w:rsidP="00101936">
      <w:pPr>
        <w:tabs>
          <w:tab w:val="right" w:leader="dot" w:pos="9412"/>
        </w:tabs>
        <w:spacing w:after="40"/>
        <w:jc w:val="both"/>
        <w:rPr>
          <w:rFonts w:asciiTheme="majorHAnsi" w:hAnsiTheme="majorHAnsi" w:cstheme="majorHAnsi"/>
        </w:rPr>
      </w:pPr>
      <w:r w:rsidRPr="00101936">
        <w:rPr>
          <w:rFonts w:asciiTheme="majorHAnsi" w:hAnsiTheme="majorHAnsi" w:cstheme="majorHAnsi"/>
          <w:b/>
          <w:bCs/>
          <w:sz w:val="21"/>
          <w:szCs w:val="21"/>
        </w:rPr>
        <w:t>1. Introduction</w:t>
      </w:r>
      <w:r w:rsidRPr="00101936">
        <w:rPr>
          <w:rFonts w:asciiTheme="majorHAnsi" w:hAnsiTheme="majorHAnsi" w:cstheme="majorHAnsi"/>
          <w:sz w:val="21"/>
          <w:szCs w:val="21"/>
        </w:rPr>
        <w:tab/>
        <w:t>5</w:t>
      </w:r>
    </w:p>
    <w:p w14:paraId="71BEE293" w14:textId="77777777" w:rsidR="00CF7FD3" w:rsidRPr="00101936" w:rsidRDefault="00000000" w:rsidP="00101936">
      <w:pPr>
        <w:tabs>
          <w:tab w:val="right" w:leader="dot" w:pos="9412"/>
        </w:tabs>
        <w:spacing w:after="40"/>
        <w:ind w:left="360"/>
        <w:jc w:val="both"/>
        <w:rPr>
          <w:rFonts w:asciiTheme="majorHAnsi" w:hAnsiTheme="majorHAnsi" w:cstheme="majorHAnsi"/>
        </w:rPr>
      </w:pPr>
      <w:r w:rsidRPr="00101936">
        <w:rPr>
          <w:rFonts w:asciiTheme="majorHAnsi" w:hAnsiTheme="majorHAnsi" w:cstheme="majorHAnsi"/>
          <w:sz w:val="21"/>
          <w:szCs w:val="21"/>
        </w:rPr>
        <w:t>1.1 DNSE and its business model</w:t>
      </w:r>
      <w:r w:rsidRPr="00101936">
        <w:rPr>
          <w:rFonts w:asciiTheme="majorHAnsi" w:hAnsiTheme="majorHAnsi" w:cstheme="majorHAnsi"/>
          <w:sz w:val="21"/>
          <w:szCs w:val="21"/>
        </w:rPr>
        <w:tab/>
        <w:t>5</w:t>
      </w:r>
    </w:p>
    <w:p w14:paraId="43071850" w14:textId="77777777" w:rsidR="00CF7FD3" w:rsidRPr="00101936" w:rsidRDefault="00000000" w:rsidP="00101936">
      <w:pPr>
        <w:tabs>
          <w:tab w:val="right" w:leader="dot" w:pos="9412"/>
        </w:tabs>
        <w:spacing w:after="40"/>
        <w:ind w:left="360"/>
        <w:jc w:val="both"/>
        <w:rPr>
          <w:rFonts w:asciiTheme="majorHAnsi" w:hAnsiTheme="majorHAnsi" w:cstheme="majorHAnsi"/>
        </w:rPr>
      </w:pPr>
      <w:r w:rsidRPr="00101936">
        <w:rPr>
          <w:rFonts w:asciiTheme="majorHAnsi" w:hAnsiTheme="majorHAnsi" w:cstheme="majorHAnsi"/>
          <w:sz w:val="21"/>
          <w:szCs w:val="21"/>
        </w:rPr>
        <w:t>1.2 Vietnam context and the market gap</w:t>
      </w:r>
      <w:r w:rsidRPr="00101936">
        <w:rPr>
          <w:rFonts w:asciiTheme="majorHAnsi" w:hAnsiTheme="majorHAnsi" w:cstheme="majorHAnsi"/>
          <w:sz w:val="21"/>
          <w:szCs w:val="21"/>
        </w:rPr>
        <w:tab/>
        <w:t>5</w:t>
      </w:r>
    </w:p>
    <w:p w14:paraId="023C9919" w14:textId="77777777" w:rsidR="00CF7FD3" w:rsidRPr="00101936" w:rsidRDefault="00000000" w:rsidP="00101936">
      <w:pPr>
        <w:tabs>
          <w:tab w:val="right" w:leader="dot" w:pos="9412"/>
        </w:tabs>
        <w:spacing w:after="40"/>
        <w:ind w:left="360"/>
        <w:jc w:val="both"/>
        <w:rPr>
          <w:rFonts w:asciiTheme="majorHAnsi" w:hAnsiTheme="majorHAnsi" w:cstheme="majorHAnsi"/>
        </w:rPr>
      </w:pPr>
      <w:r w:rsidRPr="00101936">
        <w:rPr>
          <w:rFonts w:asciiTheme="majorHAnsi" w:hAnsiTheme="majorHAnsi" w:cstheme="majorHAnsi"/>
          <w:sz w:val="21"/>
          <w:szCs w:val="21"/>
        </w:rPr>
        <w:t>1.3 Business question and scope</w:t>
      </w:r>
      <w:r w:rsidRPr="00101936">
        <w:rPr>
          <w:rFonts w:asciiTheme="majorHAnsi" w:hAnsiTheme="majorHAnsi" w:cstheme="majorHAnsi"/>
          <w:sz w:val="21"/>
          <w:szCs w:val="21"/>
        </w:rPr>
        <w:tab/>
        <w:t>6</w:t>
      </w:r>
    </w:p>
    <w:p w14:paraId="69C9F400" w14:textId="77777777" w:rsidR="00CF7FD3" w:rsidRPr="00101936" w:rsidRDefault="00000000" w:rsidP="00101936">
      <w:pPr>
        <w:tabs>
          <w:tab w:val="right" w:leader="dot" w:pos="9412"/>
        </w:tabs>
        <w:spacing w:after="40"/>
        <w:jc w:val="both"/>
        <w:rPr>
          <w:rFonts w:asciiTheme="majorHAnsi" w:hAnsiTheme="majorHAnsi" w:cstheme="majorHAnsi"/>
        </w:rPr>
      </w:pPr>
      <w:r w:rsidRPr="00101936">
        <w:rPr>
          <w:rFonts w:asciiTheme="majorHAnsi" w:hAnsiTheme="majorHAnsi" w:cstheme="majorHAnsi"/>
          <w:b/>
          <w:bCs/>
          <w:sz w:val="21"/>
          <w:szCs w:val="21"/>
        </w:rPr>
        <w:t>2. Findings of observations</w:t>
      </w:r>
      <w:r w:rsidRPr="00101936">
        <w:rPr>
          <w:rFonts w:asciiTheme="majorHAnsi" w:hAnsiTheme="majorHAnsi" w:cstheme="majorHAnsi"/>
          <w:sz w:val="21"/>
          <w:szCs w:val="21"/>
        </w:rPr>
        <w:tab/>
        <w:t>7</w:t>
      </w:r>
    </w:p>
    <w:p w14:paraId="03A28C62" w14:textId="77777777" w:rsidR="00CF7FD3" w:rsidRPr="00101936" w:rsidRDefault="00000000" w:rsidP="00101936">
      <w:pPr>
        <w:tabs>
          <w:tab w:val="right" w:leader="dot" w:pos="9412"/>
        </w:tabs>
        <w:spacing w:after="40"/>
        <w:ind w:left="360"/>
        <w:jc w:val="both"/>
        <w:rPr>
          <w:rFonts w:asciiTheme="majorHAnsi" w:hAnsiTheme="majorHAnsi" w:cstheme="majorHAnsi"/>
        </w:rPr>
      </w:pPr>
      <w:r w:rsidRPr="00101936">
        <w:rPr>
          <w:rFonts w:asciiTheme="majorHAnsi" w:hAnsiTheme="majorHAnsi" w:cstheme="majorHAnsi"/>
          <w:sz w:val="21"/>
          <w:szCs w:val="21"/>
        </w:rPr>
        <w:t>2.1 Evidence base and method</w:t>
      </w:r>
      <w:r w:rsidRPr="00101936">
        <w:rPr>
          <w:rFonts w:asciiTheme="majorHAnsi" w:hAnsiTheme="majorHAnsi" w:cstheme="majorHAnsi"/>
          <w:sz w:val="21"/>
          <w:szCs w:val="21"/>
        </w:rPr>
        <w:tab/>
        <w:t>7</w:t>
      </w:r>
    </w:p>
    <w:p w14:paraId="0DF030B2" w14:textId="77777777" w:rsidR="00CF7FD3" w:rsidRPr="00101936" w:rsidRDefault="00000000" w:rsidP="00101936">
      <w:pPr>
        <w:tabs>
          <w:tab w:val="right" w:leader="dot" w:pos="9412"/>
        </w:tabs>
        <w:spacing w:after="40"/>
        <w:ind w:left="360"/>
        <w:jc w:val="both"/>
        <w:rPr>
          <w:rFonts w:asciiTheme="majorHAnsi" w:hAnsiTheme="majorHAnsi" w:cstheme="majorHAnsi"/>
        </w:rPr>
      </w:pPr>
      <w:r w:rsidRPr="00101936">
        <w:rPr>
          <w:rFonts w:asciiTheme="majorHAnsi" w:hAnsiTheme="majorHAnsi" w:cstheme="majorHAnsi"/>
          <w:sz w:val="21"/>
          <w:szCs w:val="21"/>
        </w:rPr>
        <w:t>2.2 Finding 1. Accounts are opened but rarely funded</w:t>
      </w:r>
      <w:r w:rsidRPr="00101936">
        <w:rPr>
          <w:rFonts w:asciiTheme="majorHAnsi" w:hAnsiTheme="majorHAnsi" w:cstheme="majorHAnsi"/>
          <w:sz w:val="21"/>
          <w:szCs w:val="21"/>
        </w:rPr>
        <w:tab/>
        <w:t>7</w:t>
      </w:r>
    </w:p>
    <w:p w14:paraId="5288CCC4" w14:textId="77777777" w:rsidR="00CF7FD3" w:rsidRPr="00101936" w:rsidRDefault="00000000" w:rsidP="00101936">
      <w:pPr>
        <w:tabs>
          <w:tab w:val="right" w:leader="dot" w:pos="9412"/>
        </w:tabs>
        <w:spacing w:after="40"/>
        <w:ind w:left="360"/>
        <w:jc w:val="both"/>
        <w:rPr>
          <w:rFonts w:asciiTheme="majorHAnsi" w:hAnsiTheme="majorHAnsi" w:cstheme="majorHAnsi"/>
        </w:rPr>
      </w:pPr>
      <w:r w:rsidRPr="00101936">
        <w:rPr>
          <w:rFonts w:asciiTheme="majorHAnsi" w:hAnsiTheme="majorHAnsi" w:cstheme="majorHAnsi"/>
          <w:sz w:val="21"/>
          <w:szCs w:val="21"/>
        </w:rPr>
        <w:t>2.3 Finding 2. Free trades lose money</w:t>
      </w:r>
      <w:r w:rsidRPr="00101936">
        <w:rPr>
          <w:rFonts w:asciiTheme="majorHAnsi" w:hAnsiTheme="majorHAnsi" w:cstheme="majorHAnsi"/>
          <w:sz w:val="21"/>
          <w:szCs w:val="21"/>
        </w:rPr>
        <w:tab/>
        <w:t>8</w:t>
      </w:r>
    </w:p>
    <w:p w14:paraId="65246C91" w14:textId="77777777" w:rsidR="00CF7FD3" w:rsidRPr="00101936" w:rsidRDefault="00000000" w:rsidP="00101936">
      <w:pPr>
        <w:tabs>
          <w:tab w:val="right" w:leader="dot" w:pos="9412"/>
        </w:tabs>
        <w:spacing w:after="40"/>
        <w:ind w:left="360"/>
        <w:jc w:val="both"/>
        <w:rPr>
          <w:rFonts w:asciiTheme="majorHAnsi" w:hAnsiTheme="majorHAnsi" w:cstheme="majorHAnsi"/>
        </w:rPr>
      </w:pPr>
      <w:r w:rsidRPr="00101936">
        <w:rPr>
          <w:rFonts w:asciiTheme="majorHAnsi" w:hAnsiTheme="majorHAnsi" w:cstheme="majorHAnsi"/>
          <w:sz w:val="21"/>
          <w:szCs w:val="21"/>
        </w:rPr>
        <w:t>2.4 Finding 3. Lending growth is capital-intensive</w:t>
      </w:r>
      <w:r w:rsidRPr="00101936">
        <w:rPr>
          <w:rFonts w:asciiTheme="majorHAnsi" w:hAnsiTheme="majorHAnsi" w:cstheme="majorHAnsi"/>
          <w:sz w:val="21"/>
          <w:szCs w:val="21"/>
        </w:rPr>
        <w:tab/>
        <w:t>8</w:t>
      </w:r>
    </w:p>
    <w:p w14:paraId="4165F00F" w14:textId="77777777" w:rsidR="00CF7FD3" w:rsidRPr="00101936" w:rsidRDefault="00000000" w:rsidP="00101936">
      <w:pPr>
        <w:tabs>
          <w:tab w:val="right" w:leader="dot" w:pos="9412"/>
        </w:tabs>
        <w:spacing w:after="40"/>
        <w:ind w:left="360"/>
        <w:jc w:val="both"/>
        <w:rPr>
          <w:rFonts w:asciiTheme="majorHAnsi" w:hAnsiTheme="majorHAnsi" w:cstheme="majorHAnsi"/>
        </w:rPr>
      </w:pPr>
      <w:r w:rsidRPr="00101936">
        <w:rPr>
          <w:rFonts w:asciiTheme="majorHAnsi" w:hAnsiTheme="majorHAnsi" w:cstheme="majorHAnsi"/>
          <w:sz w:val="21"/>
          <w:szCs w:val="21"/>
        </w:rPr>
        <w:t>2.5 Finding 4. Idle accounts make the platform a fixed cost</w:t>
      </w:r>
      <w:r w:rsidRPr="00101936">
        <w:rPr>
          <w:rFonts w:asciiTheme="majorHAnsi" w:hAnsiTheme="majorHAnsi" w:cstheme="majorHAnsi"/>
          <w:sz w:val="21"/>
          <w:szCs w:val="21"/>
        </w:rPr>
        <w:tab/>
        <w:t>9</w:t>
      </w:r>
    </w:p>
    <w:p w14:paraId="7EB7532D" w14:textId="77777777" w:rsidR="00CF7FD3" w:rsidRPr="00101936" w:rsidRDefault="00000000" w:rsidP="00101936">
      <w:pPr>
        <w:tabs>
          <w:tab w:val="right" w:leader="dot" w:pos="9412"/>
        </w:tabs>
        <w:spacing w:after="40"/>
        <w:ind w:left="360"/>
        <w:jc w:val="both"/>
        <w:rPr>
          <w:rFonts w:asciiTheme="majorHAnsi" w:hAnsiTheme="majorHAnsi" w:cstheme="majorHAnsi"/>
        </w:rPr>
      </w:pPr>
      <w:r w:rsidRPr="00101936">
        <w:rPr>
          <w:rFonts w:asciiTheme="majorHAnsi" w:hAnsiTheme="majorHAnsi" w:cstheme="majorHAnsi"/>
          <w:sz w:val="21"/>
          <w:szCs w:val="21"/>
        </w:rPr>
        <w:t>2.6 Finding 5. Trust complaints are specific to DNSE</w:t>
      </w:r>
      <w:r w:rsidRPr="00101936">
        <w:rPr>
          <w:rFonts w:asciiTheme="majorHAnsi" w:hAnsiTheme="majorHAnsi" w:cstheme="majorHAnsi"/>
          <w:sz w:val="21"/>
          <w:szCs w:val="21"/>
        </w:rPr>
        <w:tab/>
        <w:t>9</w:t>
      </w:r>
    </w:p>
    <w:p w14:paraId="59FEDC7B" w14:textId="77777777" w:rsidR="00CF7FD3" w:rsidRPr="00101936" w:rsidRDefault="00000000" w:rsidP="00101936">
      <w:pPr>
        <w:tabs>
          <w:tab w:val="right" w:leader="dot" w:pos="9412"/>
        </w:tabs>
        <w:spacing w:after="40"/>
        <w:ind w:left="360"/>
        <w:jc w:val="both"/>
        <w:rPr>
          <w:rFonts w:asciiTheme="majorHAnsi" w:hAnsiTheme="majorHAnsi" w:cstheme="majorHAnsi"/>
        </w:rPr>
      </w:pPr>
      <w:r w:rsidRPr="00101936">
        <w:rPr>
          <w:rFonts w:asciiTheme="majorHAnsi" w:hAnsiTheme="majorHAnsi" w:cstheme="majorHAnsi"/>
          <w:sz w:val="21"/>
          <w:szCs w:val="21"/>
        </w:rPr>
        <w:t>2.7 Finding 6. Saving products exist but reach few customers</w:t>
      </w:r>
      <w:r w:rsidRPr="00101936">
        <w:rPr>
          <w:rFonts w:asciiTheme="majorHAnsi" w:hAnsiTheme="majorHAnsi" w:cstheme="majorHAnsi"/>
          <w:sz w:val="21"/>
          <w:szCs w:val="21"/>
        </w:rPr>
        <w:tab/>
        <w:t>10</w:t>
      </w:r>
    </w:p>
    <w:p w14:paraId="215D53B2" w14:textId="77777777" w:rsidR="00CF7FD3" w:rsidRPr="00101936" w:rsidRDefault="00000000" w:rsidP="00101936">
      <w:pPr>
        <w:tabs>
          <w:tab w:val="right" w:leader="dot" w:pos="9412"/>
        </w:tabs>
        <w:spacing w:after="40"/>
        <w:jc w:val="both"/>
        <w:rPr>
          <w:rFonts w:asciiTheme="majorHAnsi" w:hAnsiTheme="majorHAnsi" w:cstheme="majorHAnsi"/>
        </w:rPr>
      </w:pPr>
      <w:r w:rsidRPr="00101936">
        <w:rPr>
          <w:rFonts w:asciiTheme="majorHAnsi" w:hAnsiTheme="majorHAnsi" w:cstheme="majorHAnsi"/>
          <w:b/>
          <w:bCs/>
          <w:sz w:val="21"/>
          <w:szCs w:val="21"/>
        </w:rPr>
        <w:t>3. Discussion and main analysis</w:t>
      </w:r>
      <w:r w:rsidRPr="00101936">
        <w:rPr>
          <w:rFonts w:asciiTheme="majorHAnsi" w:hAnsiTheme="majorHAnsi" w:cstheme="majorHAnsi"/>
          <w:sz w:val="21"/>
          <w:szCs w:val="21"/>
        </w:rPr>
        <w:tab/>
        <w:t>11</w:t>
      </w:r>
    </w:p>
    <w:p w14:paraId="1460948E" w14:textId="77777777" w:rsidR="00CF7FD3" w:rsidRPr="00101936" w:rsidRDefault="00000000" w:rsidP="00101936">
      <w:pPr>
        <w:tabs>
          <w:tab w:val="right" w:leader="dot" w:pos="9412"/>
        </w:tabs>
        <w:spacing w:after="40"/>
        <w:ind w:left="360"/>
        <w:jc w:val="both"/>
        <w:rPr>
          <w:rFonts w:asciiTheme="majorHAnsi" w:hAnsiTheme="majorHAnsi" w:cstheme="majorHAnsi"/>
        </w:rPr>
      </w:pPr>
      <w:r w:rsidRPr="00101936">
        <w:rPr>
          <w:rFonts w:asciiTheme="majorHAnsi" w:hAnsiTheme="majorHAnsi" w:cstheme="majorHAnsi"/>
          <w:sz w:val="21"/>
          <w:szCs w:val="21"/>
        </w:rPr>
        <w:t>3.1 From symptom to root cause</w:t>
      </w:r>
      <w:r w:rsidRPr="00101936">
        <w:rPr>
          <w:rFonts w:asciiTheme="majorHAnsi" w:hAnsiTheme="majorHAnsi" w:cstheme="majorHAnsi"/>
          <w:sz w:val="21"/>
          <w:szCs w:val="21"/>
        </w:rPr>
        <w:tab/>
        <w:t>11</w:t>
      </w:r>
    </w:p>
    <w:p w14:paraId="582FCA99" w14:textId="77777777" w:rsidR="00CF7FD3" w:rsidRPr="00101936" w:rsidRDefault="00000000" w:rsidP="00101936">
      <w:pPr>
        <w:tabs>
          <w:tab w:val="right" w:leader="dot" w:pos="9412"/>
        </w:tabs>
        <w:spacing w:after="40"/>
        <w:ind w:left="360"/>
        <w:jc w:val="both"/>
        <w:rPr>
          <w:rFonts w:asciiTheme="majorHAnsi" w:hAnsiTheme="majorHAnsi" w:cstheme="majorHAnsi"/>
        </w:rPr>
      </w:pPr>
      <w:r w:rsidRPr="00101936">
        <w:rPr>
          <w:rFonts w:asciiTheme="majorHAnsi" w:hAnsiTheme="majorHAnsi" w:cstheme="majorHAnsi"/>
          <w:sz w:val="21"/>
          <w:szCs w:val="21"/>
        </w:rPr>
        <w:t>3.2 Account growth has not produced balances or profit</w:t>
      </w:r>
      <w:r w:rsidRPr="00101936">
        <w:rPr>
          <w:rFonts w:asciiTheme="majorHAnsi" w:hAnsiTheme="majorHAnsi" w:cstheme="majorHAnsi"/>
          <w:sz w:val="21"/>
          <w:szCs w:val="21"/>
        </w:rPr>
        <w:tab/>
        <w:t>11</w:t>
      </w:r>
    </w:p>
    <w:p w14:paraId="3C7C4692" w14:textId="77777777" w:rsidR="00CF7FD3" w:rsidRPr="00101936" w:rsidRDefault="00000000" w:rsidP="00101936">
      <w:pPr>
        <w:tabs>
          <w:tab w:val="right" w:leader="dot" w:pos="9412"/>
        </w:tabs>
        <w:spacing w:after="40"/>
        <w:ind w:left="360"/>
        <w:jc w:val="both"/>
        <w:rPr>
          <w:rFonts w:asciiTheme="majorHAnsi" w:hAnsiTheme="majorHAnsi" w:cstheme="majorHAnsi"/>
        </w:rPr>
      </w:pPr>
      <w:r w:rsidRPr="00101936">
        <w:rPr>
          <w:rFonts w:asciiTheme="majorHAnsi" w:hAnsiTheme="majorHAnsi" w:cstheme="majorHAnsi"/>
          <w:sz w:val="21"/>
          <w:szCs w:val="21"/>
        </w:rPr>
        <w:t>3.3 Trust fails at the point of deposit</w:t>
      </w:r>
      <w:r w:rsidRPr="00101936">
        <w:rPr>
          <w:rFonts w:asciiTheme="majorHAnsi" w:hAnsiTheme="majorHAnsi" w:cstheme="majorHAnsi"/>
          <w:sz w:val="21"/>
          <w:szCs w:val="21"/>
        </w:rPr>
        <w:tab/>
        <w:t>12</w:t>
      </w:r>
    </w:p>
    <w:p w14:paraId="06AC139A" w14:textId="77777777" w:rsidR="00CF7FD3" w:rsidRPr="00101936" w:rsidRDefault="00000000" w:rsidP="00101936">
      <w:pPr>
        <w:tabs>
          <w:tab w:val="right" w:leader="dot" w:pos="9412"/>
        </w:tabs>
        <w:spacing w:after="40"/>
        <w:ind w:left="360"/>
        <w:jc w:val="both"/>
        <w:rPr>
          <w:rFonts w:asciiTheme="majorHAnsi" w:hAnsiTheme="majorHAnsi" w:cstheme="majorHAnsi"/>
        </w:rPr>
      </w:pPr>
      <w:r w:rsidRPr="00101936">
        <w:rPr>
          <w:rFonts w:asciiTheme="majorHAnsi" w:hAnsiTheme="majorHAnsi" w:cstheme="majorHAnsi"/>
          <w:sz w:val="21"/>
          <w:szCs w:val="21"/>
        </w:rPr>
        <w:t>3.4 Intention without a route to investment</w:t>
      </w:r>
      <w:r w:rsidRPr="00101936">
        <w:rPr>
          <w:rFonts w:asciiTheme="majorHAnsi" w:hAnsiTheme="majorHAnsi" w:cstheme="majorHAnsi"/>
          <w:sz w:val="21"/>
          <w:szCs w:val="21"/>
        </w:rPr>
        <w:tab/>
        <w:t>12</w:t>
      </w:r>
    </w:p>
    <w:p w14:paraId="1278B624" w14:textId="77777777" w:rsidR="00CF7FD3" w:rsidRPr="00101936" w:rsidRDefault="00000000" w:rsidP="00101936">
      <w:pPr>
        <w:tabs>
          <w:tab w:val="right" w:leader="dot" w:pos="9412"/>
        </w:tabs>
        <w:spacing w:after="40"/>
        <w:ind w:left="360"/>
        <w:jc w:val="both"/>
        <w:rPr>
          <w:rFonts w:asciiTheme="majorHAnsi" w:hAnsiTheme="majorHAnsi" w:cstheme="majorHAnsi"/>
        </w:rPr>
      </w:pPr>
      <w:r w:rsidRPr="00101936">
        <w:rPr>
          <w:rFonts w:asciiTheme="majorHAnsi" w:hAnsiTheme="majorHAnsi" w:cstheme="majorHAnsi"/>
          <w:sz w:val="21"/>
          <w:szCs w:val="21"/>
        </w:rPr>
        <w:t>3.5 Alternative explanations</w:t>
      </w:r>
      <w:r w:rsidRPr="00101936">
        <w:rPr>
          <w:rFonts w:asciiTheme="majorHAnsi" w:hAnsiTheme="majorHAnsi" w:cstheme="majorHAnsi"/>
          <w:sz w:val="21"/>
          <w:szCs w:val="21"/>
        </w:rPr>
        <w:tab/>
        <w:t>12</w:t>
      </w:r>
    </w:p>
    <w:p w14:paraId="3BF04996" w14:textId="77777777" w:rsidR="00CF7FD3" w:rsidRPr="00101936" w:rsidRDefault="00000000" w:rsidP="00101936">
      <w:pPr>
        <w:tabs>
          <w:tab w:val="right" w:leader="dot" w:pos="9412"/>
        </w:tabs>
        <w:spacing w:after="40"/>
        <w:ind w:left="360"/>
        <w:jc w:val="both"/>
        <w:rPr>
          <w:rFonts w:asciiTheme="majorHAnsi" w:hAnsiTheme="majorHAnsi" w:cstheme="majorHAnsi"/>
        </w:rPr>
      </w:pPr>
      <w:r w:rsidRPr="00101936">
        <w:rPr>
          <w:rFonts w:asciiTheme="majorHAnsi" w:hAnsiTheme="majorHAnsi" w:cstheme="majorHAnsi"/>
          <w:sz w:val="21"/>
          <w:szCs w:val="21"/>
        </w:rPr>
        <w:t>3.6 Core problem and design conditions</w:t>
      </w:r>
      <w:r w:rsidRPr="00101936">
        <w:rPr>
          <w:rFonts w:asciiTheme="majorHAnsi" w:hAnsiTheme="majorHAnsi" w:cstheme="majorHAnsi"/>
          <w:sz w:val="21"/>
          <w:szCs w:val="21"/>
        </w:rPr>
        <w:tab/>
        <w:t>13</w:t>
      </w:r>
    </w:p>
    <w:p w14:paraId="0C43D66A" w14:textId="77777777" w:rsidR="00CF7FD3" w:rsidRPr="00101936" w:rsidRDefault="00000000" w:rsidP="00101936">
      <w:pPr>
        <w:tabs>
          <w:tab w:val="right" w:leader="dot" w:pos="9412"/>
        </w:tabs>
        <w:spacing w:after="40"/>
        <w:jc w:val="both"/>
        <w:rPr>
          <w:rFonts w:asciiTheme="majorHAnsi" w:hAnsiTheme="majorHAnsi" w:cstheme="majorHAnsi"/>
        </w:rPr>
      </w:pPr>
      <w:r w:rsidRPr="00101936">
        <w:rPr>
          <w:rFonts w:asciiTheme="majorHAnsi" w:hAnsiTheme="majorHAnsi" w:cstheme="majorHAnsi"/>
          <w:b/>
          <w:bCs/>
          <w:sz w:val="21"/>
          <w:szCs w:val="21"/>
        </w:rPr>
        <w:t>4. Recommendations</w:t>
      </w:r>
      <w:r w:rsidRPr="00101936">
        <w:rPr>
          <w:rFonts w:asciiTheme="majorHAnsi" w:hAnsiTheme="majorHAnsi" w:cstheme="majorHAnsi"/>
          <w:sz w:val="21"/>
          <w:szCs w:val="21"/>
        </w:rPr>
        <w:tab/>
        <w:t>13</w:t>
      </w:r>
    </w:p>
    <w:p w14:paraId="21854899" w14:textId="77777777" w:rsidR="00CF7FD3" w:rsidRPr="00101936" w:rsidRDefault="00000000" w:rsidP="00101936">
      <w:pPr>
        <w:tabs>
          <w:tab w:val="right" w:leader="dot" w:pos="9412"/>
        </w:tabs>
        <w:spacing w:after="40"/>
        <w:ind w:left="360"/>
        <w:jc w:val="both"/>
        <w:rPr>
          <w:rFonts w:asciiTheme="majorHAnsi" w:hAnsiTheme="majorHAnsi" w:cstheme="majorHAnsi"/>
        </w:rPr>
      </w:pPr>
      <w:r w:rsidRPr="00101936">
        <w:rPr>
          <w:rFonts w:asciiTheme="majorHAnsi" w:hAnsiTheme="majorHAnsi" w:cstheme="majorHAnsi"/>
          <w:sz w:val="21"/>
          <w:szCs w:val="21"/>
        </w:rPr>
        <w:t>4.1 Payday Portfolio</w:t>
      </w:r>
      <w:r w:rsidRPr="00101936">
        <w:rPr>
          <w:rFonts w:asciiTheme="majorHAnsi" w:hAnsiTheme="majorHAnsi" w:cstheme="majorHAnsi"/>
          <w:sz w:val="21"/>
          <w:szCs w:val="21"/>
        </w:rPr>
        <w:tab/>
        <w:t>13</w:t>
      </w:r>
    </w:p>
    <w:p w14:paraId="113ECFE1" w14:textId="77777777" w:rsidR="00CF7FD3" w:rsidRPr="00101936" w:rsidRDefault="00000000" w:rsidP="00101936">
      <w:pPr>
        <w:tabs>
          <w:tab w:val="right" w:leader="dot" w:pos="9412"/>
        </w:tabs>
        <w:spacing w:after="40"/>
        <w:ind w:left="360"/>
        <w:jc w:val="both"/>
        <w:rPr>
          <w:rFonts w:asciiTheme="majorHAnsi" w:hAnsiTheme="majorHAnsi" w:cstheme="majorHAnsi"/>
        </w:rPr>
      </w:pPr>
      <w:r w:rsidRPr="00101936">
        <w:rPr>
          <w:rFonts w:asciiTheme="majorHAnsi" w:hAnsiTheme="majorHAnsi" w:cstheme="majorHAnsi"/>
          <w:sz w:val="21"/>
          <w:szCs w:val="21"/>
        </w:rPr>
        <w:t>4.2 How Payday Portfolio works</w:t>
      </w:r>
      <w:r w:rsidRPr="00101936">
        <w:rPr>
          <w:rFonts w:asciiTheme="majorHAnsi" w:hAnsiTheme="majorHAnsi" w:cstheme="majorHAnsi"/>
          <w:sz w:val="21"/>
          <w:szCs w:val="21"/>
        </w:rPr>
        <w:tab/>
        <w:t>13</w:t>
      </w:r>
    </w:p>
    <w:p w14:paraId="31B9AA5B" w14:textId="77777777" w:rsidR="00CF7FD3" w:rsidRPr="00101936" w:rsidRDefault="00000000" w:rsidP="00101936">
      <w:pPr>
        <w:tabs>
          <w:tab w:val="right" w:leader="dot" w:pos="9412"/>
        </w:tabs>
        <w:spacing w:after="40"/>
        <w:ind w:left="360"/>
        <w:jc w:val="both"/>
        <w:rPr>
          <w:rFonts w:asciiTheme="majorHAnsi" w:hAnsiTheme="majorHAnsi" w:cstheme="majorHAnsi"/>
        </w:rPr>
      </w:pPr>
      <w:r w:rsidRPr="00101936">
        <w:rPr>
          <w:rFonts w:asciiTheme="majorHAnsi" w:hAnsiTheme="majorHAnsi" w:cstheme="majorHAnsi"/>
          <w:sz w:val="21"/>
          <w:szCs w:val="21"/>
        </w:rPr>
        <w:t>4.3 How Payday Portfolio resolves the core problem</w:t>
      </w:r>
      <w:r w:rsidRPr="00101936">
        <w:rPr>
          <w:rFonts w:asciiTheme="majorHAnsi" w:hAnsiTheme="majorHAnsi" w:cstheme="majorHAnsi"/>
          <w:sz w:val="21"/>
          <w:szCs w:val="21"/>
        </w:rPr>
        <w:tab/>
        <w:t>14</w:t>
      </w:r>
    </w:p>
    <w:p w14:paraId="3AC920B4" w14:textId="77777777" w:rsidR="00CF7FD3" w:rsidRPr="00101936" w:rsidRDefault="00000000" w:rsidP="00101936">
      <w:pPr>
        <w:tabs>
          <w:tab w:val="right" w:leader="dot" w:pos="9412"/>
        </w:tabs>
        <w:spacing w:after="40"/>
        <w:ind w:left="360"/>
        <w:jc w:val="both"/>
        <w:rPr>
          <w:rFonts w:asciiTheme="majorHAnsi" w:hAnsiTheme="majorHAnsi" w:cstheme="majorHAnsi"/>
        </w:rPr>
      </w:pPr>
      <w:r w:rsidRPr="00101936">
        <w:rPr>
          <w:rFonts w:asciiTheme="majorHAnsi" w:hAnsiTheme="majorHAnsi" w:cstheme="majorHAnsi"/>
          <w:sz w:val="21"/>
          <w:szCs w:val="21"/>
        </w:rPr>
        <w:t>4.4 Extending DNSE's technology ecosystem</w:t>
      </w:r>
      <w:r w:rsidRPr="00101936">
        <w:rPr>
          <w:rFonts w:asciiTheme="majorHAnsi" w:hAnsiTheme="majorHAnsi" w:cstheme="majorHAnsi"/>
          <w:sz w:val="21"/>
          <w:szCs w:val="21"/>
        </w:rPr>
        <w:tab/>
        <w:t>15</w:t>
      </w:r>
    </w:p>
    <w:p w14:paraId="50F86358" w14:textId="77777777" w:rsidR="00CF7FD3" w:rsidRPr="00101936" w:rsidRDefault="00000000" w:rsidP="00101936">
      <w:pPr>
        <w:tabs>
          <w:tab w:val="right" w:leader="dot" w:pos="9412"/>
        </w:tabs>
        <w:spacing w:after="40"/>
        <w:jc w:val="both"/>
        <w:rPr>
          <w:rFonts w:asciiTheme="majorHAnsi" w:hAnsiTheme="majorHAnsi" w:cstheme="majorHAnsi"/>
        </w:rPr>
      </w:pPr>
      <w:r w:rsidRPr="00101936">
        <w:rPr>
          <w:rFonts w:asciiTheme="majorHAnsi" w:hAnsiTheme="majorHAnsi" w:cstheme="majorHAnsi"/>
          <w:b/>
          <w:bCs/>
          <w:sz w:val="21"/>
          <w:szCs w:val="21"/>
        </w:rPr>
        <w:t>5. Conclusion</w:t>
      </w:r>
      <w:r w:rsidRPr="00101936">
        <w:rPr>
          <w:rFonts w:asciiTheme="majorHAnsi" w:hAnsiTheme="majorHAnsi" w:cstheme="majorHAnsi"/>
          <w:sz w:val="21"/>
          <w:szCs w:val="21"/>
        </w:rPr>
        <w:tab/>
        <w:t>16</w:t>
      </w:r>
    </w:p>
    <w:p w14:paraId="64080B85" w14:textId="77777777" w:rsidR="00CF7FD3" w:rsidRPr="00101936" w:rsidRDefault="00000000" w:rsidP="00101936">
      <w:pPr>
        <w:tabs>
          <w:tab w:val="right" w:leader="dot" w:pos="9412"/>
        </w:tabs>
        <w:spacing w:after="40"/>
        <w:jc w:val="both"/>
        <w:rPr>
          <w:rFonts w:asciiTheme="majorHAnsi" w:hAnsiTheme="majorHAnsi" w:cstheme="majorHAnsi"/>
        </w:rPr>
      </w:pPr>
      <w:r w:rsidRPr="00101936">
        <w:rPr>
          <w:rFonts w:asciiTheme="majorHAnsi" w:hAnsiTheme="majorHAnsi" w:cstheme="majorHAnsi"/>
          <w:b/>
          <w:bCs/>
          <w:sz w:val="21"/>
          <w:szCs w:val="21"/>
        </w:rPr>
        <w:t>Appendices</w:t>
      </w:r>
      <w:r w:rsidRPr="00101936">
        <w:rPr>
          <w:rFonts w:asciiTheme="majorHAnsi" w:hAnsiTheme="majorHAnsi" w:cstheme="majorHAnsi"/>
          <w:sz w:val="21"/>
          <w:szCs w:val="21"/>
        </w:rPr>
        <w:tab/>
        <w:t>17</w:t>
      </w:r>
    </w:p>
    <w:p w14:paraId="23AEE461" w14:textId="77777777" w:rsidR="00CF7FD3" w:rsidRPr="00101936" w:rsidRDefault="00000000" w:rsidP="00101936">
      <w:pPr>
        <w:tabs>
          <w:tab w:val="right" w:leader="dot" w:pos="9412"/>
        </w:tabs>
        <w:spacing w:after="40"/>
        <w:ind w:left="360"/>
        <w:jc w:val="both"/>
        <w:rPr>
          <w:rFonts w:asciiTheme="majorHAnsi" w:hAnsiTheme="majorHAnsi" w:cstheme="majorHAnsi"/>
        </w:rPr>
      </w:pPr>
      <w:r w:rsidRPr="00101936">
        <w:rPr>
          <w:rFonts w:asciiTheme="majorHAnsi" w:hAnsiTheme="majorHAnsi" w:cstheme="majorHAnsi"/>
          <w:sz w:val="21"/>
          <w:szCs w:val="21"/>
        </w:rPr>
        <w:t>Appendix A. Data preparation and quality</w:t>
      </w:r>
      <w:r w:rsidRPr="00101936">
        <w:rPr>
          <w:rFonts w:asciiTheme="majorHAnsi" w:hAnsiTheme="majorHAnsi" w:cstheme="majorHAnsi"/>
          <w:sz w:val="21"/>
          <w:szCs w:val="21"/>
        </w:rPr>
        <w:tab/>
        <w:t>17</w:t>
      </w:r>
    </w:p>
    <w:p w14:paraId="077C28C5" w14:textId="77777777" w:rsidR="00CF7FD3" w:rsidRPr="00101936" w:rsidRDefault="00000000" w:rsidP="00101936">
      <w:pPr>
        <w:tabs>
          <w:tab w:val="right" w:leader="dot" w:pos="9412"/>
        </w:tabs>
        <w:spacing w:after="40"/>
        <w:ind w:left="360"/>
        <w:jc w:val="both"/>
        <w:rPr>
          <w:rFonts w:asciiTheme="majorHAnsi" w:hAnsiTheme="majorHAnsi" w:cstheme="majorHAnsi"/>
        </w:rPr>
      </w:pPr>
      <w:r w:rsidRPr="00101936">
        <w:rPr>
          <w:rFonts w:asciiTheme="majorHAnsi" w:hAnsiTheme="majorHAnsi" w:cstheme="majorHAnsi"/>
          <w:sz w:val="21"/>
          <w:szCs w:val="21"/>
        </w:rPr>
        <w:t>Appendix B. DNSE financial data</w:t>
      </w:r>
      <w:r w:rsidRPr="00101936">
        <w:rPr>
          <w:rFonts w:asciiTheme="majorHAnsi" w:hAnsiTheme="majorHAnsi" w:cstheme="majorHAnsi"/>
          <w:sz w:val="21"/>
          <w:szCs w:val="21"/>
        </w:rPr>
        <w:tab/>
        <w:t>19</w:t>
      </w:r>
    </w:p>
    <w:p w14:paraId="4134C4A4" w14:textId="77777777" w:rsidR="00CF7FD3" w:rsidRPr="00101936" w:rsidRDefault="00000000" w:rsidP="00101936">
      <w:pPr>
        <w:tabs>
          <w:tab w:val="right" w:leader="dot" w:pos="9412"/>
        </w:tabs>
        <w:spacing w:after="40"/>
        <w:ind w:left="360"/>
        <w:jc w:val="both"/>
        <w:rPr>
          <w:rFonts w:asciiTheme="majorHAnsi" w:hAnsiTheme="majorHAnsi" w:cstheme="majorHAnsi"/>
        </w:rPr>
      </w:pPr>
      <w:r w:rsidRPr="00101936">
        <w:rPr>
          <w:rFonts w:asciiTheme="majorHAnsi" w:hAnsiTheme="majorHAnsi" w:cstheme="majorHAnsi"/>
          <w:sz w:val="21"/>
          <w:szCs w:val="21"/>
        </w:rPr>
        <w:t>Appendix C. Market and peer data</w:t>
      </w:r>
      <w:r w:rsidRPr="00101936">
        <w:rPr>
          <w:rFonts w:asciiTheme="majorHAnsi" w:hAnsiTheme="majorHAnsi" w:cstheme="majorHAnsi"/>
          <w:sz w:val="21"/>
          <w:szCs w:val="21"/>
        </w:rPr>
        <w:tab/>
        <w:t>22</w:t>
      </w:r>
    </w:p>
    <w:p w14:paraId="20688E76" w14:textId="77777777" w:rsidR="00CF7FD3" w:rsidRPr="00101936" w:rsidRDefault="00000000" w:rsidP="00101936">
      <w:pPr>
        <w:tabs>
          <w:tab w:val="right" w:leader="dot" w:pos="9412"/>
        </w:tabs>
        <w:spacing w:after="40"/>
        <w:ind w:left="360"/>
        <w:jc w:val="both"/>
        <w:rPr>
          <w:rFonts w:asciiTheme="majorHAnsi" w:hAnsiTheme="majorHAnsi" w:cstheme="majorHAnsi"/>
        </w:rPr>
      </w:pPr>
      <w:r w:rsidRPr="00101936">
        <w:rPr>
          <w:rFonts w:asciiTheme="majorHAnsi" w:hAnsiTheme="majorHAnsi" w:cstheme="majorHAnsi"/>
          <w:sz w:val="21"/>
          <w:szCs w:val="21"/>
        </w:rPr>
        <w:t>Appendix D. Customer review analysis</w:t>
      </w:r>
      <w:r w:rsidRPr="00101936">
        <w:rPr>
          <w:rFonts w:asciiTheme="majorHAnsi" w:hAnsiTheme="majorHAnsi" w:cstheme="majorHAnsi"/>
          <w:sz w:val="21"/>
          <w:szCs w:val="21"/>
        </w:rPr>
        <w:tab/>
        <w:t>23</w:t>
      </w:r>
    </w:p>
    <w:p w14:paraId="662E1843" w14:textId="77777777" w:rsidR="00CF7FD3" w:rsidRPr="00101936" w:rsidRDefault="00000000" w:rsidP="00101936">
      <w:pPr>
        <w:tabs>
          <w:tab w:val="right" w:leader="dot" w:pos="9412"/>
        </w:tabs>
        <w:spacing w:after="40"/>
        <w:ind w:left="360"/>
        <w:jc w:val="both"/>
        <w:rPr>
          <w:rFonts w:asciiTheme="majorHAnsi" w:hAnsiTheme="majorHAnsi" w:cstheme="majorHAnsi"/>
        </w:rPr>
      </w:pPr>
      <w:r w:rsidRPr="00101936">
        <w:rPr>
          <w:rFonts w:asciiTheme="majorHAnsi" w:hAnsiTheme="majorHAnsi" w:cstheme="majorHAnsi"/>
          <w:sz w:val="21"/>
          <w:szCs w:val="21"/>
        </w:rPr>
        <w:t>Appendix E. Findex segment analysis</w:t>
      </w:r>
      <w:r w:rsidRPr="00101936">
        <w:rPr>
          <w:rFonts w:asciiTheme="majorHAnsi" w:hAnsiTheme="majorHAnsi" w:cstheme="majorHAnsi"/>
          <w:sz w:val="21"/>
          <w:szCs w:val="21"/>
        </w:rPr>
        <w:tab/>
        <w:t>25</w:t>
      </w:r>
    </w:p>
    <w:p w14:paraId="1165A28D" w14:textId="77777777" w:rsidR="00CF7FD3" w:rsidRPr="00101936" w:rsidRDefault="00000000" w:rsidP="00101936">
      <w:pPr>
        <w:tabs>
          <w:tab w:val="right" w:leader="dot" w:pos="9412"/>
        </w:tabs>
        <w:spacing w:after="40"/>
        <w:ind w:left="360"/>
        <w:jc w:val="both"/>
        <w:rPr>
          <w:rFonts w:asciiTheme="majorHAnsi" w:hAnsiTheme="majorHAnsi" w:cstheme="majorHAnsi"/>
        </w:rPr>
      </w:pPr>
      <w:r w:rsidRPr="00101936">
        <w:rPr>
          <w:rFonts w:asciiTheme="majorHAnsi" w:hAnsiTheme="majorHAnsi" w:cstheme="majorHAnsi"/>
          <w:sz w:val="21"/>
          <w:szCs w:val="21"/>
        </w:rPr>
        <w:t>Appendix F. Assumptions, sensitivity and alternative explanations</w:t>
      </w:r>
      <w:r w:rsidRPr="00101936">
        <w:rPr>
          <w:rFonts w:asciiTheme="majorHAnsi" w:hAnsiTheme="majorHAnsi" w:cstheme="majorHAnsi"/>
          <w:sz w:val="21"/>
          <w:szCs w:val="21"/>
        </w:rPr>
        <w:tab/>
        <w:t>27</w:t>
      </w:r>
    </w:p>
    <w:p w14:paraId="0319B765" w14:textId="77777777" w:rsidR="00CF7FD3" w:rsidRPr="00101936" w:rsidRDefault="00000000" w:rsidP="00101936">
      <w:pPr>
        <w:tabs>
          <w:tab w:val="right" w:leader="dot" w:pos="9412"/>
        </w:tabs>
        <w:spacing w:after="40"/>
        <w:ind w:left="360"/>
        <w:jc w:val="both"/>
        <w:rPr>
          <w:rFonts w:asciiTheme="majorHAnsi" w:hAnsiTheme="majorHAnsi" w:cstheme="majorHAnsi"/>
        </w:rPr>
      </w:pPr>
      <w:r w:rsidRPr="00101936">
        <w:rPr>
          <w:rFonts w:asciiTheme="majorHAnsi" w:hAnsiTheme="majorHAnsi" w:cstheme="majorHAnsi"/>
          <w:sz w:val="21"/>
          <w:szCs w:val="21"/>
        </w:rPr>
        <w:t>Appendix G. Regulatory basis and technology proposals</w:t>
      </w:r>
      <w:r w:rsidRPr="00101936">
        <w:rPr>
          <w:rFonts w:asciiTheme="majorHAnsi" w:hAnsiTheme="majorHAnsi" w:cstheme="majorHAnsi"/>
          <w:sz w:val="21"/>
          <w:szCs w:val="21"/>
        </w:rPr>
        <w:tab/>
        <w:t>30</w:t>
      </w:r>
    </w:p>
    <w:p w14:paraId="0C9D4BB3" w14:textId="77777777" w:rsidR="00CF7FD3" w:rsidRPr="00101936" w:rsidRDefault="00000000" w:rsidP="00101936">
      <w:pPr>
        <w:tabs>
          <w:tab w:val="right" w:leader="dot" w:pos="9412"/>
        </w:tabs>
        <w:spacing w:after="40"/>
        <w:jc w:val="both"/>
        <w:rPr>
          <w:rFonts w:asciiTheme="majorHAnsi" w:hAnsiTheme="majorHAnsi" w:cstheme="majorHAnsi"/>
        </w:rPr>
      </w:pPr>
      <w:r w:rsidRPr="00101936">
        <w:rPr>
          <w:rFonts w:asciiTheme="majorHAnsi" w:hAnsiTheme="majorHAnsi" w:cstheme="majorHAnsi"/>
          <w:b/>
          <w:bCs/>
          <w:sz w:val="21"/>
          <w:szCs w:val="21"/>
        </w:rPr>
        <w:t>References</w:t>
      </w:r>
      <w:r w:rsidRPr="00101936">
        <w:rPr>
          <w:rFonts w:asciiTheme="majorHAnsi" w:hAnsiTheme="majorHAnsi" w:cstheme="majorHAnsi"/>
          <w:sz w:val="21"/>
          <w:szCs w:val="21"/>
        </w:rPr>
        <w:tab/>
        <w:t>31</w:t>
      </w:r>
    </w:p>
    <w:p w14:paraId="096DD9BD" w14:textId="77777777" w:rsidR="00CF7FD3" w:rsidRPr="00101936" w:rsidRDefault="00000000" w:rsidP="001B3A39">
      <w:pPr>
        <w:pStyle w:val="Heading1"/>
        <w:keepNext/>
        <w:keepLines/>
        <w:pageBreakBefore/>
        <w:spacing w:before="0"/>
        <w:jc w:val="center"/>
        <w:rPr>
          <w:rFonts w:asciiTheme="majorHAnsi" w:hAnsiTheme="majorHAnsi" w:cstheme="majorHAnsi"/>
        </w:rPr>
      </w:pPr>
      <w:r w:rsidRPr="00101936">
        <w:rPr>
          <w:rFonts w:asciiTheme="majorHAnsi" w:hAnsiTheme="majorHAnsi" w:cstheme="majorHAnsi"/>
        </w:rPr>
        <w:lastRenderedPageBreak/>
        <w:t>List of figures and tables</w:t>
      </w:r>
    </w:p>
    <w:p w14:paraId="5646EB9C" w14:textId="77777777" w:rsidR="00CF7FD3" w:rsidRPr="00101936" w:rsidRDefault="00000000" w:rsidP="00101936">
      <w:pPr>
        <w:spacing w:after="80"/>
        <w:jc w:val="both"/>
        <w:rPr>
          <w:rFonts w:asciiTheme="majorHAnsi" w:hAnsiTheme="majorHAnsi" w:cstheme="majorHAnsi"/>
        </w:rPr>
      </w:pPr>
      <w:r w:rsidRPr="00101936">
        <w:rPr>
          <w:rFonts w:asciiTheme="majorHAnsi" w:hAnsiTheme="majorHAnsi" w:cstheme="majorHAnsi"/>
          <w:b/>
          <w:bCs/>
        </w:rPr>
        <w:t>Figures</w:t>
      </w:r>
    </w:p>
    <w:p w14:paraId="79C9A6F3" w14:textId="77777777" w:rsidR="00CF7FD3" w:rsidRPr="00101936" w:rsidRDefault="00000000" w:rsidP="00101936">
      <w:pPr>
        <w:tabs>
          <w:tab w:val="right" w:leader="dot" w:pos="9412"/>
        </w:tabs>
        <w:spacing w:after="40"/>
        <w:jc w:val="both"/>
        <w:rPr>
          <w:rFonts w:asciiTheme="majorHAnsi" w:hAnsiTheme="majorHAnsi" w:cstheme="majorHAnsi"/>
        </w:rPr>
      </w:pPr>
      <w:r w:rsidRPr="00101936">
        <w:rPr>
          <w:rFonts w:asciiTheme="majorHAnsi" w:hAnsiTheme="majorHAnsi" w:cstheme="majorHAnsi"/>
          <w:sz w:val="21"/>
          <w:szCs w:val="21"/>
        </w:rPr>
        <w:t>Figure 1. Returns on a saver's idle cash, September 2026</w:t>
      </w:r>
      <w:r w:rsidRPr="00101936">
        <w:rPr>
          <w:rFonts w:asciiTheme="majorHAnsi" w:hAnsiTheme="majorHAnsi" w:cstheme="majorHAnsi"/>
          <w:sz w:val="21"/>
          <w:szCs w:val="21"/>
        </w:rPr>
        <w:tab/>
        <w:t>5</w:t>
      </w:r>
    </w:p>
    <w:p w14:paraId="4816A513" w14:textId="77777777" w:rsidR="00CF7FD3" w:rsidRPr="00101936" w:rsidRDefault="00000000" w:rsidP="00101936">
      <w:pPr>
        <w:tabs>
          <w:tab w:val="right" w:leader="dot" w:pos="9412"/>
        </w:tabs>
        <w:spacing w:after="40"/>
        <w:jc w:val="both"/>
        <w:rPr>
          <w:rFonts w:asciiTheme="majorHAnsi" w:hAnsiTheme="majorHAnsi" w:cstheme="majorHAnsi"/>
        </w:rPr>
      </w:pPr>
      <w:r w:rsidRPr="00101936">
        <w:rPr>
          <w:rFonts w:asciiTheme="majorHAnsi" w:hAnsiTheme="majorHAnsi" w:cstheme="majorHAnsi"/>
          <w:sz w:val="21"/>
          <w:szCs w:val="21"/>
        </w:rPr>
        <w:t>Figure 2. Investor cash held at brokers, third quarter of 2025 = 100</w:t>
      </w:r>
      <w:r w:rsidRPr="00101936">
        <w:rPr>
          <w:rFonts w:asciiTheme="majorHAnsi" w:hAnsiTheme="majorHAnsi" w:cstheme="majorHAnsi"/>
          <w:sz w:val="21"/>
          <w:szCs w:val="21"/>
        </w:rPr>
        <w:tab/>
        <w:t>5</w:t>
      </w:r>
    </w:p>
    <w:p w14:paraId="27C799DA" w14:textId="77777777" w:rsidR="00CF7FD3" w:rsidRPr="00101936" w:rsidRDefault="00000000" w:rsidP="00101936">
      <w:pPr>
        <w:tabs>
          <w:tab w:val="right" w:leader="dot" w:pos="9412"/>
        </w:tabs>
        <w:spacing w:after="40"/>
        <w:jc w:val="both"/>
        <w:rPr>
          <w:rFonts w:asciiTheme="majorHAnsi" w:hAnsiTheme="majorHAnsi" w:cstheme="majorHAnsi"/>
        </w:rPr>
      </w:pPr>
      <w:r w:rsidRPr="00101936">
        <w:rPr>
          <w:rFonts w:asciiTheme="majorHAnsi" w:hAnsiTheme="majorHAnsi" w:cstheme="majorHAnsi"/>
          <w:sz w:val="21"/>
          <w:szCs w:val="21"/>
        </w:rPr>
        <w:t>Figure 3. Activity, balances and product use among DNSE accounts, December 2025</w:t>
      </w:r>
      <w:r w:rsidRPr="00101936">
        <w:rPr>
          <w:rFonts w:asciiTheme="majorHAnsi" w:hAnsiTheme="majorHAnsi" w:cstheme="majorHAnsi"/>
          <w:sz w:val="21"/>
          <w:szCs w:val="21"/>
        </w:rPr>
        <w:tab/>
        <w:t>7</w:t>
      </w:r>
    </w:p>
    <w:p w14:paraId="2F6612C5" w14:textId="77777777" w:rsidR="00CF7FD3" w:rsidRPr="00101936" w:rsidRDefault="00000000" w:rsidP="00101936">
      <w:pPr>
        <w:tabs>
          <w:tab w:val="right" w:leader="dot" w:pos="9412"/>
        </w:tabs>
        <w:spacing w:after="40"/>
        <w:jc w:val="both"/>
        <w:rPr>
          <w:rFonts w:asciiTheme="majorHAnsi" w:hAnsiTheme="majorHAnsi" w:cstheme="majorHAnsi"/>
        </w:rPr>
      </w:pPr>
      <w:r w:rsidRPr="00101936">
        <w:rPr>
          <w:rFonts w:asciiTheme="majorHAnsi" w:hAnsiTheme="majorHAnsi" w:cstheme="majorHAnsi"/>
          <w:sz w:val="21"/>
          <w:szCs w:val="21"/>
        </w:rPr>
        <w:t>Figure 4. DNSE's share of eight markets, 2025 to mid-2026</w:t>
      </w:r>
      <w:r w:rsidRPr="00101936">
        <w:rPr>
          <w:rFonts w:asciiTheme="majorHAnsi" w:hAnsiTheme="majorHAnsi" w:cstheme="majorHAnsi"/>
          <w:sz w:val="21"/>
          <w:szCs w:val="21"/>
        </w:rPr>
        <w:tab/>
        <w:t>7</w:t>
      </w:r>
    </w:p>
    <w:p w14:paraId="79EAC97C" w14:textId="77777777" w:rsidR="00CF7FD3" w:rsidRPr="00101936" w:rsidRDefault="00000000" w:rsidP="00101936">
      <w:pPr>
        <w:tabs>
          <w:tab w:val="right" w:leader="dot" w:pos="9412"/>
        </w:tabs>
        <w:spacing w:after="40"/>
        <w:jc w:val="both"/>
        <w:rPr>
          <w:rFonts w:asciiTheme="majorHAnsi" w:hAnsiTheme="majorHAnsi" w:cstheme="majorHAnsi"/>
        </w:rPr>
      </w:pPr>
      <w:r w:rsidRPr="00101936">
        <w:rPr>
          <w:rFonts w:asciiTheme="majorHAnsi" w:hAnsiTheme="majorHAnsi" w:cstheme="majorHAnsi"/>
          <w:sz w:val="21"/>
          <w:szCs w:val="21"/>
        </w:rPr>
        <w:t>Figure 5. Brokerage revenue against direct brokerage cost, by quarter</w:t>
      </w:r>
      <w:r w:rsidRPr="00101936">
        <w:rPr>
          <w:rFonts w:asciiTheme="majorHAnsi" w:hAnsiTheme="majorHAnsi" w:cstheme="majorHAnsi"/>
          <w:sz w:val="21"/>
          <w:szCs w:val="21"/>
        </w:rPr>
        <w:tab/>
        <w:t>8</w:t>
      </w:r>
    </w:p>
    <w:p w14:paraId="3F40838C" w14:textId="77777777" w:rsidR="00CF7FD3" w:rsidRPr="00101936" w:rsidRDefault="00000000" w:rsidP="00101936">
      <w:pPr>
        <w:tabs>
          <w:tab w:val="right" w:leader="dot" w:pos="9412"/>
        </w:tabs>
        <w:spacing w:after="40"/>
        <w:jc w:val="both"/>
        <w:rPr>
          <w:rFonts w:asciiTheme="majorHAnsi" w:hAnsiTheme="majorHAnsi" w:cstheme="majorHAnsi"/>
        </w:rPr>
      </w:pPr>
      <w:r w:rsidRPr="00101936">
        <w:rPr>
          <w:rFonts w:asciiTheme="majorHAnsi" w:hAnsiTheme="majorHAnsi" w:cstheme="majorHAnsi"/>
          <w:sz w:val="21"/>
          <w:szCs w:val="21"/>
        </w:rPr>
        <w:t>Figure 6. Funding structure of DNSE and four peers, second quarter of 2026</w:t>
      </w:r>
      <w:r w:rsidRPr="00101936">
        <w:rPr>
          <w:rFonts w:asciiTheme="majorHAnsi" w:hAnsiTheme="majorHAnsi" w:cstheme="majorHAnsi"/>
          <w:sz w:val="21"/>
          <w:szCs w:val="21"/>
        </w:rPr>
        <w:tab/>
        <w:t>8</w:t>
      </w:r>
    </w:p>
    <w:p w14:paraId="2903621C" w14:textId="77777777" w:rsidR="00CF7FD3" w:rsidRPr="00101936" w:rsidRDefault="00000000" w:rsidP="00101936">
      <w:pPr>
        <w:tabs>
          <w:tab w:val="right" w:leader="dot" w:pos="9412"/>
        </w:tabs>
        <w:spacing w:after="40"/>
        <w:jc w:val="both"/>
        <w:rPr>
          <w:rFonts w:asciiTheme="majorHAnsi" w:hAnsiTheme="majorHAnsi" w:cstheme="majorHAnsi"/>
        </w:rPr>
      </w:pPr>
      <w:r w:rsidRPr="00101936">
        <w:rPr>
          <w:rFonts w:asciiTheme="majorHAnsi" w:hAnsiTheme="majorHAnsi" w:cstheme="majorHAnsi"/>
          <w:sz w:val="21"/>
          <w:szCs w:val="21"/>
        </w:rPr>
        <w:t>Figure 7. Platform and overhead cost proxy and the accounts that carry it</w:t>
      </w:r>
      <w:r w:rsidRPr="00101936">
        <w:rPr>
          <w:rFonts w:asciiTheme="majorHAnsi" w:hAnsiTheme="majorHAnsi" w:cstheme="majorHAnsi"/>
          <w:sz w:val="21"/>
          <w:szCs w:val="21"/>
        </w:rPr>
        <w:tab/>
        <w:t>9</w:t>
      </w:r>
    </w:p>
    <w:p w14:paraId="01D79442" w14:textId="77777777" w:rsidR="00CF7FD3" w:rsidRPr="00101936" w:rsidRDefault="00000000" w:rsidP="00101936">
      <w:pPr>
        <w:tabs>
          <w:tab w:val="right" w:leader="dot" w:pos="9412"/>
        </w:tabs>
        <w:spacing w:after="40"/>
        <w:jc w:val="both"/>
        <w:rPr>
          <w:rFonts w:asciiTheme="majorHAnsi" w:hAnsiTheme="majorHAnsi" w:cstheme="majorHAnsi"/>
        </w:rPr>
      </w:pPr>
      <w:r w:rsidRPr="00101936">
        <w:rPr>
          <w:rFonts w:asciiTheme="majorHAnsi" w:hAnsiTheme="majorHAnsi" w:cstheme="majorHAnsi"/>
          <w:sz w:val="21"/>
          <w:szCs w:val="21"/>
        </w:rPr>
        <w:t>Figure 8. Complaint themes in negative Google Play reviews</w:t>
      </w:r>
      <w:r w:rsidRPr="00101936">
        <w:rPr>
          <w:rFonts w:asciiTheme="majorHAnsi" w:hAnsiTheme="majorHAnsi" w:cstheme="majorHAnsi"/>
          <w:sz w:val="21"/>
          <w:szCs w:val="21"/>
        </w:rPr>
        <w:tab/>
        <w:t>10</w:t>
      </w:r>
    </w:p>
    <w:p w14:paraId="465F5169" w14:textId="77777777" w:rsidR="00CF7FD3" w:rsidRPr="00101936" w:rsidRDefault="00000000" w:rsidP="00101936">
      <w:pPr>
        <w:tabs>
          <w:tab w:val="right" w:leader="dot" w:pos="9412"/>
        </w:tabs>
        <w:spacing w:after="40"/>
        <w:jc w:val="both"/>
        <w:rPr>
          <w:rFonts w:asciiTheme="majorHAnsi" w:hAnsiTheme="majorHAnsi" w:cstheme="majorHAnsi"/>
        </w:rPr>
      </w:pPr>
      <w:r w:rsidRPr="00101936">
        <w:rPr>
          <w:rFonts w:asciiTheme="majorHAnsi" w:hAnsiTheme="majorHAnsi" w:cstheme="majorHAnsi"/>
          <w:sz w:val="21"/>
          <w:szCs w:val="21"/>
        </w:rPr>
        <w:t>Figure 9. Vietnamese adult segments by digital habit and formally held surplus</w:t>
      </w:r>
      <w:r w:rsidRPr="00101936">
        <w:rPr>
          <w:rFonts w:asciiTheme="majorHAnsi" w:hAnsiTheme="majorHAnsi" w:cstheme="majorHAnsi"/>
          <w:sz w:val="21"/>
          <w:szCs w:val="21"/>
        </w:rPr>
        <w:tab/>
        <w:t>10</w:t>
      </w:r>
    </w:p>
    <w:p w14:paraId="51C31425" w14:textId="77777777" w:rsidR="00CF7FD3" w:rsidRPr="00101936" w:rsidRDefault="00000000" w:rsidP="00101936">
      <w:pPr>
        <w:tabs>
          <w:tab w:val="right" w:leader="dot" w:pos="9412"/>
        </w:tabs>
        <w:spacing w:after="40"/>
        <w:jc w:val="both"/>
        <w:rPr>
          <w:rFonts w:asciiTheme="majorHAnsi" w:hAnsiTheme="majorHAnsi" w:cstheme="majorHAnsi"/>
        </w:rPr>
      </w:pPr>
      <w:r w:rsidRPr="00101936">
        <w:rPr>
          <w:rFonts w:asciiTheme="majorHAnsi" w:hAnsiTheme="majorHAnsi" w:cstheme="majorHAnsi"/>
          <w:sz w:val="21"/>
          <w:szCs w:val="21"/>
        </w:rPr>
        <w:t>Figure 10. Root-cause tree for unfunded accounts</w:t>
      </w:r>
      <w:r w:rsidRPr="00101936">
        <w:rPr>
          <w:rFonts w:asciiTheme="majorHAnsi" w:hAnsiTheme="majorHAnsi" w:cstheme="majorHAnsi"/>
          <w:sz w:val="21"/>
          <w:szCs w:val="21"/>
        </w:rPr>
        <w:tab/>
        <w:t>11</w:t>
      </w:r>
    </w:p>
    <w:p w14:paraId="43E8A89B" w14:textId="77777777" w:rsidR="00CF7FD3" w:rsidRPr="00101936" w:rsidRDefault="00000000" w:rsidP="00101936">
      <w:pPr>
        <w:tabs>
          <w:tab w:val="right" w:leader="dot" w:pos="9412"/>
        </w:tabs>
        <w:spacing w:after="40"/>
        <w:jc w:val="both"/>
        <w:rPr>
          <w:rFonts w:asciiTheme="majorHAnsi" w:hAnsiTheme="majorHAnsi" w:cstheme="majorHAnsi"/>
        </w:rPr>
      </w:pPr>
      <w:r w:rsidRPr="00101936">
        <w:rPr>
          <w:rFonts w:asciiTheme="majorHAnsi" w:hAnsiTheme="majorHAnsi" w:cstheme="majorHAnsi"/>
          <w:sz w:val="21"/>
          <w:szCs w:val="21"/>
        </w:rPr>
        <w:t>Figure 11. Accounts, revenue, platform cost and core profit, 2021 = 1</w:t>
      </w:r>
      <w:r w:rsidRPr="00101936">
        <w:rPr>
          <w:rFonts w:asciiTheme="majorHAnsi" w:hAnsiTheme="majorHAnsi" w:cstheme="majorHAnsi"/>
          <w:sz w:val="21"/>
          <w:szCs w:val="21"/>
        </w:rPr>
        <w:tab/>
        <w:t>12</w:t>
      </w:r>
    </w:p>
    <w:p w14:paraId="4F9921FE" w14:textId="77777777" w:rsidR="00CF7FD3" w:rsidRPr="00101936" w:rsidRDefault="00000000" w:rsidP="00101936">
      <w:pPr>
        <w:tabs>
          <w:tab w:val="right" w:leader="dot" w:pos="9412"/>
        </w:tabs>
        <w:spacing w:after="40"/>
        <w:jc w:val="both"/>
        <w:rPr>
          <w:rFonts w:asciiTheme="majorHAnsi" w:hAnsiTheme="majorHAnsi" w:cstheme="majorHAnsi"/>
        </w:rPr>
      </w:pPr>
      <w:r w:rsidRPr="00101936">
        <w:rPr>
          <w:rFonts w:asciiTheme="majorHAnsi" w:hAnsiTheme="majorHAnsi" w:cstheme="majorHAnsi"/>
          <w:sz w:val="21"/>
          <w:szCs w:val="21"/>
        </w:rPr>
        <w:t>Figure 12. How Payday Portfolio works</w:t>
      </w:r>
      <w:r w:rsidRPr="00101936">
        <w:rPr>
          <w:rFonts w:asciiTheme="majorHAnsi" w:hAnsiTheme="majorHAnsi" w:cstheme="majorHAnsi"/>
          <w:sz w:val="21"/>
          <w:szCs w:val="21"/>
        </w:rPr>
        <w:tab/>
        <w:t>13</w:t>
      </w:r>
    </w:p>
    <w:p w14:paraId="40B9E564" w14:textId="77777777" w:rsidR="00CF7FD3" w:rsidRPr="00101936" w:rsidRDefault="00000000" w:rsidP="00101936">
      <w:pPr>
        <w:tabs>
          <w:tab w:val="right" w:leader="dot" w:pos="9412"/>
        </w:tabs>
        <w:spacing w:after="40"/>
        <w:jc w:val="both"/>
        <w:rPr>
          <w:rFonts w:asciiTheme="majorHAnsi" w:hAnsiTheme="majorHAnsi" w:cstheme="majorHAnsi"/>
        </w:rPr>
      </w:pPr>
      <w:r w:rsidRPr="00101936">
        <w:rPr>
          <w:rFonts w:asciiTheme="majorHAnsi" w:hAnsiTheme="majorHAnsi" w:cstheme="majorHAnsi"/>
          <w:sz w:val="21"/>
          <w:szCs w:val="21"/>
        </w:rPr>
        <w:t>Figure 13. Contributions needed to reach VND 10 million, before investment returns</w:t>
      </w:r>
      <w:r w:rsidRPr="00101936">
        <w:rPr>
          <w:rFonts w:asciiTheme="majorHAnsi" w:hAnsiTheme="majorHAnsi" w:cstheme="majorHAnsi"/>
          <w:sz w:val="21"/>
          <w:szCs w:val="21"/>
        </w:rPr>
        <w:tab/>
        <w:t>14</w:t>
      </w:r>
    </w:p>
    <w:p w14:paraId="36A1F82F" w14:textId="77777777" w:rsidR="00CF7FD3" w:rsidRPr="00101936" w:rsidRDefault="00000000" w:rsidP="00101936">
      <w:pPr>
        <w:tabs>
          <w:tab w:val="right" w:leader="dot" w:pos="9412"/>
        </w:tabs>
        <w:spacing w:after="40"/>
        <w:jc w:val="both"/>
        <w:rPr>
          <w:rFonts w:asciiTheme="majorHAnsi" w:hAnsiTheme="majorHAnsi" w:cstheme="majorHAnsi"/>
        </w:rPr>
      </w:pPr>
      <w:r w:rsidRPr="00101936">
        <w:rPr>
          <w:rFonts w:asciiTheme="majorHAnsi" w:hAnsiTheme="majorHAnsi" w:cstheme="majorHAnsi"/>
          <w:sz w:val="21"/>
          <w:szCs w:val="21"/>
        </w:rPr>
        <w:t>Figure 14. DNSE's technology ecosystem organised around customer balances</w:t>
      </w:r>
      <w:r w:rsidRPr="00101936">
        <w:rPr>
          <w:rFonts w:asciiTheme="majorHAnsi" w:hAnsiTheme="majorHAnsi" w:cstheme="majorHAnsi"/>
          <w:sz w:val="21"/>
          <w:szCs w:val="21"/>
        </w:rPr>
        <w:tab/>
        <w:t>15</w:t>
      </w:r>
    </w:p>
    <w:p w14:paraId="7EBAE828" w14:textId="77777777" w:rsidR="00CF7FD3" w:rsidRPr="00101936" w:rsidRDefault="00000000" w:rsidP="00101936">
      <w:pPr>
        <w:spacing w:before="240" w:after="80"/>
        <w:jc w:val="both"/>
        <w:rPr>
          <w:rFonts w:asciiTheme="majorHAnsi" w:hAnsiTheme="majorHAnsi" w:cstheme="majorHAnsi"/>
        </w:rPr>
      </w:pPr>
      <w:r w:rsidRPr="00101936">
        <w:rPr>
          <w:rFonts w:asciiTheme="majorHAnsi" w:hAnsiTheme="majorHAnsi" w:cstheme="majorHAnsi"/>
          <w:b/>
          <w:bCs/>
        </w:rPr>
        <w:t>Tables</w:t>
      </w:r>
    </w:p>
    <w:p w14:paraId="63693280" w14:textId="77777777" w:rsidR="00CF7FD3" w:rsidRPr="00101936" w:rsidRDefault="00000000" w:rsidP="00101936">
      <w:pPr>
        <w:tabs>
          <w:tab w:val="right" w:leader="dot" w:pos="9412"/>
        </w:tabs>
        <w:spacing w:after="40"/>
        <w:jc w:val="both"/>
        <w:rPr>
          <w:rFonts w:asciiTheme="majorHAnsi" w:hAnsiTheme="majorHAnsi" w:cstheme="majorHAnsi"/>
        </w:rPr>
      </w:pPr>
      <w:r w:rsidRPr="00101936">
        <w:rPr>
          <w:rFonts w:asciiTheme="majorHAnsi" w:hAnsiTheme="majorHAnsi" w:cstheme="majorHAnsi"/>
          <w:sz w:val="21"/>
          <w:szCs w:val="21"/>
        </w:rPr>
        <w:t>Table 1. The problem statement and the Payday Portfolio response</w:t>
      </w:r>
      <w:r w:rsidRPr="00101936">
        <w:rPr>
          <w:rFonts w:asciiTheme="majorHAnsi" w:hAnsiTheme="majorHAnsi" w:cstheme="majorHAnsi"/>
          <w:sz w:val="21"/>
          <w:szCs w:val="21"/>
        </w:rPr>
        <w:tab/>
        <w:t>15</w:t>
      </w:r>
    </w:p>
    <w:p w14:paraId="55C34EF6" w14:textId="77777777" w:rsidR="00CF7FD3" w:rsidRPr="00101936" w:rsidRDefault="00000000" w:rsidP="00101936">
      <w:pPr>
        <w:pStyle w:val="Heading1"/>
        <w:keepNext/>
        <w:keepLines/>
        <w:pageBreakBefore/>
        <w:spacing w:before="0"/>
        <w:jc w:val="both"/>
        <w:rPr>
          <w:rFonts w:asciiTheme="majorHAnsi" w:hAnsiTheme="majorHAnsi" w:cstheme="majorHAnsi"/>
        </w:rPr>
      </w:pPr>
      <w:r w:rsidRPr="00101936">
        <w:rPr>
          <w:rFonts w:asciiTheme="majorHAnsi" w:hAnsiTheme="majorHAnsi" w:cstheme="majorHAnsi"/>
        </w:rPr>
        <w:lastRenderedPageBreak/>
        <w:t>1. Introduction</w:t>
      </w:r>
    </w:p>
    <w:p w14:paraId="40B913E0" w14:textId="77777777" w:rsidR="00CF7FD3" w:rsidRPr="00101936" w:rsidRDefault="00000000" w:rsidP="00101936">
      <w:pPr>
        <w:pStyle w:val="Heading2"/>
        <w:keepNext/>
        <w:keepLines/>
        <w:jc w:val="both"/>
        <w:rPr>
          <w:rFonts w:asciiTheme="majorHAnsi" w:hAnsiTheme="majorHAnsi" w:cstheme="majorHAnsi"/>
        </w:rPr>
      </w:pPr>
      <w:r w:rsidRPr="00101936">
        <w:rPr>
          <w:rFonts w:asciiTheme="majorHAnsi" w:hAnsiTheme="majorHAnsi" w:cstheme="majorHAnsi"/>
        </w:rPr>
        <w:t>1.1 DNSE and its business model</w:t>
      </w:r>
    </w:p>
    <w:p w14:paraId="173C506B"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DNSE Securities began in 2007 as Dai Nam Securities. Rebuilt by the Encapital group as a branchless, technology-led broker, it listed on HOSE in July 2024 (CafeF, 2024). Its Entrade X app offers free share trading for life, derivatives, deal-by-deal margin loans (Margin Deal) and an artificial intelligence assistant (Ensa). Two products hold customer money. The Never-Sleeping Account, an idle-cash account launched in June 2025, pays 1.8 to 4.3 per cent a year, and Golden Egg sells bonds from VND 1 million (DNSE Securities, 2026b, 2026c). In the first half of 2026, margin interest supplied 40 per cent of operating revenue and brokerage 26 per cent (Table B1).</w:t>
      </w:r>
    </w:p>
    <w:p w14:paraId="7FE5DCC1" w14:textId="77777777" w:rsidR="00CF7FD3" w:rsidRPr="00101936" w:rsidRDefault="00000000" w:rsidP="00101936">
      <w:pPr>
        <w:pStyle w:val="Heading2"/>
        <w:keepNext/>
        <w:keepLines/>
        <w:jc w:val="both"/>
        <w:rPr>
          <w:rFonts w:asciiTheme="majorHAnsi" w:hAnsiTheme="majorHAnsi" w:cstheme="majorHAnsi"/>
        </w:rPr>
      </w:pPr>
      <w:r w:rsidRPr="00101936">
        <w:rPr>
          <w:rFonts w:asciiTheme="majorHAnsi" w:hAnsiTheme="majorHAnsi" w:cstheme="majorHAnsi"/>
        </w:rPr>
        <w:t>1.2 Vietnam context and the market gap</w:t>
      </w:r>
    </w:p>
    <w:p w14:paraId="3052C7AF"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Three conditions shape how DNSE's data should be read. First, banks pay savers more, and 12-month deposit rates at state banks reached about 6.8 per cent in 2026 (VnEconomy, 2026; VietnamNet, 2026). A typical DNSE customer earns 2.1 to 2.3 per cent on idle cash, below inflation of 4.45 per cent (Figure 1).</w:t>
      </w:r>
    </w:p>
    <w:p w14:paraId="72C349E1" w14:textId="77777777" w:rsidR="00CF7FD3" w:rsidRPr="00101936" w:rsidRDefault="00000000" w:rsidP="00101936">
      <w:pPr>
        <w:keepNext/>
        <w:spacing w:before="120" w:after="60"/>
        <w:jc w:val="center"/>
        <w:rPr>
          <w:rFonts w:asciiTheme="majorHAnsi" w:hAnsiTheme="majorHAnsi" w:cstheme="majorHAnsi"/>
        </w:rPr>
      </w:pPr>
      <w:r w:rsidRPr="00101936">
        <w:rPr>
          <w:rFonts w:asciiTheme="majorHAnsi" w:hAnsiTheme="majorHAnsi" w:cstheme="majorHAnsi"/>
          <w:noProof/>
        </w:rPr>
        <w:drawing>
          <wp:inline distT="0" distB="0" distL="0" distR="0" wp14:anchorId="0F069364" wp14:editId="0A512066">
            <wp:extent cx="5581650" cy="2352675"/>
            <wp:effectExtent l="0" t="0" r="0" b="0"/>
            <wp:docPr id="1" name="Figure 1." descr="Returns on a saver's idle cash, September 2026"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81650" cy="2352675"/>
                    </a:xfrm>
                    <a:prstGeom prst="rect">
                      <a:avLst/>
                    </a:prstGeom>
                  </pic:spPr>
                </pic:pic>
              </a:graphicData>
            </a:graphic>
          </wp:inline>
        </w:drawing>
      </w:r>
    </w:p>
    <w:p w14:paraId="48F63D9D" w14:textId="77777777" w:rsidR="00CF7FD3" w:rsidRPr="00101936" w:rsidRDefault="00000000" w:rsidP="00101936">
      <w:pPr>
        <w:spacing w:after="200"/>
        <w:jc w:val="center"/>
        <w:rPr>
          <w:rFonts w:asciiTheme="majorHAnsi" w:hAnsiTheme="majorHAnsi" w:cstheme="majorHAnsi"/>
        </w:rPr>
      </w:pPr>
      <w:r w:rsidRPr="00101936">
        <w:rPr>
          <w:rFonts w:asciiTheme="majorHAnsi" w:hAnsiTheme="majorHAnsi" w:cstheme="majorHAnsi"/>
          <w:b/>
          <w:bCs/>
          <w:sz w:val="19"/>
          <w:szCs w:val="19"/>
        </w:rPr>
        <w:t xml:space="preserve">Figure 1. </w:t>
      </w:r>
      <w:r w:rsidRPr="00101936">
        <w:rPr>
          <w:rFonts w:asciiTheme="majorHAnsi" w:hAnsiTheme="majorHAnsi" w:cstheme="majorHAnsi"/>
          <w:sz w:val="19"/>
          <w:szCs w:val="19"/>
        </w:rPr>
        <w:t>Returns on a saver's idle cash, September 2026</w:t>
      </w:r>
      <w:r w:rsidRPr="00101936">
        <w:rPr>
          <w:rFonts w:asciiTheme="majorHAnsi" w:hAnsiTheme="majorHAnsi" w:cstheme="majorHAnsi"/>
        </w:rPr>
        <w:br/>
      </w:r>
      <w:r w:rsidRPr="00101936">
        <w:rPr>
          <w:rFonts w:asciiTheme="majorHAnsi" w:hAnsiTheme="majorHAnsi" w:cstheme="majorHAnsi"/>
          <w:sz w:val="17"/>
          <w:szCs w:val="17"/>
        </w:rPr>
        <w:t>Source: DNSE Securities (2025, 2026b); TCBS (2026); VietnamNet (2026); VnExpress (2026b); Bao Dau Thau (2026).</w:t>
      </w:r>
    </w:p>
    <w:p w14:paraId="29A69A0F"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Second, investor cash at brokers fell 38 per cent in three quarters (VnEconomy, 2026). DNSE's cash fell in the same proportion (Figure 2), so its recent decline is cyclical, while its small share of cash is structural. Third, bank-owned brokers supplied 62 per cent of lending growth in the second quarter of 2026 (Vietstock, 2026c), so DNSE cannot compete on the price of credit. Banks must also open their application interfaces to third parties by March 2027 (State Bank of Vietnam, 2024).</w:t>
      </w:r>
    </w:p>
    <w:p w14:paraId="77710C1C" w14:textId="77777777" w:rsidR="00CF7FD3" w:rsidRPr="00101936" w:rsidRDefault="00000000" w:rsidP="00101936">
      <w:pPr>
        <w:keepNext/>
        <w:spacing w:before="120" w:after="60"/>
        <w:jc w:val="center"/>
        <w:rPr>
          <w:rFonts w:asciiTheme="majorHAnsi" w:hAnsiTheme="majorHAnsi" w:cstheme="majorHAnsi"/>
        </w:rPr>
      </w:pPr>
      <w:r w:rsidRPr="00101936">
        <w:rPr>
          <w:rFonts w:asciiTheme="majorHAnsi" w:hAnsiTheme="majorHAnsi" w:cstheme="majorHAnsi"/>
          <w:noProof/>
        </w:rPr>
        <w:drawing>
          <wp:inline distT="0" distB="0" distL="0" distR="0" wp14:anchorId="65549DF4" wp14:editId="7A3C7C9E">
            <wp:extent cx="4933950" cy="2009775"/>
            <wp:effectExtent l="0" t="0" r="0" b="0"/>
            <wp:docPr id="1253780726" name="Figure 2." descr="Investor cash held at brokers, third quarter of 2025 = 100"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33950" cy="2009775"/>
                    </a:xfrm>
                    <a:prstGeom prst="rect">
                      <a:avLst/>
                    </a:prstGeom>
                  </pic:spPr>
                </pic:pic>
              </a:graphicData>
            </a:graphic>
          </wp:inline>
        </w:drawing>
      </w:r>
    </w:p>
    <w:p w14:paraId="46EA8622" w14:textId="77777777" w:rsidR="00CF7FD3" w:rsidRPr="00101936" w:rsidRDefault="00000000" w:rsidP="00101936">
      <w:pPr>
        <w:spacing w:after="200"/>
        <w:jc w:val="center"/>
        <w:rPr>
          <w:rFonts w:asciiTheme="majorHAnsi" w:hAnsiTheme="majorHAnsi" w:cstheme="majorHAnsi"/>
        </w:rPr>
      </w:pPr>
      <w:r w:rsidRPr="00101936">
        <w:rPr>
          <w:rFonts w:asciiTheme="majorHAnsi" w:hAnsiTheme="majorHAnsi" w:cstheme="majorHAnsi"/>
          <w:b/>
          <w:bCs/>
          <w:sz w:val="19"/>
          <w:szCs w:val="19"/>
        </w:rPr>
        <w:t xml:space="preserve">Figure 2. </w:t>
      </w:r>
      <w:r w:rsidRPr="00101936">
        <w:rPr>
          <w:rFonts w:asciiTheme="majorHAnsi" w:hAnsiTheme="majorHAnsi" w:cstheme="majorHAnsi"/>
          <w:sz w:val="19"/>
          <w:szCs w:val="19"/>
        </w:rPr>
        <w:t>Investor cash held at brokers, third quarter of 2025 = 100</w:t>
      </w:r>
      <w:r w:rsidRPr="00101936">
        <w:rPr>
          <w:rFonts w:asciiTheme="majorHAnsi" w:hAnsiTheme="majorHAnsi" w:cstheme="majorHAnsi"/>
        </w:rPr>
        <w:br/>
      </w:r>
      <w:r w:rsidRPr="00101936">
        <w:rPr>
          <w:rFonts w:asciiTheme="majorHAnsi" w:hAnsiTheme="majorHAnsi" w:cstheme="majorHAnsi"/>
          <w:sz w:val="17"/>
          <w:szCs w:val="17"/>
        </w:rPr>
        <w:t>Source: VnEconomy (2026); DNSE filings. Industry total for Q4 2025 not reported.</w:t>
      </w:r>
    </w:p>
    <w:p w14:paraId="2E2898D9"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lastRenderedPageBreak/>
        <w:t>The market gap lies between banks, which hold salaries but offer little investment, and brokers, whose products start after a customer decides to invest (Table C3).</w:t>
      </w:r>
    </w:p>
    <w:p w14:paraId="667C9625" w14:textId="77777777" w:rsidR="00CF7FD3" w:rsidRPr="00101936" w:rsidRDefault="00000000" w:rsidP="00101936">
      <w:pPr>
        <w:pStyle w:val="Heading2"/>
        <w:keepNext/>
        <w:keepLines/>
        <w:jc w:val="both"/>
        <w:rPr>
          <w:rFonts w:asciiTheme="majorHAnsi" w:hAnsiTheme="majorHAnsi" w:cstheme="majorHAnsi"/>
        </w:rPr>
      </w:pPr>
      <w:r w:rsidRPr="00101936">
        <w:rPr>
          <w:rFonts w:asciiTheme="majorHAnsi" w:hAnsiTheme="majorHAnsi" w:cstheme="majorHAnsi"/>
        </w:rPr>
        <w:t>1.3 Business question and scope</w:t>
      </w:r>
    </w:p>
    <w:p w14:paraId="5498F710"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b/>
          <w:bCs/>
        </w:rPr>
        <w:t>Business question.</w:t>
      </w:r>
      <w:r w:rsidRPr="00101936">
        <w:rPr>
          <w:rFonts w:asciiTheme="majorHAnsi" w:hAnsiTheme="majorHAnsi" w:cstheme="majorHAnsi"/>
        </w:rPr>
        <w:t xml:space="preserve"> Why do DNSE's accounts not become funded relationships, and which initiative would convert them most cost-effectively within DNSE's capabilities and licences? The scope covers retail customers from account opening to regular funding.</w:t>
      </w:r>
    </w:p>
    <w:p w14:paraId="0B4AF0B1" w14:textId="77777777" w:rsidR="00CF7FD3" w:rsidRPr="00101936" w:rsidRDefault="00000000" w:rsidP="00101936">
      <w:pPr>
        <w:pStyle w:val="Heading1"/>
        <w:keepNext/>
        <w:keepLines/>
        <w:pageBreakBefore/>
        <w:spacing w:before="0"/>
        <w:jc w:val="both"/>
        <w:rPr>
          <w:rFonts w:asciiTheme="majorHAnsi" w:hAnsiTheme="majorHAnsi" w:cstheme="majorHAnsi"/>
        </w:rPr>
      </w:pPr>
      <w:r w:rsidRPr="00101936">
        <w:rPr>
          <w:rFonts w:asciiTheme="majorHAnsi" w:hAnsiTheme="majorHAnsi" w:cstheme="majorHAnsi"/>
        </w:rPr>
        <w:lastRenderedPageBreak/>
        <w:t>2. Findings of observations</w:t>
      </w:r>
    </w:p>
    <w:p w14:paraId="55005B8A" w14:textId="77777777" w:rsidR="00CF7FD3" w:rsidRPr="00101936" w:rsidRDefault="00000000" w:rsidP="00101936">
      <w:pPr>
        <w:pStyle w:val="Heading2"/>
        <w:keepNext/>
        <w:keepLines/>
        <w:jc w:val="both"/>
        <w:rPr>
          <w:rFonts w:asciiTheme="majorHAnsi" w:hAnsiTheme="majorHAnsi" w:cstheme="majorHAnsi"/>
        </w:rPr>
      </w:pPr>
      <w:r w:rsidRPr="00101936">
        <w:rPr>
          <w:rFonts w:asciiTheme="majorHAnsi" w:hAnsiTheme="majorHAnsi" w:cstheme="majorHAnsi"/>
        </w:rPr>
        <w:t>2.1 Evidence base and method</w:t>
      </w:r>
    </w:p>
    <w:p w14:paraId="09C4A18A"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The evidence combines DNSE's filed statements from 2018 to mid-2026, reconciled to the reviewed half-year statements, its 2025 annual report, peer and industry data, 3,299 app reviews of DNSE, VPS and FPTS, and Global Findex 2024 data (Table A1). Spam, 23 per cent of DNSE's Google Play reviews, was removed with tested rules (Appendix A). DNSE publishes no customer-level data, so statements about segments and intent are labelled as hypotheses.</w:t>
      </w:r>
    </w:p>
    <w:p w14:paraId="5775EDE5" w14:textId="77777777" w:rsidR="00CF7FD3" w:rsidRPr="00101936" w:rsidRDefault="00000000" w:rsidP="00101936">
      <w:pPr>
        <w:pStyle w:val="Heading2"/>
        <w:keepNext/>
        <w:keepLines/>
        <w:jc w:val="both"/>
        <w:rPr>
          <w:rFonts w:asciiTheme="majorHAnsi" w:hAnsiTheme="majorHAnsi" w:cstheme="majorHAnsi"/>
        </w:rPr>
      </w:pPr>
      <w:r w:rsidRPr="00101936">
        <w:rPr>
          <w:rFonts w:asciiTheme="majorHAnsi" w:hAnsiTheme="majorHAnsi" w:cstheme="majorHAnsi"/>
        </w:rPr>
        <w:t>2.2 Finding 1. Accounts are opened but rarely funded</w:t>
      </w:r>
    </w:p>
    <w:p w14:paraId="62343DF6"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DNSE opened 518,514 accounts in 2025, one in five of Vietnam's new accounts, and ended the year with 1,512,920. In December 2025 only 85,739 (5.7 per cent) used any product, and 27,100 (1.8 per cent) held net assets of VND 10 million or more (Figure 3).</w:t>
      </w:r>
    </w:p>
    <w:p w14:paraId="0939E30F" w14:textId="77777777" w:rsidR="00CF7FD3" w:rsidRPr="00101936" w:rsidRDefault="00000000" w:rsidP="00101936">
      <w:pPr>
        <w:keepNext/>
        <w:spacing w:before="120" w:after="60"/>
        <w:jc w:val="center"/>
        <w:rPr>
          <w:rFonts w:asciiTheme="majorHAnsi" w:hAnsiTheme="majorHAnsi" w:cstheme="majorHAnsi"/>
        </w:rPr>
      </w:pPr>
      <w:r w:rsidRPr="00101936">
        <w:rPr>
          <w:rFonts w:asciiTheme="majorHAnsi" w:hAnsiTheme="majorHAnsi" w:cstheme="majorHAnsi"/>
          <w:noProof/>
        </w:rPr>
        <w:drawing>
          <wp:inline distT="0" distB="0" distL="0" distR="0" wp14:anchorId="7D85B793" wp14:editId="0DE07E1D">
            <wp:extent cx="5581650" cy="22884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unding_funnel.png"/>
                    <pic:cNvPicPr/>
                  </pic:nvPicPr>
                  <pic:blipFill>
                    <a:blip r:embed="rId10"/>
                    <a:stretch>
                      <a:fillRect/>
                    </a:stretch>
                  </pic:blipFill>
                  <pic:spPr>
                    <a:xfrm>
                      <a:off x="0" y="0"/>
                      <a:ext cx="5581650" cy="2288476"/>
                    </a:xfrm>
                    <a:prstGeom prst="rect">
                      <a:avLst/>
                    </a:prstGeom>
                  </pic:spPr>
                </pic:pic>
              </a:graphicData>
            </a:graphic>
          </wp:inline>
        </w:drawing>
      </w:r>
    </w:p>
    <w:p w14:paraId="0CC85E04" w14:textId="77777777" w:rsidR="00CF7FD3" w:rsidRPr="00101936" w:rsidRDefault="00000000" w:rsidP="00101936">
      <w:pPr>
        <w:spacing w:after="200"/>
        <w:jc w:val="center"/>
        <w:rPr>
          <w:rFonts w:asciiTheme="majorHAnsi" w:hAnsiTheme="majorHAnsi" w:cstheme="majorHAnsi"/>
        </w:rPr>
      </w:pPr>
      <w:r w:rsidRPr="00101936">
        <w:rPr>
          <w:rFonts w:asciiTheme="majorHAnsi" w:hAnsiTheme="majorHAnsi" w:cstheme="majorHAnsi"/>
          <w:b/>
          <w:bCs/>
          <w:sz w:val="19"/>
          <w:szCs w:val="19"/>
        </w:rPr>
        <w:t xml:space="preserve">Figure 3. </w:t>
      </w:r>
      <w:r w:rsidRPr="00101936">
        <w:rPr>
          <w:rFonts w:asciiTheme="majorHAnsi" w:hAnsiTheme="majorHAnsi" w:cstheme="majorHAnsi"/>
          <w:sz w:val="19"/>
          <w:szCs w:val="19"/>
        </w:rPr>
        <w:t>Activity, balances and product use among DNSE accounts, December 2025</w:t>
      </w:r>
      <w:r w:rsidRPr="00101936">
        <w:rPr>
          <w:rFonts w:asciiTheme="majorHAnsi" w:hAnsiTheme="majorHAnsi" w:cstheme="majorHAnsi"/>
        </w:rPr>
        <w:br/>
      </w:r>
      <w:r w:rsidRPr="00101936">
        <w:rPr>
          <w:rFonts w:asciiTheme="majorHAnsi" w:hAnsiTheme="majorHAnsi" w:cstheme="majorHAnsi"/>
          <w:sz w:val="17"/>
          <w:szCs w:val="17"/>
        </w:rPr>
        <w:t>Source: DNSE Securities (2026c).</w:t>
      </w:r>
    </w:p>
    <w:p w14:paraId="7DCB6F54"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The closer a measure sits to money, the smaller DNSE becomes (Figure 4). It holds 12.3 per cent of accounts but 2.3 per cent of investor cash, 1.4 per cent of margin lending and 0.6 per cent of industry profit. VPBankS and TCBS lend 8 and 12 times more per account, and VPS, which also has no parent bank, lends 5 times more (Table C2).</w:t>
      </w:r>
    </w:p>
    <w:p w14:paraId="007AEC58" w14:textId="77777777" w:rsidR="00CF7FD3" w:rsidRPr="00101936" w:rsidRDefault="00000000" w:rsidP="00101936">
      <w:pPr>
        <w:keepNext/>
        <w:spacing w:before="120" w:after="60"/>
        <w:jc w:val="center"/>
        <w:rPr>
          <w:rFonts w:asciiTheme="majorHAnsi" w:hAnsiTheme="majorHAnsi" w:cstheme="majorHAnsi"/>
        </w:rPr>
      </w:pPr>
      <w:r w:rsidRPr="00101936">
        <w:rPr>
          <w:rFonts w:asciiTheme="majorHAnsi" w:hAnsiTheme="majorHAnsi" w:cstheme="majorHAnsi"/>
          <w:noProof/>
        </w:rPr>
        <w:drawing>
          <wp:inline distT="0" distB="0" distL="0" distR="0" wp14:anchorId="7852CDD0" wp14:editId="1BAE9602">
            <wp:extent cx="5762625" cy="2076450"/>
            <wp:effectExtent l="0" t="0" r="0" b="0"/>
            <wp:docPr id="244854417" name="Figure 4." descr="DNSE's share of eight markets, 2025 to mid-2026"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076450"/>
                    </a:xfrm>
                    <a:prstGeom prst="rect">
                      <a:avLst/>
                    </a:prstGeom>
                  </pic:spPr>
                </pic:pic>
              </a:graphicData>
            </a:graphic>
          </wp:inline>
        </w:drawing>
      </w:r>
    </w:p>
    <w:p w14:paraId="06C9A525" w14:textId="77777777" w:rsidR="00CF7FD3" w:rsidRPr="00101936" w:rsidRDefault="00000000" w:rsidP="00101936">
      <w:pPr>
        <w:spacing w:after="200"/>
        <w:jc w:val="center"/>
        <w:rPr>
          <w:rFonts w:asciiTheme="majorHAnsi" w:hAnsiTheme="majorHAnsi" w:cstheme="majorHAnsi"/>
        </w:rPr>
      </w:pPr>
      <w:r w:rsidRPr="00101936">
        <w:rPr>
          <w:rFonts w:asciiTheme="majorHAnsi" w:hAnsiTheme="majorHAnsi" w:cstheme="majorHAnsi"/>
          <w:b/>
          <w:bCs/>
          <w:sz w:val="19"/>
          <w:szCs w:val="19"/>
        </w:rPr>
        <w:t xml:space="preserve">Figure 4. </w:t>
      </w:r>
      <w:r w:rsidRPr="00101936">
        <w:rPr>
          <w:rFonts w:asciiTheme="majorHAnsi" w:hAnsiTheme="majorHAnsi" w:cstheme="majorHAnsi"/>
          <w:sz w:val="19"/>
          <w:szCs w:val="19"/>
        </w:rPr>
        <w:t>DNSE's share of eight markets, 2025 to mid-2026</w:t>
      </w:r>
      <w:r w:rsidRPr="00101936">
        <w:rPr>
          <w:rFonts w:asciiTheme="majorHAnsi" w:hAnsiTheme="majorHAnsi" w:cstheme="majorHAnsi"/>
        </w:rPr>
        <w:br/>
      </w:r>
      <w:r w:rsidRPr="00101936">
        <w:rPr>
          <w:rFonts w:asciiTheme="majorHAnsi" w:hAnsiTheme="majorHAnsi" w:cstheme="majorHAnsi"/>
          <w:sz w:val="17"/>
          <w:szCs w:val="17"/>
        </w:rPr>
        <w:t>Source: Table C1. Hatched bar estimated.</w:t>
      </w:r>
    </w:p>
    <w:p w14:paraId="00D12043" w14:textId="582309D2" w:rsidR="00CF7FD3" w:rsidRPr="00101936" w:rsidRDefault="00000000" w:rsidP="00101936">
      <w:pPr>
        <w:pBdr>
          <w:left w:val="single" w:sz="18" w:space="6" w:color="404040"/>
        </w:pBdr>
        <w:shd w:val="clear" w:color="auto" w:fill="F2F2F2"/>
        <w:spacing w:before="80" w:after="200" w:line="264" w:lineRule="auto"/>
        <w:ind w:left="120" w:right="120"/>
        <w:jc w:val="both"/>
        <w:rPr>
          <w:rFonts w:asciiTheme="majorHAnsi" w:hAnsiTheme="majorHAnsi" w:cstheme="majorHAnsi"/>
        </w:rPr>
      </w:pPr>
      <w:r w:rsidRPr="00101936">
        <w:rPr>
          <w:rFonts w:asciiTheme="majorHAnsi" w:hAnsiTheme="majorHAnsi" w:cstheme="majorHAnsi"/>
          <w:b/>
          <w:bCs/>
        </w:rPr>
        <w:t>Insight</w:t>
      </w:r>
      <w:r w:rsidR="00101936">
        <w:rPr>
          <w:rFonts w:asciiTheme="majorHAnsi" w:hAnsiTheme="majorHAnsi" w:cstheme="majorHAnsi"/>
          <w:b/>
          <w:bCs/>
          <w:lang w:val="en-US"/>
        </w:rPr>
        <w:t>:</w:t>
      </w:r>
      <w:r w:rsidRPr="00101936">
        <w:rPr>
          <w:rFonts w:asciiTheme="majorHAnsi" w:hAnsiTheme="majorHAnsi" w:cstheme="majorHAnsi"/>
          <w:b/>
          <w:bCs/>
        </w:rPr>
        <w:t xml:space="preserve"> </w:t>
      </w:r>
      <w:r w:rsidRPr="00101936">
        <w:rPr>
          <w:rFonts w:asciiTheme="majorHAnsi" w:hAnsiTheme="majorHAnsi" w:cstheme="majorHAnsi"/>
        </w:rPr>
        <w:t>DNSE's acquisition works. Value is lost between opening an account and the first deposit.</w:t>
      </w:r>
    </w:p>
    <w:p w14:paraId="71CF6292" w14:textId="77777777" w:rsidR="00CF7FD3" w:rsidRPr="00101936" w:rsidRDefault="00000000" w:rsidP="00101936">
      <w:pPr>
        <w:pStyle w:val="Heading2"/>
        <w:keepNext/>
        <w:keepLines/>
        <w:jc w:val="both"/>
        <w:rPr>
          <w:rFonts w:asciiTheme="majorHAnsi" w:hAnsiTheme="majorHAnsi" w:cstheme="majorHAnsi"/>
        </w:rPr>
      </w:pPr>
      <w:r w:rsidRPr="00101936">
        <w:rPr>
          <w:rFonts w:asciiTheme="majorHAnsi" w:hAnsiTheme="majorHAnsi" w:cstheme="majorHAnsi"/>
        </w:rPr>
        <w:lastRenderedPageBreak/>
        <w:t>2.3 Finding 2. Free trades lose money</w:t>
      </w:r>
    </w:p>
    <w:p w14:paraId="3C057463"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Pre-tax profit excluding proprietary trading has stayed between VND 128 and 221 billion a year since 2022 (Table B1). Brokerage revenue has been below its direct cost for 16 consecutive quarters, a cumulative shortfall of VND 190 billion (Figure 5). Annualised return on equity fell to 3.8 per cent in the first half of 2026, below a 12-month deposit at a state bank.</w:t>
      </w:r>
    </w:p>
    <w:p w14:paraId="384ED29B" w14:textId="77777777" w:rsidR="00CF7FD3" w:rsidRPr="00101936" w:rsidRDefault="00000000" w:rsidP="00101936">
      <w:pPr>
        <w:keepNext/>
        <w:spacing w:before="120" w:after="60"/>
        <w:jc w:val="center"/>
        <w:rPr>
          <w:rFonts w:asciiTheme="majorHAnsi" w:hAnsiTheme="majorHAnsi" w:cstheme="majorHAnsi"/>
        </w:rPr>
      </w:pPr>
      <w:r w:rsidRPr="00101936">
        <w:rPr>
          <w:rFonts w:asciiTheme="majorHAnsi" w:hAnsiTheme="majorHAnsi" w:cstheme="majorHAnsi"/>
          <w:noProof/>
        </w:rPr>
        <w:drawing>
          <wp:inline distT="0" distB="0" distL="0" distR="0" wp14:anchorId="13BD7E81" wp14:editId="67AAE20B">
            <wp:extent cx="5305425" cy="3257550"/>
            <wp:effectExtent l="0" t="0" r="0" b="0"/>
            <wp:docPr id="364850737" name="Figure 5." descr="Brokerage revenue against direct brokerage cost, by quarter"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05425" cy="3257550"/>
                    </a:xfrm>
                    <a:prstGeom prst="rect">
                      <a:avLst/>
                    </a:prstGeom>
                  </pic:spPr>
                </pic:pic>
              </a:graphicData>
            </a:graphic>
          </wp:inline>
        </w:drawing>
      </w:r>
    </w:p>
    <w:p w14:paraId="42F25994" w14:textId="77777777" w:rsidR="00CF7FD3" w:rsidRPr="00101936" w:rsidRDefault="00000000" w:rsidP="00101936">
      <w:pPr>
        <w:spacing w:after="200"/>
        <w:jc w:val="center"/>
        <w:rPr>
          <w:rFonts w:asciiTheme="majorHAnsi" w:hAnsiTheme="majorHAnsi" w:cstheme="majorHAnsi"/>
        </w:rPr>
      </w:pPr>
      <w:r w:rsidRPr="00101936">
        <w:rPr>
          <w:rFonts w:asciiTheme="majorHAnsi" w:hAnsiTheme="majorHAnsi" w:cstheme="majorHAnsi"/>
          <w:b/>
          <w:bCs/>
          <w:sz w:val="19"/>
          <w:szCs w:val="19"/>
        </w:rPr>
        <w:t xml:space="preserve">Figure 5. </w:t>
      </w:r>
      <w:r w:rsidRPr="00101936">
        <w:rPr>
          <w:rFonts w:asciiTheme="majorHAnsi" w:hAnsiTheme="majorHAnsi" w:cstheme="majorHAnsi"/>
          <w:sz w:val="19"/>
          <w:szCs w:val="19"/>
        </w:rPr>
        <w:t>Brokerage revenue against direct brokerage cost, by quarter</w:t>
      </w:r>
      <w:r w:rsidRPr="00101936">
        <w:rPr>
          <w:rFonts w:asciiTheme="majorHAnsi" w:hAnsiTheme="majorHAnsi" w:cstheme="majorHAnsi"/>
        </w:rPr>
        <w:br/>
      </w:r>
      <w:r w:rsidRPr="00101936">
        <w:rPr>
          <w:rFonts w:asciiTheme="majorHAnsi" w:hAnsiTheme="majorHAnsi" w:cstheme="majorHAnsi"/>
          <w:sz w:val="17"/>
          <w:szCs w:val="17"/>
        </w:rPr>
        <w:t>Source: DNSE filings via Vietcap Securities (2026).</w:t>
      </w:r>
    </w:p>
    <w:p w14:paraId="6663515D" w14:textId="56A11D1B" w:rsidR="00CF7FD3" w:rsidRPr="00101936" w:rsidRDefault="00000000" w:rsidP="00101936">
      <w:pPr>
        <w:pBdr>
          <w:left w:val="single" w:sz="18" w:space="6" w:color="404040"/>
        </w:pBdr>
        <w:shd w:val="clear" w:color="auto" w:fill="F2F2F2"/>
        <w:spacing w:before="80" w:after="200" w:line="264" w:lineRule="auto"/>
        <w:ind w:left="120" w:right="120"/>
        <w:jc w:val="both"/>
        <w:rPr>
          <w:rFonts w:asciiTheme="majorHAnsi" w:hAnsiTheme="majorHAnsi" w:cstheme="majorHAnsi"/>
        </w:rPr>
      </w:pPr>
      <w:r w:rsidRPr="00101936">
        <w:rPr>
          <w:rFonts w:asciiTheme="majorHAnsi" w:hAnsiTheme="majorHAnsi" w:cstheme="majorHAnsi"/>
          <w:b/>
          <w:bCs/>
        </w:rPr>
        <w:t>Insight</w:t>
      </w:r>
      <w:r w:rsidR="00101936">
        <w:rPr>
          <w:rFonts w:asciiTheme="majorHAnsi" w:hAnsiTheme="majorHAnsi" w:cstheme="majorHAnsi"/>
          <w:b/>
          <w:bCs/>
          <w:lang w:val="en-US"/>
        </w:rPr>
        <w:t>:</w:t>
      </w:r>
      <w:r w:rsidRPr="00101936">
        <w:rPr>
          <w:rFonts w:asciiTheme="majorHAnsi" w:hAnsiTheme="majorHAnsi" w:cstheme="majorHAnsi"/>
          <w:b/>
          <w:bCs/>
        </w:rPr>
        <w:t xml:space="preserve"> </w:t>
      </w:r>
      <w:r w:rsidRPr="00101936">
        <w:rPr>
          <w:rFonts w:asciiTheme="majorHAnsi" w:hAnsiTheme="majorHAnsi" w:cstheme="majorHAnsi"/>
        </w:rPr>
        <w:t>More trading does not raise profit, so profit growth has to come from customer balances.</w:t>
      </w:r>
    </w:p>
    <w:p w14:paraId="0B354B62" w14:textId="77777777" w:rsidR="00CF7FD3" w:rsidRPr="00101936" w:rsidRDefault="00000000" w:rsidP="00101936">
      <w:pPr>
        <w:pStyle w:val="Heading2"/>
        <w:keepNext/>
        <w:keepLines/>
        <w:jc w:val="both"/>
        <w:rPr>
          <w:rFonts w:asciiTheme="majorHAnsi" w:hAnsiTheme="majorHAnsi" w:cstheme="majorHAnsi"/>
        </w:rPr>
      </w:pPr>
      <w:r w:rsidRPr="00101936">
        <w:rPr>
          <w:rFonts w:asciiTheme="majorHAnsi" w:hAnsiTheme="majorHAnsi" w:cstheme="majorHAnsi"/>
        </w:rPr>
        <w:t>2.4 Finding 3. Lending growth is capital-intensive</w:t>
      </w:r>
    </w:p>
    <w:p w14:paraId="1699A5FA"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DNSE's estimated cost of funds rose from 3.6 per cent in mid-2024 to 6.5 per cent in the second quarter of 2026. Without a parent bank, it borrows short term against pledged deposits and bonds, which make up 37.6 per cent of its assets against 4 to 9 per cent at four large peers (Figure 6). Loans stood at 116 per cent of equity against a ceiling of 200 per cent, so DNSE has room to lend. It lacks customers with assets to borrow against.</w:t>
      </w:r>
    </w:p>
    <w:p w14:paraId="1F812437" w14:textId="77777777" w:rsidR="00CF7FD3" w:rsidRPr="00101936" w:rsidRDefault="00000000" w:rsidP="00101936">
      <w:pPr>
        <w:keepNext/>
        <w:spacing w:before="120" w:after="60"/>
        <w:jc w:val="center"/>
        <w:rPr>
          <w:rFonts w:asciiTheme="majorHAnsi" w:hAnsiTheme="majorHAnsi" w:cstheme="majorHAnsi"/>
        </w:rPr>
      </w:pPr>
      <w:r w:rsidRPr="00101936">
        <w:rPr>
          <w:rFonts w:asciiTheme="majorHAnsi" w:hAnsiTheme="majorHAnsi" w:cstheme="majorHAnsi"/>
          <w:noProof/>
        </w:rPr>
        <w:drawing>
          <wp:inline distT="0" distB="0" distL="0" distR="0" wp14:anchorId="21AEAF44" wp14:editId="4586936D">
            <wp:extent cx="5581650" cy="2514600"/>
            <wp:effectExtent l="0" t="0" r="0" b="0"/>
            <wp:docPr id="433964115" name="Figure 6." descr="Funding structure of DNSE and four peers, second quarter of 2026"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81650" cy="2514600"/>
                    </a:xfrm>
                    <a:prstGeom prst="rect">
                      <a:avLst/>
                    </a:prstGeom>
                  </pic:spPr>
                </pic:pic>
              </a:graphicData>
            </a:graphic>
          </wp:inline>
        </w:drawing>
      </w:r>
    </w:p>
    <w:p w14:paraId="385714E4" w14:textId="77777777" w:rsidR="00CF7FD3" w:rsidRPr="00101936" w:rsidRDefault="00000000" w:rsidP="00101936">
      <w:pPr>
        <w:spacing w:after="200"/>
        <w:jc w:val="center"/>
        <w:rPr>
          <w:rFonts w:asciiTheme="majorHAnsi" w:hAnsiTheme="majorHAnsi" w:cstheme="majorHAnsi"/>
        </w:rPr>
      </w:pPr>
      <w:r w:rsidRPr="00101936">
        <w:rPr>
          <w:rFonts w:asciiTheme="majorHAnsi" w:hAnsiTheme="majorHAnsi" w:cstheme="majorHAnsi"/>
          <w:b/>
          <w:bCs/>
          <w:sz w:val="19"/>
          <w:szCs w:val="19"/>
        </w:rPr>
        <w:t xml:space="preserve">Figure 6. </w:t>
      </w:r>
      <w:r w:rsidRPr="00101936">
        <w:rPr>
          <w:rFonts w:asciiTheme="majorHAnsi" w:hAnsiTheme="majorHAnsi" w:cstheme="majorHAnsi"/>
          <w:sz w:val="19"/>
          <w:szCs w:val="19"/>
        </w:rPr>
        <w:t>Funding structure of DNSE and four peers, second quarter of 2026</w:t>
      </w:r>
      <w:r w:rsidRPr="00101936">
        <w:rPr>
          <w:rFonts w:asciiTheme="majorHAnsi" w:hAnsiTheme="majorHAnsi" w:cstheme="majorHAnsi"/>
        </w:rPr>
        <w:br/>
      </w:r>
      <w:r w:rsidRPr="00101936">
        <w:rPr>
          <w:rFonts w:asciiTheme="majorHAnsi" w:hAnsiTheme="majorHAnsi" w:cstheme="majorHAnsi"/>
          <w:sz w:val="17"/>
          <w:szCs w:val="17"/>
        </w:rPr>
        <w:t>Source: filed statements via Vietcap Securities (2026); authors' calculations.</w:t>
      </w:r>
    </w:p>
    <w:p w14:paraId="7FC95088" w14:textId="1034B9AE" w:rsidR="00CF7FD3" w:rsidRPr="00101936" w:rsidRDefault="00000000" w:rsidP="00101936">
      <w:pPr>
        <w:pBdr>
          <w:left w:val="single" w:sz="18" w:space="6" w:color="404040"/>
        </w:pBdr>
        <w:shd w:val="clear" w:color="auto" w:fill="F2F2F2"/>
        <w:spacing w:before="80" w:after="200" w:line="264" w:lineRule="auto"/>
        <w:ind w:left="120" w:right="120"/>
        <w:jc w:val="both"/>
        <w:rPr>
          <w:rFonts w:asciiTheme="majorHAnsi" w:hAnsiTheme="majorHAnsi" w:cstheme="majorHAnsi"/>
        </w:rPr>
      </w:pPr>
      <w:r w:rsidRPr="00101936">
        <w:rPr>
          <w:rFonts w:asciiTheme="majorHAnsi" w:hAnsiTheme="majorHAnsi" w:cstheme="majorHAnsi"/>
          <w:b/>
          <w:bCs/>
        </w:rPr>
        <w:lastRenderedPageBreak/>
        <w:t>Insight</w:t>
      </w:r>
      <w:r w:rsidR="00101936">
        <w:rPr>
          <w:rFonts w:asciiTheme="majorHAnsi" w:hAnsiTheme="majorHAnsi" w:cstheme="majorHAnsi"/>
          <w:b/>
          <w:bCs/>
          <w:lang w:val="en-US"/>
        </w:rPr>
        <w:t>:</w:t>
      </w:r>
      <w:r w:rsidRPr="00101936">
        <w:rPr>
          <w:rFonts w:asciiTheme="majorHAnsi" w:hAnsiTheme="majorHAnsi" w:cstheme="majorHAnsi"/>
          <w:b/>
          <w:bCs/>
        </w:rPr>
        <w:t xml:space="preserve"> </w:t>
      </w:r>
      <w:r w:rsidRPr="00101936">
        <w:rPr>
          <w:rFonts w:asciiTheme="majorHAnsi" w:hAnsiTheme="majorHAnsi" w:cstheme="majorHAnsi"/>
        </w:rPr>
        <w:t>Fee income on customer balances uses less capital than margin growth, and margin demand follows customer assets.</w:t>
      </w:r>
    </w:p>
    <w:p w14:paraId="69236C36" w14:textId="77777777" w:rsidR="00CF7FD3" w:rsidRPr="00101936" w:rsidRDefault="00000000" w:rsidP="00101936">
      <w:pPr>
        <w:pStyle w:val="Heading2"/>
        <w:keepNext/>
        <w:keepLines/>
        <w:jc w:val="both"/>
        <w:rPr>
          <w:rFonts w:asciiTheme="majorHAnsi" w:hAnsiTheme="majorHAnsi" w:cstheme="majorHAnsi"/>
        </w:rPr>
      </w:pPr>
      <w:r w:rsidRPr="00101936">
        <w:rPr>
          <w:rFonts w:asciiTheme="majorHAnsi" w:hAnsiTheme="majorHAnsi" w:cstheme="majorHAnsi"/>
        </w:rPr>
        <w:t>2.5 Finding 4. Idle accounts make the platform a fixed cost</w:t>
      </w:r>
    </w:p>
    <w:p w14:paraId="0EFB48BC"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A proxy of staff costs, outsourced services and depreciation rose 12.5 times between 2021 and 2025, to VND 198 billion, while revenue rose 8.1 times (Table B3). The proxy equals VND 0.13 million per account but VND 7.3 million per account holding VND 10 million or more (Figure 7). It may include other overheads, so it indicates trend and scale only.</w:t>
      </w:r>
    </w:p>
    <w:p w14:paraId="5922041A" w14:textId="77777777" w:rsidR="00CF7FD3" w:rsidRPr="00101936" w:rsidRDefault="00000000" w:rsidP="00101936">
      <w:pPr>
        <w:keepNext/>
        <w:spacing w:before="120" w:after="60"/>
        <w:jc w:val="center"/>
        <w:rPr>
          <w:rFonts w:asciiTheme="majorHAnsi" w:hAnsiTheme="majorHAnsi" w:cstheme="majorHAnsi"/>
        </w:rPr>
      </w:pPr>
      <w:r w:rsidRPr="00101936">
        <w:rPr>
          <w:rFonts w:asciiTheme="majorHAnsi" w:hAnsiTheme="majorHAnsi" w:cstheme="majorHAnsi"/>
          <w:noProof/>
        </w:rPr>
        <w:drawing>
          <wp:inline distT="0" distB="0" distL="0" distR="0" wp14:anchorId="56D2A0A0" wp14:editId="696906C5">
            <wp:extent cx="5581650" cy="2714625"/>
            <wp:effectExtent l="0" t="0" r="0" b="0"/>
            <wp:docPr id="1505390108" name="Figure 7." descr="Platform and overhead cost proxy and the accounts that carry i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81650" cy="2714625"/>
                    </a:xfrm>
                    <a:prstGeom prst="rect">
                      <a:avLst/>
                    </a:prstGeom>
                  </pic:spPr>
                </pic:pic>
              </a:graphicData>
            </a:graphic>
          </wp:inline>
        </w:drawing>
      </w:r>
    </w:p>
    <w:p w14:paraId="09042EF1" w14:textId="77777777" w:rsidR="00CF7FD3" w:rsidRPr="00101936" w:rsidRDefault="00000000" w:rsidP="00101936">
      <w:pPr>
        <w:spacing w:after="200"/>
        <w:jc w:val="center"/>
        <w:rPr>
          <w:rFonts w:asciiTheme="majorHAnsi" w:hAnsiTheme="majorHAnsi" w:cstheme="majorHAnsi"/>
        </w:rPr>
      </w:pPr>
      <w:r w:rsidRPr="00101936">
        <w:rPr>
          <w:rFonts w:asciiTheme="majorHAnsi" w:hAnsiTheme="majorHAnsi" w:cstheme="majorHAnsi"/>
          <w:b/>
          <w:bCs/>
          <w:sz w:val="19"/>
          <w:szCs w:val="19"/>
        </w:rPr>
        <w:t xml:space="preserve">Figure 7. </w:t>
      </w:r>
      <w:r w:rsidRPr="00101936">
        <w:rPr>
          <w:rFonts w:asciiTheme="majorHAnsi" w:hAnsiTheme="majorHAnsi" w:cstheme="majorHAnsi"/>
          <w:sz w:val="19"/>
          <w:szCs w:val="19"/>
        </w:rPr>
        <w:t>Platform and overhead cost proxy and the accounts that carry it</w:t>
      </w:r>
      <w:r w:rsidRPr="00101936">
        <w:rPr>
          <w:rFonts w:asciiTheme="majorHAnsi" w:hAnsiTheme="majorHAnsi" w:cstheme="majorHAnsi"/>
        </w:rPr>
        <w:br/>
      </w:r>
      <w:r w:rsidRPr="00101936">
        <w:rPr>
          <w:rFonts w:asciiTheme="majorHAnsi" w:hAnsiTheme="majorHAnsi" w:cstheme="majorHAnsi"/>
          <w:sz w:val="17"/>
          <w:szCs w:val="17"/>
        </w:rPr>
        <w:t>Source: DNSE filings; DNSE Securities (2026c); authors' calculations.</w:t>
      </w:r>
    </w:p>
    <w:p w14:paraId="008990B2" w14:textId="69A93D6E" w:rsidR="00CF7FD3" w:rsidRPr="00101936" w:rsidRDefault="00000000" w:rsidP="00101936">
      <w:pPr>
        <w:pBdr>
          <w:left w:val="single" w:sz="18" w:space="6" w:color="404040"/>
        </w:pBdr>
        <w:shd w:val="clear" w:color="auto" w:fill="F2F2F2"/>
        <w:spacing w:before="80" w:after="200" w:line="264" w:lineRule="auto"/>
        <w:ind w:left="120" w:right="120"/>
        <w:jc w:val="both"/>
        <w:rPr>
          <w:rFonts w:asciiTheme="majorHAnsi" w:hAnsiTheme="majorHAnsi" w:cstheme="majorHAnsi"/>
        </w:rPr>
      </w:pPr>
      <w:r w:rsidRPr="00101936">
        <w:rPr>
          <w:rFonts w:asciiTheme="majorHAnsi" w:hAnsiTheme="majorHAnsi" w:cstheme="majorHAnsi"/>
          <w:b/>
          <w:bCs/>
        </w:rPr>
        <w:t>Insight</w:t>
      </w:r>
      <w:r w:rsidR="00101936">
        <w:rPr>
          <w:rFonts w:asciiTheme="majorHAnsi" w:hAnsiTheme="majorHAnsi" w:cstheme="majorHAnsi"/>
          <w:b/>
          <w:bCs/>
          <w:lang w:val="en-US"/>
        </w:rPr>
        <w:t>:</w:t>
      </w:r>
      <w:r w:rsidRPr="00101936">
        <w:rPr>
          <w:rFonts w:asciiTheme="majorHAnsi" w:hAnsiTheme="majorHAnsi" w:cstheme="majorHAnsi"/>
          <w:b/>
          <w:bCs/>
        </w:rPr>
        <w:t xml:space="preserve"> </w:t>
      </w:r>
      <w:r w:rsidRPr="00101936">
        <w:rPr>
          <w:rFonts w:asciiTheme="majorHAnsi" w:hAnsiTheme="majorHAnsi" w:cstheme="majorHAnsi"/>
        </w:rPr>
        <w:t>Fewer than 2 in 100 accounts carry the platform's cost, so funding existing accounts is the cheapest way to lower unit costs.</w:t>
      </w:r>
    </w:p>
    <w:p w14:paraId="3880B888" w14:textId="77777777" w:rsidR="00CF7FD3" w:rsidRPr="00101936" w:rsidRDefault="00000000" w:rsidP="00101936">
      <w:pPr>
        <w:pStyle w:val="Heading2"/>
        <w:keepNext/>
        <w:keepLines/>
        <w:jc w:val="both"/>
        <w:rPr>
          <w:rFonts w:asciiTheme="majorHAnsi" w:hAnsiTheme="majorHAnsi" w:cstheme="majorHAnsi"/>
        </w:rPr>
      </w:pPr>
      <w:r w:rsidRPr="00101936">
        <w:rPr>
          <w:rFonts w:asciiTheme="majorHAnsi" w:hAnsiTheme="majorHAnsi" w:cstheme="majorHAnsi"/>
        </w:rPr>
        <w:t>2.6 Finding 5. Trust complaints are specific to DNSE</w:t>
      </w:r>
    </w:p>
    <w:p w14:paraId="3D341844"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In 278 negative DNSE reviews on Google Play, crashes and login failures appear in 27 per cent and identity checks in 21 per cent. Complaints about deception, sign-up bonus terms and the closure fee appear in 24 per cent but attract 43 per cent of helpful votes (Figure 8). The most-endorsed reviews describe a VND 100,000 reward that required a VND 2 million deposit and a VND 100,000 closure fee. Since 2025, reliability complaints have been at least as common at VPS (46 per cent) as at DNSE (38 per cent), yet VPS lends five times more per account. Trust complaints, however, reach 37 per cent at DNSE against 8 per cent at VPS and 1 per cent at FPTS. A regulatory fine in August 2026 adds to these doubts (Market Times, 2026).</w:t>
      </w:r>
    </w:p>
    <w:p w14:paraId="1293CC5C" w14:textId="77777777" w:rsidR="00CF7FD3" w:rsidRPr="00101936" w:rsidRDefault="00000000" w:rsidP="00101936">
      <w:pPr>
        <w:keepNext/>
        <w:spacing w:before="120" w:after="60"/>
        <w:jc w:val="center"/>
        <w:rPr>
          <w:rFonts w:asciiTheme="majorHAnsi" w:hAnsiTheme="majorHAnsi" w:cstheme="majorHAnsi"/>
        </w:rPr>
      </w:pPr>
      <w:r w:rsidRPr="00101936">
        <w:rPr>
          <w:rFonts w:asciiTheme="majorHAnsi" w:hAnsiTheme="majorHAnsi" w:cstheme="majorHAnsi"/>
          <w:noProof/>
        </w:rPr>
        <w:lastRenderedPageBreak/>
        <w:drawing>
          <wp:inline distT="0" distB="0" distL="0" distR="0" wp14:anchorId="7D359BF0" wp14:editId="0CAC475E">
            <wp:extent cx="5762625" cy="2771775"/>
            <wp:effectExtent l="0" t="0" r="0" b="0"/>
            <wp:docPr id="1117117944" name="Figure 8." descr="Complaint themes in negative Google Play review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771775"/>
                    </a:xfrm>
                    <a:prstGeom prst="rect">
                      <a:avLst/>
                    </a:prstGeom>
                  </pic:spPr>
                </pic:pic>
              </a:graphicData>
            </a:graphic>
          </wp:inline>
        </w:drawing>
      </w:r>
    </w:p>
    <w:p w14:paraId="4B13AF3A" w14:textId="77777777" w:rsidR="00CF7FD3" w:rsidRPr="00101936" w:rsidRDefault="00000000" w:rsidP="00101936">
      <w:pPr>
        <w:spacing w:after="200"/>
        <w:jc w:val="center"/>
        <w:rPr>
          <w:rFonts w:asciiTheme="majorHAnsi" w:hAnsiTheme="majorHAnsi" w:cstheme="majorHAnsi"/>
        </w:rPr>
      </w:pPr>
      <w:r w:rsidRPr="00101936">
        <w:rPr>
          <w:rFonts w:asciiTheme="majorHAnsi" w:hAnsiTheme="majorHAnsi" w:cstheme="majorHAnsi"/>
          <w:b/>
          <w:bCs/>
          <w:sz w:val="19"/>
          <w:szCs w:val="19"/>
        </w:rPr>
        <w:t xml:space="preserve">Figure 8. </w:t>
      </w:r>
      <w:r w:rsidRPr="00101936">
        <w:rPr>
          <w:rFonts w:asciiTheme="majorHAnsi" w:hAnsiTheme="majorHAnsi" w:cstheme="majorHAnsi"/>
          <w:sz w:val="19"/>
          <w:szCs w:val="19"/>
        </w:rPr>
        <w:t>Complaint themes in negative Google Play reviews</w:t>
      </w:r>
      <w:r w:rsidRPr="00101936">
        <w:rPr>
          <w:rFonts w:asciiTheme="majorHAnsi" w:hAnsiTheme="majorHAnsi" w:cstheme="majorHAnsi"/>
        </w:rPr>
        <w:br/>
      </w:r>
      <w:r w:rsidRPr="00101936">
        <w:rPr>
          <w:rFonts w:asciiTheme="majorHAnsi" w:hAnsiTheme="majorHAnsi" w:cstheme="majorHAnsi"/>
          <w:sz w:val="17"/>
          <w:szCs w:val="17"/>
        </w:rPr>
        <w:t>Source: Google Play, retrieved 23 September 2026; authors' coding (Appendix D).</w:t>
      </w:r>
    </w:p>
    <w:p w14:paraId="4D361AB0" w14:textId="3EC7DD31" w:rsidR="00CF7FD3" w:rsidRPr="00101936" w:rsidRDefault="00000000" w:rsidP="00101936">
      <w:pPr>
        <w:pBdr>
          <w:left w:val="single" w:sz="18" w:space="6" w:color="404040"/>
        </w:pBdr>
        <w:shd w:val="clear" w:color="auto" w:fill="F2F2F2"/>
        <w:spacing w:before="80" w:after="200" w:line="264" w:lineRule="auto"/>
        <w:ind w:left="120" w:right="120"/>
        <w:jc w:val="both"/>
        <w:rPr>
          <w:rFonts w:asciiTheme="majorHAnsi" w:hAnsiTheme="majorHAnsi" w:cstheme="majorHAnsi"/>
        </w:rPr>
      </w:pPr>
      <w:r w:rsidRPr="00101936">
        <w:rPr>
          <w:rFonts w:asciiTheme="majorHAnsi" w:hAnsiTheme="majorHAnsi" w:cstheme="majorHAnsi"/>
          <w:b/>
          <w:bCs/>
        </w:rPr>
        <w:t>Insight</w:t>
      </w:r>
      <w:r w:rsidR="00101936">
        <w:rPr>
          <w:rFonts w:asciiTheme="majorHAnsi" w:hAnsiTheme="majorHAnsi" w:cstheme="majorHAnsi"/>
          <w:b/>
          <w:bCs/>
          <w:lang w:val="en-US"/>
        </w:rPr>
        <w:t>:</w:t>
      </w:r>
      <w:r w:rsidRPr="00101936">
        <w:rPr>
          <w:rFonts w:asciiTheme="majorHAnsi" w:hAnsiTheme="majorHAnsi" w:cstheme="majorHAnsi"/>
          <w:b/>
          <w:bCs/>
        </w:rPr>
        <w:t xml:space="preserve"> </w:t>
      </w:r>
      <w:r w:rsidRPr="00101936">
        <w:rPr>
          <w:rFonts w:asciiTheme="majorHAnsi" w:hAnsiTheme="majorHAnsi" w:cstheme="majorHAnsi"/>
        </w:rPr>
        <w:t>Trust complaints cluster at the first deposit and at withdrawal, the two moments that decide whether an account is funded.</w:t>
      </w:r>
    </w:p>
    <w:p w14:paraId="2FAAAAE1" w14:textId="77777777" w:rsidR="00CF7FD3" w:rsidRPr="00101936" w:rsidRDefault="00000000" w:rsidP="00101936">
      <w:pPr>
        <w:pStyle w:val="Heading2"/>
        <w:keepNext/>
        <w:keepLines/>
        <w:jc w:val="both"/>
        <w:rPr>
          <w:rFonts w:asciiTheme="majorHAnsi" w:hAnsiTheme="majorHAnsi" w:cstheme="majorHAnsi"/>
        </w:rPr>
      </w:pPr>
      <w:r w:rsidRPr="00101936">
        <w:rPr>
          <w:rFonts w:asciiTheme="majorHAnsi" w:hAnsiTheme="majorHAnsi" w:cstheme="majorHAnsi"/>
        </w:rPr>
        <w:t>2.7 Finding 6. Saving products exist but reach few customers</w:t>
      </w:r>
    </w:p>
    <w:p w14:paraId="416A4484"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The Never-Sleeping Account had 12,100 registered users at the end of 2025, 0.8 per cent of accounts, and Golden Egg had 1,037 active customers in December (DNSE Securities, 2026c). Both products assume that the customer has already decided to deposit. Among Vietnamese adults, 70.5 per cent hold an account, but only 43.1 per cent save at a financial institution (World Bank, 2025). Three segments, the richest 60 per cent, adults in the labour force and adults with secondary education, each contain 15 to 20 million adults with an account and no formal saving (Figure 9). Among investors, 77 per cent find portfolio management difficult and 81 per cent want professional advice (Nhan Dan, 2025; VnEconomy, 2025).</w:t>
      </w:r>
    </w:p>
    <w:p w14:paraId="24D3606F" w14:textId="77777777" w:rsidR="00CF7FD3" w:rsidRPr="00101936" w:rsidRDefault="00000000" w:rsidP="00101936">
      <w:pPr>
        <w:keepNext/>
        <w:spacing w:before="120" w:after="60"/>
        <w:jc w:val="center"/>
        <w:rPr>
          <w:rFonts w:asciiTheme="majorHAnsi" w:hAnsiTheme="majorHAnsi" w:cstheme="majorHAnsi"/>
        </w:rPr>
      </w:pPr>
      <w:r w:rsidRPr="00101936">
        <w:rPr>
          <w:rFonts w:asciiTheme="majorHAnsi" w:hAnsiTheme="majorHAnsi" w:cstheme="majorHAnsi"/>
          <w:noProof/>
        </w:rPr>
        <w:drawing>
          <wp:inline distT="0" distB="0" distL="0" distR="0" wp14:anchorId="483A9A52" wp14:editId="0B3F05F9">
            <wp:extent cx="5391150" cy="3067050"/>
            <wp:effectExtent l="0" t="0" r="0" b="0"/>
            <wp:docPr id="977078301" name="Figure 9." descr="Vietnamese adult segments by digital habit and formally held surplu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91150" cy="3067050"/>
                    </a:xfrm>
                    <a:prstGeom prst="rect">
                      <a:avLst/>
                    </a:prstGeom>
                  </pic:spPr>
                </pic:pic>
              </a:graphicData>
            </a:graphic>
          </wp:inline>
        </w:drawing>
      </w:r>
    </w:p>
    <w:p w14:paraId="5C274C0D" w14:textId="77777777" w:rsidR="00CF7FD3" w:rsidRPr="00101936" w:rsidRDefault="00000000" w:rsidP="00101936">
      <w:pPr>
        <w:spacing w:after="200"/>
        <w:jc w:val="center"/>
        <w:rPr>
          <w:rFonts w:asciiTheme="majorHAnsi" w:hAnsiTheme="majorHAnsi" w:cstheme="majorHAnsi"/>
        </w:rPr>
      </w:pPr>
      <w:r w:rsidRPr="00101936">
        <w:rPr>
          <w:rFonts w:asciiTheme="majorHAnsi" w:hAnsiTheme="majorHAnsi" w:cstheme="majorHAnsi"/>
          <w:b/>
          <w:bCs/>
          <w:sz w:val="19"/>
          <w:szCs w:val="19"/>
        </w:rPr>
        <w:t xml:space="preserve">Figure 9. </w:t>
      </w:r>
      <w:r w:rsidRPr="00101936">
        <w:rPr>
          <w:rFonts w:asciiTheme="majorHAnsi" w:hAnsiTheme="majorHAnsi" w:cstheme="majorHAnsi"/>
          <w:sz w:val="19"/>
          <w:szCs w:val="19"/>
        </w:rPr>
        <w:t>Vietnamese adult segments by digital habit and formally held surplus</w:t>
      </w:r>
      <w:r w:rsidRPr="00101936">
        <w:rPr>
          <w:rFonts w:asciiTheme="majorHAnsi" w:hAnsiTheme="majorHAnsi" w:cstheme="majorHAnsi"/>
        </w:rPr>
        <w:br/>
      </w:r>
      <w:r w:rsidRPr="00101936">
        <w:rPr>
          <w:rFonts w:asciiTheme="majorHAnsi" w:hAnsiTheme="majorHAnsi" w:cstheme="majorHAnsi"/>
          <w:sz w:val="17"/>
          <w:szCs w:val="17"/>
        </w:rPr>
        <w:t>Source: World Bank (2025); authors' indices (Appendix E).</w:t>
      </w:r>
    </w:p>
    <w:p w14:paraId="6A9D84BC" w14:textId="2AE84D7F" w:rsidR="00CF7FD3" w:rsidRPr="00101936" w:rsidRDefault="00000000" w:rsidP="00101936">
      <w:pPr>
        <w:pBdr>
          <w:left w:val="single" w:sz="18" w:space="6" w:color="404040"/>
        </w:pBdr>
        <w:shd w:val="clear" w:color="auto" w:fill="F2F2F2"/>
        <w:spacing w:before="80" w:after="200" w:line="264" w:lineRule="auto"/>
        <w:ind w:left="120" w:right="120"/>
        <w:jc w:val="both"/>
        <w:rPr>
          <w:rFonts w:asciiTheme="majorHAnsi" w:hAnsiTheme="majorHAnsi" w:cstheme="majorHAnsi"/>
        </w:rPr>
      </w:pPr>
      <w:r w:rsidRPr="00101936">
        <w:rPr>
          <w:rFonts w:asciiTheme="majorHAnsi" w:hAnsiTheme="majorHAnsi" w:cstheme="majorHAnsi"/>
          <w:b/>
          <w:bCs/>
        </w:rPr>
        <w:lastRenderedPageBreak/>
        <w:t>Hypothesis</w:t>
      </w:r>
      <w:r w:rsidR="00101936">
        <w:rPr>
          <w:rFonts w:asciiTheme="majorHAnsi" w:hAnsiTheme="majorHAnsi" w:cstheme="majorHAnsi"/>
          <w:b/>
          <w:bCs/>
          <w:lang w:val="en-US"/>
        </w:rPr>
        <w:t>:</w:t>
      </w:r>
      <w:r w:rsidRPr="00101936">
        <w:rPr>
          <w:rFonts w:asciiTheme="majorHAnsi" w:hAnsiTheme="majorHAnsi" w:cstheme="majorHAnsi"/>
          <w:b/>
          <w:bCs/>
        </w:rPr>
        <w:t xml:space="preserve"> </w:t>
      </w:r>
      <w:r w:rsidRPr="00101936">
        <w:rPr>
          <w:rFonts w:asciiTheme="majorHAnsi" w:hAnsiTheme="majorHAnsi" w:cstheme="majorHAnsi"/>
        </w:rPr>
        <w:t>Many salaried adults, probably including many DNSE account holders, have an income, an account and an intention to invest, but they want guidance and keep postponing. The pattern is consistent with procrastination (O'Donoghue &amp; Rabin, 1999).</w:t>
      </w:r>
    </w:p>
    <w:p w14:paraId="37F9FD5C" w14:textId="0863C16C" w:rsidR="00CF7FD3" w:rsidRPr="00101936" w:rsidRDefault="00000000" w:rsidP="00101936">
      <w:pPr>
        <w:pStyle w:val="Heading1"/>
        <w:keepNext/>
        <w:keepLines/>
        <w:spacing w:before="0"/>
        <w:jc w:val="both"/>
        <w:rPr>
          <w:rFonts w:asciiTheme="majorHAnsi" w:hAnsiTheme="majorHAnsi" w:cstheme="majorHAnsi"/>
        </w:rPr>
      </w:pPr>
      <w:r w:rsidRPr="00101936">
        <w:rPr>
          <w:rFonts w:asciiTheme="majorHAnsi" w:hAnsiTheme="majorHAnsi" w:cstheme="majorHAnsi"/>
        </w:rPr>
        <w:t xml:space="preserve">3. </w:t>
      </w:r>
      <w:r w:rsidR="001B3A39" w:rsidRPr="00101936">
        <w:rPr>
          <w:rFonts w:asciiTheme="majorHAnsi" w:hAnsiTheme="majorHAnsi" w:cstheme="majorHAnsi"/>
        </w:rPr>
        <w:t>DISCUSSION AND MAIN ANALYSIS</w:t>
      </w:r>
    </w:p>
    <w:p w14:paraId="0C797CD4" w14:textId="77777777" w:rsidR="00CF7FD3" w:rsidRPr="00101936" w:rsidRDefault="00000000" w:rsidP="00101936">
      <w:pPr>
        <w:pStyle w:val="Heading2"/>
        <w:keepNext/>
        <w:keepLines/>
        <w:jc w:val="both"/>
        <w:rPr>
          <w:rFonts w:asciiTheme="majorHAnsi" w:hAnsiTheme="majorHAnsi" w:cstheme="majorHAnsi"/>
        </w:rPr>
      </w:pPr>
      <w:r w:rsidRPr="00101936">
        <w:rPr>
          <w:rFonts w:asciiTheme="majorHAnsi" w:hAnsiTheme="majorHAnsi" w:cstheme="majorHAnsi"/>
        </w:rPr>
        <w:t>3.1 From symptom to root cause</w:t>
      </w:r>
    </w:p>
    <w:p w14:paraId="2BB692A8"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Zero-fee acquisition makes opening an account costless, so a sign-up carries no commitment to fund it. Figure 10 traces the symptom to three root causes with different strengths of evidence.</w:t>
      </w:r>
    </w:p>
    <w:p w14:paraId="1624EF01" w14:textId="77777777" w:rsidR="00CF7FD3" w:rsidRPr="00101936" w:rsidRDefault="00000000" w:rsidP="00101936">
      <w:pPr>
        <w:keepNext/>
        <w:spacing w:before="120" w:after="60"/>
        <w:jc w:val="center"/>
        <w:rPr>
          <w:rFonts w:asciiTheme="majorHAnsi" w:hAnsiTheme="majorHAnsi" w:cstheme="majorHAnsi"/>
        </w:rPr>
      </w:pPr>
      <w:r w:rsidRPr="00101936">
        <w:rPr>
          <w:rFonts w:asciiTheme="majorHAnsi" w:hAnsiTheme="majorHAnsi" w:cstheme="majorHAnsi"/>
          <w:noProof/>
        </w:rPr>
        <w:drawing>
          <wp:inline distT="0" distB="0" distL="0" distR="0" wp14:anchorId="0BD4CE31" wp14:editId="7DF6F222">
            <wp:extent cx="5581650" cy="3572256"/>
            <wp:effectExtent l="0" t="0" r="0" b="0"/>
            <wp:docPr id="991693353" name="Picture 991693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root_cause.png"/>
                    <pic:cNvPicPr/>
                  </pic:nvPicPr>
                  <pic:blipFill>
                    <a:blip r:embed="rId17"/>
                    <a:stretch>
                      <a:fillRect/>
                    </a:stretch>
                  </pic:blipFill>
                  <pic:spPr>
                    <a:xfrm>
                      <a:off x="0" y="0"/>
                      <a:ext cx="5581650" cy="3572256"/>
                    </a:xfrm>
                    <a:prstGeom prst="rect">
                      <a:avLst/>
                    </a:prstGeom>
                  </pic:spPr>
                </pic:pic>
              </a:graphicData>
            </a:graphic>
          </wp:inline>
        </w:drawing>
      </w:r>
    </w:p>
    <w:p w14:paraId="21F1C724" w14:textId="77777777" w:rsidR="00CF7FD3" w:rsidRPr="00101936" w:rsidRDefault="00000000" w:rsidP="00101936">
      <w:pPr>
        <w:spacing w:after="200"/>
        <w:jc w:val="center"/>
        <w:rPr>
          <w:rFonts w:asciiTheme="majorHAnsi" w:hAnsiTheme="majorHAnsi" w:cstheme="majorHAnsi"/>
        </w:rPr>
      </w:pPr>
      <w:r w:rsidRPr="00101936">
        <w:rPr>
          <w:rFonts w:asciiTheme="majorHAnsi" w:hAnsiTheme="majorHAnsi" w:cstheme="majorHAnsi"/>
          <w:b/>
          <w:bCs/>
          <w:sz w:val="19"/>
          <w:szCs w:val="19"/>
        </w:rPr>
        <w:t xml:space="preserve">Figure 10. </w:t>
      </w:r>
      <w:r w:rsidRPr="00101936">
        <w:rPr>
          <w:rFonts w:asciiTheme="majorHAnsi" w:hAnsiTheme="majorHAnsi" w:cstheme="majorHAnsi"/>
          <w:sz w:val="19"/>
          <w:szCs w:val="19"/>
        </w:rPr>
        <w:t>Root-cause tree for unfunded accounts</w:t>
      </w:r>
      <w:r w:rsidRPr="00101936">
        <w:rPr>
          <w:rFonts w:asciiTheme="majorHAnsi" w:hAnsiTheme="majorHAnsi" w:cstheme="majorHAnsi"/>
        </w:rPr>
        <w:br/>
      </w:r>
      <w:r w:rsidRPr="00101936">
        <w:rPr>
          <w:rFonts w:asciiTheme="majorHAnsi" w:hAnsiTheme="majorHAnsi" w:cstheme="majorHAnsi"/>
          <w:sz w:val="17"/>
          <w:szCs w:val="17"/>
        </w:rPr>
        <w:t>Source: authors' analysis of Section 2.</w:t>
      </w:r>
    </w:p>
    <w:p w14:paraId="53717862"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The customer-capital mismatch is a hypothesis, supported mainly by a Gen Z share of 31.5 per cent of accounts in mid-2025 (VnExpress, 2025). The trust barrier is supported by review data (Section 3.3). The missing route from intention to regular funding is supported for products and remains a hypothesis for customers (Section 3.4).</w:t>
      </w:r>
    </w:p>
    <w:p w14:paraId="43242C4E" w14:textId="77777777" w:rsidR="00CF7FD3" w:rsidRPr="00101936" w:rsidRDefault="00000000" w:rsidP="00101936">
      <w:pPr>
        <w:pStyle w:val="Heading2"/>
        <w:keepNext/>
        <w:keepLines/>
        <w:jc w:val="both"/>
        <w:rPr>
          <w:rFonts w:asciiTheme="majorHAnsi" w:hAnsiTheme="majorHAnsi" w:cstheme="majorHAnsi"/>
        </w:rPr>
      </w:pPr>
      <w:r w:rsidRPr="00101936">
        <w:rPr>
          <w:rFonts w:asciiTheme="majorHAnsi" w:hAnsiTheme="majorHAnsi" w:cstheme="majorHAnsi"/>
        </w:rPr>
        <w:t>3.2 Account growth has not produced balances or profit</w:t>
      </w:r>
    </w:p>
    <w:p w14:paraId="5DC48AF8"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Findings 1 to 4 describe a single mechanism. Zero fees attract many small accounts, and each account adds to a platform cost that is largely fixed. Because free trades lose money, profit depends on margin loans, which require customers with assets to pledge and funding that DNSE secures with its own deposits. Between 2021 and 2025, accounts grew 33.8 times and the platform cost proxy 12.5 times, while core pre-tax profit grew 2.7 times (Figure 11).</w:t>
      </w:r>
    </w:p>
    <w:p w14:paraId="581435BE" w14:textId="77777777" w:rsidR="00CF7FD3" w:rsidRPr="00101936" w:rsidRDefault="00000000" w:rsidP="00101936">
      <w:pPr>
        <w:keepNext/>
        <w:spacing w:before="120" w:after="60"/>
        <w:jc w:val="center"/>
        <w:rPr>
          <w:rFonts w:asciiTheme="majorHAnsi" w:hAnsiTheme="majorHAnsi" w:cstheme="majorHAnsi"/>
        </w:rPr>
      </w:pPr>
      <w:r w:rsidRPr="00101936">
        <w:rPr>
          <w:rFonts w:asciiTheme="majorHAnsi" w:hAnsiTheme="majorHAnsi" w:cstheme="majorHAnsi"/>
          <w:noProof/>
        </w:rPr>
        <w:lastRenderedPageBreak/>
        <w:drawing>
          <wp:inline distT="0" distB="0" distL="0" distR="0" wp14:anchorId="05B3F55F" wp14:editId="63D8EA18">
            <wp:extent cx="5581650" cy="2455926"/>
            <wp:effectExtent l="0" t="0" r="0" b="0"/>
            <wp:docPr id="1292615117" name="Picture 1292615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growth_index.png"/>
                    <pic:cNvPicPr/>
                  </pic:nvPicPr>
                  <pic:blipFill>
                    <a:blip r:embed="rId18"/>
                    <a:stretch>
                      <a:fillRect/>
                    </a:stretch>
                  </pic:blipFill>
                  <pic:spPr>
                    <a:xfrm>
                      <a:off x="0" y="0"/>
                      <a:ext cx="5581650" cy="2455926"/>
                    </a:xfrm>
                    <a:prstGeom prst="rect">
                      <a:avLst/>
                    </a:prstGeom>
                  </pic:spPr>
                </pic:pic>
              </a:graphicData>
            </a:graphic>
          </wp:inline>
        </w:drawing>
      </w:r>
    </w:p>
    <w:p w14:paraId="1A5E9836" w14:textId="77777777" w:rsidR="00CF7FD3" w:rsidRPr="00101936" w:rsidRDefault="00000000" w:rsidP="00101936">
      <w:pPr>
        <w:spacing w:after="200"/>
        <w:jc w:val="center"/>
        <w:rPr>
          <w:rFonts w:asciiTheme="majorHAnsi" w:hAnsiTheme="majorHAnsi" w:cstheme="majorHAnsi"/>
        </w:rPr>
      </w:pPr>
      <w:r w:rsidRPr="00101936">
        <w:rPr>
          <w:rFonts w:asciiTheme="majorHAnsi" w:hAnsiTheme="majorHAnsi" w:cstheme="majorHAnsi"/>
          <w:b/>
          <w:bCs/>
          <w:sz w:val="19"/>
          <w:szCs w:val="19"/>
        </w:rPr>
        <w:t xml:space="preserve">Figure 11. </w:t>
      </w:r>
      <w:r w:rsidRPr="00101936">
        <w:rPr>
          <w:rFonts w:asciiTheme="majorHAnsi" w:hAnsiTheme="majorHAnsi" w:cstheme="majorHAnsi"/>
          <w:sz w:val="19"/>
          <w:szCs w:val="19"/>
        </w:rPr>
        <w:t>Accounts, revenue, platform cost and core profit, 2021 = 1</w:t>
      </w:r>
      <w:r w:rsidRPr="00101936">
        <w:rPr>
          <w:rFonts w:asciiTheme="majorHAnsi" w:hAnsiTheme="majorHAnsi" w:cstheme="majorHAnsi"/>
        </w:rPr>
        <w:br/>
      </w:r>
      <w:r w:rsidRPr="00101936">
        <w:rPr>
          <w:rFonts w:asciiTheme="majorHAnsi" w:hAnsiTheme="majorHAnsi" w:cstheme="majorHAnsi"/>
          <w:sz w:val="17"/>
          <w:szCs w:val="17"/>
        </w:rPr>
        <w:t>Source: Tables B1 and B3; authors' calculations.</w:t>
      </w:r>
    </w:p>
    <w:p w14:paraId="3A020F75"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The shortfall is large when measured in money. The average Vietnamese securities account held about VND 6.3 million of investor cash in mid-2026, against VND 1.2 million at DNSE. At the industry average, DNSE would hold about VND 10.6 trillion, 5.4 times its actual balance (Table C1). Each account that stays empty therefore adds cost without adding the balances on which DNSE earns.</w:t>
      </w:r>
    </w:p>
    <w:p w14:paraId="7C17CC0C" w14:textId="77777777" w:rsidR="00CF7FD3" w:rsidRPr="00101936" w:rsidRDefault="00000000" w:rsidP="00101936">
      <w:pPr>
        <w:pStyle w:val="Heading2"/>
        <w:keepNext/>
        <w:keepLines/>
        <w:jc w:val="both"/>
        <w:rPr>
          <w:rFonts w:asciiTheme="majorHAnsi" w:hAnsiTheme="majorHAnsi" w:cstheme="majorHAnsi"/>
        </w:rPr>
      </w:pPr>
      <w:r w:rsidRPr="00101936">
        <w:rPr>
          <w:rFonts w:asciiTheme="majorHAnsi" w:hAnsiTheme="majorHAnsi" w:cstheme="majorHAnsi"/>
        </w:rPr>
        <w:t>3.3 Trust fails at the point of deposit</w:t>
      </w:r>
    </w:p>
    <w:p w14:paraId="37FBF2AE"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The mean rating of substantive DNSE reviews fell from 4.15 in 2024 to 2.38 in 2025, and the fall holds under every cleaning rule (Table A4). That year DNSE opened 518,514 accounts. The three most-endorsed complaints date from May and June 2025, and all three concern reward conditions or the closure fee (Table D3). VPS draws more reliability complaints than DNSE but lends five times more per account, which suggests that customers tolerate technical faults more readily than terms they consider unfair. The pattern is consistent with conditional rewards that raised sign-ups but weakened trust at the first deposit, so a solution should avoid them.</w:t>
      </w:r>
    </w:p>
    <w:p w14:paraId="5799BCAD" w14:textId="77777777" w:rsidR="00CF7FD3" w:rsidRPr="00101936" w:rsidRDefault="00000000" w:rsidP="00101936">
      <w:pPr>
        <w:pStyle w:val="Heading2"/>
        <w:keepNext/>
        <w:keepLines/>
        <w:jc w:val="both"/>
        <w:rPr>
          <w:rFonts w:asciiTheme="majorHAnsi" w:hAnsiTheme="majorHAnsi" w:cstheme="majorHAnsi"/>
        </w:rPr>
      </w:pPr>
      <w:r w:rsidRPr="00101936">
        <w:rPr>
          <w:rFonts w:asciiTheme="majorHAnsi" w:hAnsiTheme="majorHAnsi" w:cstheme="majorHAnsi"/>
        </w:rPr>
        <w:t>3.4 Intention without a route to investment</w:t>
      </w:r>
    </w:p>
    <w:p w14:paraId="3FE80CEB"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About 22.1 million Vietnamese adults hold an account but do not save formally (Table E1). Among the richest 60 per cent, 85.5 per cent hold an account and 49.5 per cent receive wages into one, yet only 53.8 per cent save at a financial institution. For these adults the salary already arrives in an account, so the missing step is a regular transfer from that account into an investment. When each deposit is a fresh decision, people who intend to save tend to postpone it (O'Donoghue &amp; Rabin, 1999).</w:t>
      </w:r>
    </w:p>
    <w:p w14:paraId="44446591"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Evidence from other markets shows that product design can close this gap. Automatic enrolment raised pension-plan participation from 37 to 86 per cent (Madrian &amp; Shea, 2001), and pre-committed saving raised saving rates from 3.5 to 13.6 per cent (Thaler &amp; Benartzi, 2004). A commitment savings account raised balances by 81 percentage points against a control group after one year (Ashraf et al., 2006). Whether DNSE's dormant customers are salaried savers of this kind remains a hypothesis for Round 3.</w:t>
      </w:r>
    </w:p>
    <w:p w14:paraId="0EF94F7C" w14:textId="77777777" w:rsidR="00CF7FD3" w:rsidRPr="00101936" w:rsidRDefault="00000000" w:rsidP="00101936">
      <w:pPr>
        <w:pStyle w:val="Heading2"/>
        <w:keepNext/>
        <w:keepLines/>
        <w:jc w:val="both"/>
        <w:rPr>
          <w:rFonts w:asciiTheme="majorHAnsi" w:hAnsiTheme="majorHAnsi" w:cstheme="majorHAnsi"/>
        </w:rPr>
      </w:pPr>
      <w:r w:rsidRPr="00101936">
        <w:rPr>
          <w:rFonts w:asciiTheme="majorHAnsi" w:hAnsiTheme="majorHAnsi" w:cstheme="majorHAnsi"/>
        </w:rPr>
        <w:t>3.5 Alternative explanations</w:t>
      </w:r>
    </w:p>
    <w:p w14:paraId="0D6AF96E"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Four other explanations were tested (Table F2). The market cycle does not explain the gap, since assets per account fell 9.5 per cent in 2025 while the VN-Index rose 41 per cent (Thanh Nien, 2025). A shortage of lending capital is also unlikely, as loans stood at 116 per cent of equity against a ceiling of 200 per cent. Dormancy common to all brokers does not fit either, because VPS, VPBankS and TCBS lend 5 to 12 times more per account. Only a deliberate plan to earn from young customers later cannot be rejected without cohort data.</w:t>
      </w:r>
    </w:p>
    <w:p w14:paraId="5BEF98F9" w14:textId="77777777" w:rsidR="00CF7FD3" w:rsidRPr="00101936" w:rsidRDefault="00000000" w:rsidP="00101936">
      <w:pPr>
        <w:pStyle w:val="Heading2"/>
        <w:keepNext/>
        <w:keepLines/>
        <w:jc w:val="both"/>
        <w:rPr>
          <w:rFonts w:asciiTheme="majorHAnsi" w:hAnsiTheme="majorHAnsi" w:cstheme="majorHAnsi"/>
        </w:rPr>
      </w:pPr>
      <w:r w:rsidRPr="00101936">
        <w:rPr>
          <w:rFonts w:asciiTheme="majorHAnsi" w:hAnsiTheme="majorHAnsi" w:cstheme="majorHAnsi"/>
        </w:rPr>
        <w:lastRenderedPageBreak/>
        <w:t>3.6 Core problem and design conditions</w:t>
      </w:r>
    </w:p>
    <w:p w14:paraId="11CC6226" w14:textId="5256DDED" w:rsidR="00CF7FD3" w:rsidRPr="00101936" w:rsidRDefault="00000000" w:rsidP="00101936">
      <w:pPr>
        <w:pBdr>
          <w:left w:val="single" w:sz="18" w:space="6" w:color="404040"/>
        </w:pBdr>
        <w:shd w:val="clear" w:color="auto" w:fill="F2F2F2"/>
        <w:spacing w:before="80" w:after="200" w:line="264" w:lineRule="auto"/>
        <w:ind w:left="120" w:right="120"/>
        <w:jc w:val="both"/>
        <w:rPr>
          <w:rFonts w:asciiTheme="majorHAnsi" w:hAnsiTheme="majorHAnsi" w:cstheme="majorHAnsi"/>
        </w:rPr>
      </w:pPr>
      <w:r w:rsidRPr="00101936">
        <w:rPr>
          <w:rFonts w:asciiTheme="majorHAnsi" w:hAnsiTheme="majorHAnsi" w:cstheme="majorHAnsi"/>
          <w:b/>
          <w:bCs/>
        </w:rPr>
        <w:t>Problem statement</w:t>
      </w:r>
      <w:r w:rsidR="00101936">
        <w:rPr>
          <w:rFonts w:asciiTheme="majorHAnsi" w:hAnsiTheme="majorHAnsi" w:cstheme="majorHAnsi"/>
          <w:b/>
          <w:bCs/>
          <w:lang w:val="en-US"/>
        </w:rPr>
        <w:t>:</w:t>
      </w:r>
      <w:r w:rsidRPr="00101936">
        <w:rPr>
          <w:rFonts w:asciiTheme="majorHAnsi" w:hAnsiTheme="majorHAnsi" w:cstheme="majorHAnsi"/>
          <w:b/>
          <w:bCs/>
        </w:rPr>
        <w:t xml:space="preserve"> </w:t>
      </w:r>
      <w:r w:rsidRPr="00101936">
        <w:rPr>
          <w:rFonts w:asciiTheme="majorHAnsi" w:hAnsiTheme="majorHAnsi" w:cstheme="majorHAnsi"/>
        </w:rPr>
        <w:t>Most DNSE accounts are never funded. At the end of 2025, 98 per cent held less than VND 10 million, so fewer than 2 in 100 carried the platform's cost. No DNSE product turns an intention to invest into regular deposits, and trust complaints deter the first deposit.</w:t>
      </w:r>
    </w:p>
    <w:p w14:paraId="68DE0F8A"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The problem is urgent. Open banking will let every competitor link salary accounts from March 2027, and DNSE had delivered 20 per cent of its 2026 profit target by mid-year (Vietstock, 2026a). Four conditions follow for any solution. It should bring money in without a large one-off decision, earn from balances without new pledged borrowing, rebuild trust through small and reversible steps without conditional rewards, and fit DNSE's licences.</w:t>
      </w:r>
    </w:p>
    <w:p w14:paraId="2A0702C4" w14:textId="78B7A6EF" w:rsidR="00CF7FD3" w:rsidRPr="00101936" w:rsidRDefault="00000000" w:rsidP="00101936">
      <w:pPr>
        <w:pStyle w:val="Heading1"/>
        <w:keepNext/>
        <w:keepLines/>
        <w:spacing w:before="0"/>
        <w:jc w:val="both"/>
        <w:rPr>
          <w:rFonts w:asciiTheme="majorHAnsi" w:hAnsiTheme="majorHAnsi" w:cstheme="majorHAnsi"/>
        </w:rPr>
      </w:pPr>
      <w:r w:rsidRPr="00101936">
        <w:rPr>
          <w:rFonts w:asciiTheme="majorHAnsi" w:hAnsiTheme="majorHAnsi" w:cstheme="majorHAnsi"/>
        </w:rPr>
        <w:t xml:space="preserve">4. </w:t>
      </w:r>
      <w:r w:rsidR="001B3A39" w:rsidRPr="00101936">
        <w:rPr>
          <w:rFonts w:asciiTheme="majorHAnsi" w:hAnsiTheme="majorHAnsi" w:cstheme="majorHAnsi"/>
        </w:rPr>
        <w:t>RECOMMENDATIONS</w:t>
      </w:r>
    </w:p>
    <w:p w14:paraId="6A01E6AD" w14:textId="77777777" w:rsidR="00CF7FD3" w:rsidRPr="00101936" w:rsidRDefault="00000000" w:rsidP="00101936">
      <w:pPr>
        <w:pStyle w:val="Heading2"/>
        <w:keepNext/>
        <w:keepLines/>
        <w:jc w:val="both"/>
        <w:rPr>
          <w:rFonts w:asciiTheme="majorHAnsi" w:hAnsiTheme="majorHAnsi" w:cstheme="majorHAnsi"/>
        </w:rPr>
      </w:pPr>
      <w:r w:rsidRPr="00101936">
        <w:rPr>
          <w:rFonts w:asciiTheme="majorHAnsi" w:hAnsiTheme="majorHAnsi" w:cstheme="majorHAnsi"/>
        </w:rPr>
        <w:t>4.1 Payday Portfolio</w:t>
      </w:r>
    </w:p>
    <w:p w14:paraId="65FB7401"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We recommend Payday Portfolio, a goal-based plan that moves part of each salary into a diversified portfolio on payday. It targets dormant account holders who receive a salary and extends to new salaried customers once a pilot confirms demand (Table E3). Each component meets a condition from Section 3.6 (Figure 12). The payday transfer brings money in without a monthly decision, advice through Ensa supplies guidance, and small, reversible contributions let customers test DNSE before they commit more. Because revenue comes from fees on funds and bonds, balances can grow without new pledged borrowing.</w:t>
      </w:r>
    </w:p>
    <w:p w14:paraId="7A9E3F8C" w14:textId="77777777" w:rsidR="00CF7FD3" w:rsidRPr="00101936" w:rsidRDefault="00000000" w:rsidP="00101936">
      <w:pPr>
        <w:keepNext/>
        <w:spacing w:before="120" w:after="60"/>
        <w:jc w:val="center"/>
        <w:rPr>
          <w:rFonts w:asciiTheme="majorHAnsi" w:hAnsiTheme="majorHAnsi" w:cstheme="majorHAnsi"/>
        </w:rPr>
      </w:pPr>
      <w:r w:rsidRPr="00101936">
        <w:rPr>
          <w:rFonts w:asciiTheme="majorHAnsi" w:hAnsiTheme="majorHAnsi" w:cstheme="majorHAnsi"/>
          <w:noProof/>
        </w:rPr>
        <w:drawing>
          <wp:inline distT="0" distB="0" distL="0" distR="0" wp14:anchorId="1399777C" wp14:editId="01897E95">
            <wp:extent cx="5581650" cy="3293174"/>
            <wp:effectExtent l="0" t="0" r="0" b="0"/>
            <wp:docPr id="616430552" name="Picture 616430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payday_flow.png"/>
                    <pic:cNvPicPr/>
                  </pic:nvPicPr>
                  <pic:blipFill>
                    <a:blip r:embed="rId19"/>
                    <a:stretch>
                      <a:fillRect/>
                    </a:stretch>
                  </pic:blipFill>
                  <pic:spPr>
                    <a:xfrm>
                      <a:off x="0" y="0"/>
                      <a:ext cx="5581650" cy="3293174"/>
                    </a:xfrm>
                    <a:prstGeom prst="rect">
                      <a:avLst/>
                    </a:prstGeom>
                  </pic:spPr>
                </pic:pic>
              </a:graphicData>
            </a:graphic>
          </wp:inline>
        </w:drawing>
      </w:r>
    </w:p>
    <w:p w14:paraId="23F8E15C" w14:textId="77777777" w:rsidR="00CF7FD3" w:rsidRPr="00101936" w:rsidRDefault="00000000" w:rsidP="00101936">
      <w:pPr>
        <w:spacing w:after="200"/>
        <w:jc w:val="center"/>
        <w:rPr>
          <w:rFonts w:asciiTheme="majorHAnsi" w:hAnsiTheme="majorHAnsi" w:cstheme="majorHAnsi"/>
        </w:rPr>
      </w:pPr>
      <w:r w:rsidRPr="00101936">
        <w:rPr>
          <w:rFonts w:asciiTheme="majorHAnsi" w:hAnsiTheme="majorHAnsi" w:cstheme="majorHAnsi"/>
          <w:b/>
          <w:bCs/>
          <w:sz w:val="19"/>
          <w:szCs w:val="19"/>
        </w:rPr>
        <w:t xml:space="preserve">Figure 12. </w:t>
      </w:r>
      <w:r w:rsidRPr="00101936">
        <w:rPr>
          <w:rFonts w:asciiTheme="majorHAnsi" w:hAnsiTheme="majorHAnsi" w:cstheme="majorHAnsi"/>
          <w:sz w:val="19"/>
          <w:szCs w:val="19"/>
        </w:rPr>
        <w:t>How Payday Portfolio works</w:t>
      </w:r>
      <w:r w:rsidRPr="00101936">
        <w:rPr>
          <w:rFonts w:asciiTheme="majorHAnsi" w:hAnsiTheme="majorHAnsi" w:cstheme="majorHAnsi"/>
        </w:rPr>
        <w:br/>
      </w:r>
      <w:r w:rsidRPr="00101936">
        <w:rPr>
          <w:rFonts w:asciiTheme="majorHAnsi" w:hAnsiTheme="majorHAnsi" w:cstheme="majorHAnsi"/>
          <w:sz w:val="17"/>
          <w:szCs w:val="17"/>
        </w:rPr>
        <w:t>Source: authors' design.</w:t>
      </w:r>
    </w:p>
    <w:p w14:paraId="1DEA57DF" w14:textId="77777777" w:rsidR="00CF7FD3" w:rsidRPr="00101936" w:rsidRDefault="00000000" w:rsidP="00101936">
      <w:pPr>
        <w:pStyle w:val="Heading2"/>
        <w:keepNext/>
        <w:keepLines/>
        <w:jc w:val="both"/>
        <w:rPr>
          <w:rFonts w:asciiTheme="majorHAnsi" w:hAnsiTheme="majorHAnsi" w:cstheme="majorHAnsi"/>
        </w:rPr>
      </w:pPr>
      <w:r w:rsidRPr="00101936">
        <w:rPr>
          <w:rFonts w:asciiTheme="majorHAnsi" w:hAnsiTheme="majorHAnsi" w:cstheme="majorHAnsi"/>
        </w:rPr>
        <w:t>4.2 How Payday Portfolio works</w:t>
      </w:r>
    </w:p>
    <w:p w14:paraId="4239CA7F"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Payday Portfolio runs inside DNSE's licensed advisory service, Investment Ideas (DNSE Securities, 2026d). As Circular 121/2020/TT-BTC requires, Ensa first records the customer's goal, time horizon, income and tolerance for losses (Ministry of Finance, 2020, Article 24). It then proposes a Conservative, Balanced or Growth model portfolio built from bond funds, Golden Egg bonds, equity funds and VN30 exchange-traded funds, and the customer confirms the choice. Single stocks are excluded.</w:t>
      </w:r>
    </w:p>
    <w:p w14:paraId="3E1A44BA"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 xml:space="preserve">After set-up, contributions arrive without further decisions. The customer chooses a monthly amount from VND 500,000 and creates a standing order once in the salary bank's app. The money goes to a virtual account number in the customer's own name at DNSE's partner bank, and is credited automatically, which reduces </w:t>
      </w:r>
      <w:r w:rsidRPr="00101936">
        <w:rPr>
          <w:rFonts w:asciiTheme="majorHAnsi" w:hAnsiTheme="majorHAnsi" w:cstheme="majorHAnsi"/>
        </w:rPr>
        <w:lastRenderedPageBreak/>
        <w:t>the transfer errors behind complaints about uncredited deposits (Table D1). ZaloPay, a DNSE partner since 2023, offers a second route (Thanh Nien, 2023), and direct bank connections can follow from March 2027.</w:t>
      </w:r>
    </w:p>
    <w:p w14:paraId="10CB5E34"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Arriving cash earns the Never-Sleeping Account rate for the one to three days before it is invested and remains withdrawable at any time. Ensa then directs each contribution to the asset class furthest below its target weight. Rebalancing with new money avoids sales, so the customer pays no 0.1 per cent tax on sales and no extra trading fees. Small amounts go to open-ended funds and to Golden Egg bonds from VND 1 million, while exchange-traded fund purchases wait until the balance covers a 100-unit lot. The plan executes only the amounts and products the customer has chosen, and any change of allocation needs a one-tap confirmation, because a securities company may not invest on a client's behalf (Ministry of Finance, 2020, Article 4).</w:t>
      </w:r>
    </w:p>
    <w:p w14:paraId="64E9A111"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Commitment tiers reward persistence without a membership fee. Customers unlock three tiers through consecutive monthly contributions, so every reward depends on money that stays. The Starter tier, after three contributions, covers the 90-day point at which customers test deposits and withdrawals, and it adds 0.3 to 0.5 percentage points to the idle-cash rate. The Disciplined tier, after six contributions, adds a discount on fund and bond fees and a half-yearly portfolio review. The Committed tier, after twelve contributions, pays the top idle-cash rate of 4.3 per cent without the current balance and trading conditions and gives early access to new Golden Egg issues. A visible streak makes the next contribution the default, and the prospect of losing a tier weighs more than an equal gain (Kahneman &amp; Tversky, 1979). Each customer may skip one month a year without losing a tier, which protects savers whose income varies. Rewards exclude margin, since leverage conflicts with a saver's goal. Success is measured by balances, because six contributions of VND 1 million still leave a saver below VND 10 million (Figure 13).</w:t>
      </w:r>
    </w:p>
    <w:p w14:paraId="71D50182" w14:textId="77777777" w:rsidR="00CF7FD3" w:rsidRPr="00101936" w:rsidRDefault="00000000" w:rsidP="00101936">
      <w:pPr>
        <w:keepNext/>
        <w:spacing w:before="120" w:after="60"/>
        <w:jc w:val="both"/>
        <w:rPr>
          <w:rFonts w:asciiTheme="majorHAnsi" w:hAnsiTheme="majorHAnsi" w:cstheme="majorHAnsi"/>
        </w:rPr>
      </w:pPr>
      <w:r w:rsidRPr="00101936">
        <w:rPr>
          <w:rFonts w:asciiTheme="majorHAnsi" w:hAnsiTheme="majorHAnsi" w:cstheme="majorHAnsi"/>
          <w:noProof/>
        </w:rPr>
        <w:drawing>
          <wp:inline distT="0" distB="0" distL="0" distR="0" wp14:anchorId="12C9C5E4" wp14:editId="61B9724D">
            <wp:extent cx="5581650" cy="2400110"/>
            <wp:effectExtent l="0" t="0" r="0" b="0"/>
            <wp:docPr id="1433814221" name="Picture 1433814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tiers_threshold.png"/>
                    <pic:cNvPicPr/>
                  </pic:nvPicPr>
                  <pic:blipFill>
                    <a:blip r:embed="rId20"/>
                    <a:stretch>
                      <a:fillRect/>
                    </a:stretch>
                  </pic:blipFill>
                  <pic:spPr>
                    <a:xfrm>
                      <a:off x="0" y="0"/>
                      <a:ext cx="5581650" cy="2400110"/>
                    </a:xfrm>
                    <a:prstGeom prst="rect">
                      <a:avLst/>
                    </a:prstGeom>
                  </pic:spPr>
                </pic:pic>
              </a:graphicData>
            </a:graphic>
          </wp:inline>
        </w:drawing>
      </w:r>
    </w:p>
    <w:p w14:paraId="13A7CD7E" w14:textId="77777777" w:rsidR="00CF7FD3" w:rsidRPr="00101936" w:rsidRDefault="00000000" w:rsidP="00101936">
      <w:pPr>
        <w:spacing w:after="200"/>
        <w:jc w:val="center"/>
        <w:rPr>
          <w:rFonts w:asciiTheme="majorHAnsi" w:hAnsiTheme="majorHAnsi" w:cstheme="majorHAnsi"/>
        </w:rPr>
      </w:pPr>
      <w:r w:rsidRPr="00101936">
        <w:rPr>
          <w:rFonts w:asciiTheme="majorHAnsi" w:hAnsiTheme="majorHAnsi" w:cstheme="majorHAnsi"/>
          <w:b/>
          <w:bCs/>
          <w:sz w:val="19"/>
          <w:szCs w:val="19"/>
        </w:rPr>
        <w:t xml:space="preserve">Figure 13. </w:t>
      </w:r>
      <w:r w:rsidRPr="00101936">
        <w:rPr>
          <w:rFonts w:asciiTheme="majorHAnsi" w:hAnsiTheme="majorHAnsi" w:cstheme="majorHAnsi"/>
          <w:sz w:val="19"/>
          <w:szCs w:val="19"/>
        </w:rPr>
        <w:t>Contributions needed to reach VND 10 million, before investment returns</w:t>
      </w:r>
      <w:r w:rsidRPr="00101936">
        <w:rPr>
          <w:rFonts w:asciiTheme="majorHAnsi" w:hAnsiTheme="majorHAnsi" w:cstheme="majorHAnsi"/>
        </w:rPr>
        <w:br/>
      </w:r>
      <w:r w:rsidRPr="00101936">
        <w:rPr>
          <w:rFonts w:asciiTheme="majorHAnsi" w:hAnsiTheme="majorHAnsi" w:cstheme="majorHAnsi"/>
          <w:sz w:val="17"/>
          <w:szCs w:val="17"/>
        </w:rPr>
        <w:t>Source: authors' calculations.</w:t>
      </w:r>
    </w:p>
    <w:p w14:paraId="27831897"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Trust controls cover each step at which complaints arise. DNSE removes the account-closure fee and replaces conditional sign-up rewards with tier rewards. All terms, fees and tier rules appear on one screen, and customers can pause, skip or cancel in one tap. A dashboard shows the segregated client account that holds the customer's cash, and transfer success of 99.5 per cent is a condition for launch.</w:t>
      </w:r>
    </w:p>
    <w:p w14:paraId="6B532D13" w14:textId="77777777" w:rsidR="00CF7FD3" w:rsidRPr="00101936" w:rsidRDefault="00000000" w:rsidP="00101936">
      <w:pPr>
        <w:pStyle w:val="Heading2"/>
        <w:keepNext/>
        <w:keepLines/>
        <w:jc w:val="both"/>
        <w:rPr>
          <w:rFonts w:asciiTheme="majorHAnsi" w:hAnsiTheme="majorHAnsi" w:cstheme="majorHAnsi"/>
        </w:rPr>
      </w:pPr>
      <w:r w:rsidRPr="00101936">
        <w:rPr>
          <w:rFonts w:asciiTheme="majorHAnsi" w:hAnsiTheme="majorHAnsi" w:cstheme="majorHAnsi"/>
        </w:rPr>
        <w:t>4.3 How Payday Portfolio resolves the core problem</w:t>
      </w:r>
    </w:p>
    <w:p w14:paraId="70F51208"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The cost is modest. Tier interest would cost at most VND 5.6 billion a year for 150,000 savers, while a VND 100,000 reward on every account opened in 2025 would have cost VND 51.9 billion (Appendix F1).</w:t>
      </w:r>
    </w:p>
    <w:p w14:paraId="04C1BEE9" w14:textId="77777777" w:rsidR="00CF7FD3" w:rsidRPr="00101936" w:rsidRDefault="00000000" w:rsidP="00101936">
      <w:pPr>
        <w:keepNext/>
        <w:spacing w:before="160" w:after="80"/>
        <w:jc w:val="center"/>
        <w:rPr>
          <w:rFonts w:asciiTheme="majorHAnsi" w:hAnsiTheme="majorHAnsi" w:cstheme="majorHAnsi"/>
        </w:rPr>
      </w:pPr>
      <w:r w:rsidRPr="00101936">
        <w:rPr>
          <w:rFonts w:asciiTheme="majorHAnsi" w:hAnsiTheme="majorHAnsi" w:cstheme="majorHAnsi"/>
          <w:b/>
          <w:bCs/>
          <w:sz w:val="19"/>
          <w:szCs w:val="19"/>
        </w:rPr>
        <w:lastRenderedPageBreak/>
        <w:t xml:space="preserve">Table 1. </w:t>
      </w:r>
      <w:r w:rsidRPr="00101936">
        <w:rPr>
          <w:rFonts w:asciiTheme="majorHAnsi" w:hAnsiTheme="majorHAnsi" w:cstheme="majorHAnsi"/>
          <w:sz w:val="19"/>
          <w:szCs w:val="19"/>
        </w:rPr>
        <w:t>The problem statement and the Payday Portfolio response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3306"/>
        <w:gridCol w:w="3506"/>
      </w:tblGrid>
      <w:tr w:rsidR="00CF7FD3" w:rsidRPr="00101936" w14:paraId="6976779D" w14:textId="77777777">
        <w:tblPrEx>
          <w:tblCellMar>
            <w:top w:w="0" w:type="dxa"/>
            <w:bottom w:w="0" w:type="dxa"/>
          </w:tblCellMar>
        </w:tblPrEx>
        <w:trPr>
          <w:cantSplit/>
          <w:tblHeader/>
        </w:trPr>
        <w:tc>
          <w:tcPr>
            <w:tcW w:w="26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17C5A9D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Part of the problem</w:t>
            </w:r>
          </w:p>
        </w:tc>
        <w:tc>
          <w:tcPr>
            <w:tcW w:w="3306"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1510811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Payday Portfolio response</w:t>
            </w:r>
          </w:p>
        </w:tc>
        <w:tc>
          <w:tcPr>
            <w:tcW w:w="3506"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3535BBE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Evidence</w:t>
            </w:r>
          </w:p>
        </w:tc>
      </w:tr>
      <w:tr w:rsidR="00CF7FD3" w:rsidRPr="00101936" w14:paraId="19F396B9"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0D7B50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98 per cent of accounts hold less than VND 10 million</w:t>
            </w:r>
          </w:p>
        </w:tc>
        <w:tc>
          <w:tcPr>
            <w:tcW w:w="3306"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E49869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A payday standing order brings money in without a monthly decision</w:t>
            </w:r>
          </w:p>
        </w:tc>
        <w:tc>
          <w:tcPr>
            <w:tcW w:w="3506"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5BD4B0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Automatic enrolment raised participation from 37 to 86 per cent (Madrian &amp; Shea, 2001)</w:t>
            </w:r>
          </w:p>
        </w:tc>
      </w:tr>
      <w:tr w:rsidR="00CF7FD3" w:rsidRPr="00101936" w14:paraId="4CAF7323"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0E9E88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No product turns intention into regular deposits</w:t>
            </w:r>
          </w:p>
        </w:tc>
        <w:tc>
          <w:tcPr>
            <w:tcW w:w="3306"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889B10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Goal-based model portfolios through Ensa; rebalancing with new money</w:t>
            </w:r>
          </w:p>
        </w:tc>
        <w:tc>
          <w:tcPr>
            <w:tcW w:w="3506"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558047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77 per cent of investors find portfolio management difficult (Section 2.7)</w:t>
            </w:r>
          </w:p>
        </w:tc>
      </w:tr>
      <w:tr w:rsidR="00CF7FD3" w:rsidRPr="00101936" w14:paraId="6D923F32"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1E0EAF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Trust complaints deter the first deposit</w:t>
            </w:r>
          </w:p>
        </w:tc>
        <w:tc>
          <w:tcPr>
            <w:tcW w:w="3306"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CA2089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Small, reversible transfers; no closure fee; one-screen terms; segregated-cash dashboard</w:t>
            </w:r>
          </w:p>
        </w:tc>
        <w:tc>
          <w:tcPr>
            <w:tcW w:w="3506"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F30C8B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Trust complaints in 37 per cent of negative reviews, against 8 per cent at VPS (Section 2.6)</w:t>
            </w:r>
          </w:p>
        </w:tc>
      </w:tr>
      <w:tr w:rsidR="00CF7FD3" w:rsidRPr="00101936" w14:paraId="4C1D1C94"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E8F4C0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Fewer than 2 in 100 accounts carry the platform's cost</w:t>
            </w:r>
          </w:p>
        </w:tc>
        <w:tc>
          <w:tcPr>
            <w:tcW w:w="3306"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A63E9D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Balances build in accounts already acquired; fee income needs no pledged borrowing</w:t>
            </w:r>
          </w:p>
        </w:tc>
        <w:tc>
          <w:tcPr>
            <w:tcW w:w="3506"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60E429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Base case lifts accounts above VND 10 million to about 177,000 and cuts platform cost per funded account from VND 7.3 million to 1.1 million (Table F5)</w:t>
            </w:r>
          </w:p>
        </w:tc>
      </w:tr>
    </w:tbl>
    <w:p w14:paraId="13DE3A6D" w14:textId="77777777" w:rsidR="00CF7FD3" w:rsidRPr="00101936" w:rsidRDefault="00000000" w:rsidP="00101936">
      <w:pPr>
        <w:spacing w:before="60" w:after="200"/>
        <w:jc w:val="right"/>
        <w:rPr>
          <w:rFonts w:asciiTheme="majorHAnsi" w:hAnsiTheme="majorHAnsi" w:cstheme="majorHAnsi"/>
        </w:rPr>
      </w:pPr>
      <w:r w:rsidRPr="00101936">
        <w:rPr>
          <w:rFonts w:asciiTheme="majorHAnsi" w:hAnsiTheme="majorHAnsi" w:cstheme="majorHAnsi"/>
          <w:sz w:val="17"/>
          <w:szCs w:val="17"/>
        </w:rPr>
        <w:t>Source: Sections 2 and 3; Appendix F; authors' design.</w:t>
      </w:r>
    </w:p>
    <w:p w14:paraId="4F742736" w14:textId="77777777" w:rsidR="00CF7FD3" w:rsidRPr="00101936" w:rsidRDefault="00000000" w:rsidP="00101936">
      <w:pPr>
        <w:pStyle w:val="Heading2"/>
        <w:keepNext/>
        <w:keepLines/>
        <w:jc w:val="both"/>
        <w:rPr>
          <w:rFonts w:asciiTheme="majorHAnsi" w:hAnsiTheme="majorHAnsi" w:cstheme="majorHAnsi"/>
        </w:rPr>
      </w:pPr>
      <w:r w:rsidRPr="00101936">
        <w:rPr>
          <w:rFonts w:asciiTheme="majorHAnsi" w:hAnsiTheme="majorHAnsi" w:cstheme="majorHAnsi"/>
        </w:rPr>
        <w:t>4.4 Extending DNSE's technology ecosystem</w:t>
      </w:r>
    </w:p>
    <w:p w14:paraId="361124A0"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DNSE's technology rests on four platforms, namely Entrade X for zero-fee share trading, Future X for derivatives, Margin Deal for deal-by-deal margin loans and the Ensa assistant. It also runs Lightspeed API for algorithmic trading, two saving products and a distribution link with ZaloPay (DNSE Securities, 2026e). Most of this technology serves active traders, while the zero-fee policy has attracted young customers with small balances. As a result, the platform behaves as a fixed cost carried by few funded accounts (Finding 4). Payday Portfolio gives these components a shared purpose, which is to bring in and keep customer balances (Figure 14). Three upgrades extend this role.</w:t>
      </w:r>
    </w:p>
    <w:p w14:paraId="4AB6D814" w14:textId="77777777" w:rsidR="00CF7FD3" w:rsidRPr="00101936" w:rsidRDefault="00000000" w:rsidP="00101936">
      <w:pPr>
        <w:keepNext/>
        <w:spacing w:before="120" w:after="60"/>
        <w:jc w:val="both"/>
        <w:rPr>
          <w:rFonts w:asciiTheme="majorHAnsi" w:hAnsiTheme="majorHAnsi" w:cstheme="majorHAnsi"/>
        </w:rPr>
      </w:pPr>
      <w:r w:rsidRPr="00101936">
        <w:rPr>
          <w:rFonts w:asciiTheme="majorHAnsi" w:hAnsiTheme="majorHAnsi" w:cstheme="majorHAnsi"/>
          <w:noProof/>
        </w:rPr>
        <w:drawing>
          <wp:inline distT="0" distB="0" distL="0" distR="0" wp14:anchorId="2262DB57" wp14:editId="45854EDB">
            <wp:extent cx="5581650" cy="3516440"/>
            <wp:effectExtent l="0" t="0" r="0" b="0"/>
            <wp:docPr id="263175181" name="Picture 263175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ecosystem.png"/>
                    <pic:cNvPicPr/>
                  </pic:nvPicPr>
                  <pic:blipFill>
                    <a:blip r:embed="rId21"/>
                    <a:stretch>
                      <a:fillRect/>
                    </a:stretch>
                  </pic:blipFill>
                  <pic:spPr>
                    <a:xfrm>
                      <a:off x="0" y="0"/>
                      <a:ext cx="5581650" cy="3516440"/>
                    </a:xfrm>
                    <a:prstGeom prst="rect">
                      <a:avLst/>
                    </a:prstGeom>
                  </pic:spPr>
                </pic:pic>
              </a:graphicData>
            </a:graphic>
          </wp:inline>
        </w:drawing>
      </w:r>
    </w:p>
    <w:p w14:paraId="638C5BD1" w14:textId="77777777" w:rsidR="00CF7FD3" w:rsidRPr="00101936" w:rsidRDefault="00000000" w:rsidP="00101936">
      <w:pPr>
        <w:spacing w:after="200"/>
        <w:jc w:val="center"/>
        <w:rPr>
          <w:rFonts w:asciiTheme="majorHAnsi" w:hAnsiTheme="majorHAnsi" w:cstheme="majorHAnsi"/>
        </w:rPr>
      </w:pPr>
      <w:r w:rsidRPr="00101936">
        <w:rPr>
          <w:rFonts w:asciiTheme="majorHAnsi" w:hAnsiTheme="majorHAnsi" w:cstheme="majorHAnsi"/>
          <w:b/>
          <w:bCs/>
          <w:sz w:val="19"/>
          <w:szCs w:val="19"/>
        </w:rPr>
        <w:t xml:space="preserve">Figure 14. </w:t>
      </w:r>
      <w:r w:rsidRPr="00101936">
        <w:rPr>
          <w:rFonts w:asciiTheme="majorHAnsi" w:hAnsiTheme="majorHAnsi" w:cstheme="majorHAnsi"/>
          <w:sz w:val="19"/>
          <w:szCs w:val="19"/>
        </w:rPr>
        <w:t>DNSE's technology ecosystem organised around customer balances</w:t>
      </w:r>
      <w:r w:rsidRPr="00101936">
        <w:rPr>
          <w:rFonts w:asciiTheme="majorHAnsi" w:hAnsiTheme="majorHAnsi" w:cstheme="majorHAnsi"/>
        </w:rPr>
        <w:br/>
      </w:r>
      <w:r w:rsidRPr="00101936">
        <w:rPr>
          <w:rFonts w:asciiTheme="majorHAnsi" w:hAnsiTheme="majorHAnsi" w:cstheme="majorHAnsi"/>
          <w:sz w:val="17"/>
          <w:szCs w:val="17"/>
        </w:rPr>
        <w:t>Source: authors' design; Appendix G.</w:t>
      </w:r>
    </w:p>
    <w:p w14:paraId="1AAB57FD"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First, ZaloPay round-ups can serve as an entry route for customers without a regular salary. Each payment is rounded up to the nearest VND 10,000, and the difference collects in the Never-Sleeping Account until it reaches VND 100,000, when it buys fund units in the customer's model portfolio. Round-ups remove the barrier of a first lump-sum deposit, but the amounts are small. At an assumed 30 payments a month and an average round-up of VND 5,000, a customer would add about VND 150,000 a month, so round-ups complement the payday transfer and should be tested in phase 2.</w:t>
      </w:r>
    </w:p>
    <w:p w14:paraId="3A5B5070"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lastRenderedPageBreak/>
        <w:t>Second, the Smart Vault idea can be offered in a compliant form. Rule-based strategies, such as a high-dividend or VN30 momentum strategy, can become additional model portfolios under the advisory licence, with each order confirmed by the customer. Automatic execution for an asset-based fee raises a licensing issue, because portfolio management is not among the four businesses permitted to securities companies (National Assembly, 2019, Article 72). A fully managed version should therefore come from a licensed fund manager whose funds DNSE distributes.</w:t>
      </w:r>
    </w:p>
    <w:p w14:paraId="5C29B61F"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Third, a transparency layer turns the trust controls into evidence that customers can check. The segregated-cash dashboard shows where each customer's cash is held, the interest earned and the status of every withdrawal. Identity checks through the national VNeID application should also be tested, since account opening and identity checks appear in 21 per cent of negative reviews (Table D1).</w:t>
      </w:r>
    </w:p>
    <w:p w14:paraId="473CB082"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A credit line secured on savings is not recommended. Circular 121/2020/TT-BTC restricts lending by securities companies to margin loans and a few defined purposes (Ministry of Finance, 2020, Article 27), open-ended fund units are not listed securities, and the 2026 fine concerned unreported advance services. Margin on listed exchange-traded funds can follow later under existing rules (Appendix G).</w:t>
      </w:r>
    </w:p>
    <w:p w14:paraId="7E4C3E9E" w14:textId="4953CFD3" w:rsidR="00CF7FD3" w:rsidRPr="00101936" w:rsidRDefault="00000000" w:rsidP="00101936">
      <w:pPr>
        <w:pStyle w:val="Heading1"/>
        <w:keepNext/>
        <w:keepLines/>
        <w:jc w:val="both"/>
        <w:rPr>
          <w:rFonts w:asciiTheme="majorHAnsi" w:hAnsiTheme="majorHAnsi" w:cstheme="majorHAnsi"/>
        </w:rPr>
      </w:pPr>
      <w:r w:rsidRPr="00101936">
        <w:rPr>
          <w:rFonts w:asciiTheme="majorHAnsi" w:hAnsiTheme="majorHAnsi" w:cstheme="majorHAnsi"/>
        </w:rPr>
        <w:t xml:space="preserve">5. </w:t>
      </w:r>
      <w:r w:rsidR="001B3A39" w:rsidRPr="00101936">
        <w:rPr>
          <w:rFonts w:asciiTheme="majorHAnsi" w:hAnsiTheme="majorHAnsi" w:cstheme="majorHAnsi"/>
        </w:rPr>
        <w:t>CONCLUSION</w:t>
      </w:r>
    </w:p>
    <w:p w14:paraId="4E0B39F8"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DNSE acquires customers at scale, but fewer than 2 in 100 accounts carry its platform and borrowing costs. Payday Portfolio acts on the cause DNSE controls most by combining licensed advice, payday automation, free commitment tiers and trust controls. The ecosystem upgrades direct DNSE's existing technology towards customer balances. Appendix F sets out the scenarios, KPIs and pilot tests for Round 3.</w:t>
      </w:r>
    </w:p>
    <w:p w14:paraId="1FBBC1A0" w14:textId="2695ED2C" w:rsidR="00CF7FD3" w:rsidRPr="00101936" w:rsidRDefault="001B3A39" w:rsidP="001B3A39">
      <w:pPr>
        <w:pStyle w:val="Heading1"/>
        <w:keepNext/>
        <w:keepLines/>
        <w:pageBreakBefore/>
        <w:spacing w:before="0"/>
        <w:jc w:val="center"/>
        <w:rPr>
          <w:rFonts w:asciiTheme="majorHAnsi" w:hAnsiTheme="majorHAnsi" w:cstheme="majorHAnsi"/>
        </w:rPr>
      </w:pPr>
      <w:r w:rsidRPr="00101936">
        <w:rPr>
          <w:rFonts w:asciiTheme="majorHAnsi" w:hAnsiTheme="majorHAnsi" w:cstheme="majorHAnsi"/>
        </w:rPr>
        <w:lastRenderedPageBreak/>
        <w:t>APPENDICES</w:t>
      </w:r>
    </w:p>
    <w:p w14:paraId="00FFEB80" w14:textId="77777777" w:rsidR="00CF7FD3" w:rsidRPr="00101936" w:rsidRDefault="00000000" w:rsidP="00101936">
      <w:pPr>
        <w:pStyle w:val="Heading2"/>
        <w:keepNext/>
        <w:keepLines/>
        <w:jc w:val="both"/>
        <w:rPr>
          <w:rFonts w:asciiTheme="majorHAnsi" w:hAnsiTheme="majorHAnsi" w:cstheme="majorHAnsi"/>
        </w:rPr>
      </w:pPr>
      <w:r w:rsidRPr="00101936">
        <w:rPr>
          <w:rFonts w:asciiTheme="majorHAnsi" w:hAnsiTheme="majorHAnsi" w:cstheme="majorHAnsi"/>
        </w:rPr>
        <w:t>Appendix A. Data preparation and quality</w:t>
      </w:r>
    </w:p>
    <w:p w14:paraId="74FA2ED7" w14:textId="77777777" w:rsidR="00CF7FD3" w:rsidRPr="00101936" w:rsidRDefault="00000000" w:rsidP="001B3A39">
      <w:pPr>
        <w:keepNext/>
        <w:spacing w:before="160" w:after="80"/>
        <w:jc w:val="center"/>
        <w:rPr>
          <w:rFonts w:asciiTheme="majorHAnsi" w:hAnsiTheme="majorHAnsi" w:cstheme="majorHAnsi"/>
        </w:rPr>
      </w:pPr>
      <w:r w:rsidRPr="00101936">
        <w:rPr>
          <w:rFonts w:asciiTheme="majorHAnsi" w:hAnsiTheme="majorHAnsi" w:cstheme="majorHAnsi"/>
          <w:b/>
          <w:bCs/>
          <w:sz w:val="19"/>
          <w:szCs w:val="19"/>
        </w:rPr>
        <w:t xml:space="preserve">Table A1. </w:t>
      </w:r>
      <w:r w:rsidRPr="00101936">
        <w:rPr>
          <w:rFonts w:asciiTheme="majorHAnsi" w:hAnsiTheme="majorHAnsi" w:cstheme="majorHAnsi"/>
          <w:sz w:val="19"/>
          <w:szCs w:val="19"/>
        </w:rPr>
        <w:t>Evidence base and preparation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2400"/>
        <w:gridCol w:w="2800"/>
        <w:gridCol w:w="2312"/>
      </w:tblGrid>
      <w:tr w:rsidR="00CF7FD3" w:rsidRPr="00101936" w14:paraId="1FEAB452" w14:textId="77777777">
        <w:tblPrEx>
          <w:tblCellMar>
            <w:top w:w="0" w:type="dxa"/>
            <w:bottom w:w="0" w:type="dxa"/>
          </w:tblCellMar>
        </w:tblPrEx>
        <w:trPr>
          <w:cantSplit/>
          <w:tblHeader/>
        </w:trPr>
        <w:tc>
          <w:tcPr>
            <w:tcW w:w="19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60" w:type="dxa"/>
              <w:bottom w:w="45" w:type="dxa"/>
              <w:right w:w="60" w:type="dxa"/>
            </w:tcMar>
            <w:vAlign w:val="center"/>
          </w:tcPr>
          <w:p w14:paraId="3CE3E7C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5"/>
                <w:szCs w:val="15"/>
              </w:rPr>
              <w:t>Dataset</w:t>
            </w:r>
          </w:p>
        </w:tc>
        <w:tc>
          <w:tcPr>
            <w:tcW w:w="24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60" w:type="dxa"/>
              <w:bottom w:w="45" w:type="dxa"/>
              <w:right w:w="60" w:type="dxa"/>
            </w:tcMar>
            <w:vAlign w:val="center"/>
          </w:tcPr>
          <w:p w14:paraId="0E40152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5"/>
                <w:szCs w:val="15"/>
              </w:rPr>
              <w:t>Coverage</w:t>
            </w:r>
          </w:p>
        </w:tc>
        <w:tc>
          <w:tcPr>
            <w:tcW w:w="28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60" w:type="dxa"/>
              <w:bottom w:w="45" w:type="dxa"/>
              <w:right w:w="60" w:type="dxa"/>
            </w:tcMar>
            <w:vAlign w:val="center"/>
          </w:tcPr>
          <w:p w14:paraId="4B78AB7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5"/>
                <w:szCs w:val="15"/>
              </w:rPr>
              <w:t>Main preparation step</w:t>
            </w:r>
          </w:p>
        </w:tc>
        <w:tc>
          <w:tcPr>
            <w:tcW w:w="2312" w:type="dxa"/>
            <w:tcBorders>
              <w:top w:val="single" w:sz="4" w:space="0" w:color="8C8C8C"/>
              <w:left w:val="single" w:sz="4" w:space="0" w:color="8C8C8C"/>
              <w:bottom w:val="single" w:sz="4" w:space="0" w:color="8C8C8C"/>
              <w:right w:val="single" w:sz="4" w:space="0" w:color="8C8C8C"/>
            </w:tcBorders>
            <w:shd w:val="clear" w:color="auto" w:fill="E6E6E6"/>
            <w:tcMar>
              <w:top w:w="45" w:type="dxa"/>
              <w:left w:w="60" w:type="dxa"/>
              <w:bottom w:w="45" w:type="dxa"/>
              <w:right w:w="60" w:type="dxa"/>
            </w:tcMar>
            <w:vAlign w:val="center"/>
          </w:tcPr>
          <w:p w14:paraId="6F580CA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5"/>
                <w:szCs w:val="15"/>
              </w:rPr>
              <w:t>Remaining limitation</w:t>
            </w:r>
          </w:p>
        </w:tc>
      </w:tr>
      <w:tr w:rsidR="00CF7FD3" w:rsidRPr="00101936" w14:paraId="53FF077E"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0A146A4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DNSE filed statements</w:t>
            </w:r>
          </w:p>
        </w:tc>
        <w:tc>
          <w:tcPr>
            <w:tcW w:w="24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4C3D2FD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395 line items, first quarter of 2018 to second quarter of 2026</w:t>
            </w:r>
          </w:p>
        </w:tc>
        <w:tc>
          <w:tcPr>
            <w:tcW w:w="28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6261C22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Pulled line by line from Vietcap IQ; reconciled to the half-year statements reviewed by KPMG</w:t>
            </w:r>
          </w:p>
        </w:tc>
        <w:tc>
          <w:tcPr>
            <w:tcW w:w="2312"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5B61DA4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Template line 24 mixes provisions with borrowing cost</w:t>
            </w:r>
          </w:p>
        </w:tc>
      </w:tr>
      <w:tr w:rsidR="00CF7FD3" w:rsidRPr="00101936" w14:paraId="360C75D2"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79CF4DB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DNSE annual report 2025</w:t>
            </w:r>
          </w:p>
        </w:tc>
        <w:tc>
          <w:tcPr>
            <w:tcW w:w="24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20E5DA6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Accounts, active customers, net-asset bands, product users</w:t>
            </w:r>
          </w:p>
        </w:tc>
        <w:tc>
          <w:tcPr>
            <w:tcW w:w="28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2CF932D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Figures read from the report and dated</w:t>
            </w:r>
          </w:p>
        </w:tc>
        <w:tc>
          <w:tcPr>
            <w:tcW w:w="2312"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6F1FE7C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Company-defined measures; active means at least one product used in the month</w:t>
            </w:r>
          </w:p>
        </w:tc>
      </w:tr>
      <w:tr w:rsidR="00CF7FD3" w:rsidRPr="00101936" w14:paraId="4E044CAA"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1710C4B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Peer statements and indicators</w:t>
            </w:r>
          </w:p>
        </w:tc>
        <w:tc>
          <w:tcPr>
            <w:tcW w:w="24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7958837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Four peers; accounts, lending, funding, profit</w:t>
            </w:r>
          </w:p>
        </w:tc>
        <w:tc>
          <w:tcPr>
            <w:tcW w:w="28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53B943C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Same cost-of-funds method as for DNSE; each figure dated</w:t>
            </w:r>
          </w:p>
        </w:tc>
        <w:tc>
          <w:tcPr>
            <w:tcW w:w="2312"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0569FC6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Account counts differ in date and definition</w:t>
            </w:r>
          </w:p>
        </w:tc>
      </w:tr>
      <w:tr w:rsidR="00CF7FD3" w:rsidRPr="00101936" w14:paraId="491768AA"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15FDE26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Exchange and industry data</w:t>
            </w:r>
          </w:p>
        </w:tc>
        <w:tc>
          <w:tcPr>
            <w:tcW w:w="24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47E3A90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HOSE and HNX shares; industry lending, investor cash and profit</w:t>
            </w:r>
          </w:p>
        </w:tc>
        <w:tc>
          <w:tcPr>
            <w:tcW w:w="28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03D7D44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Each share kept within its own exchange; broadest industry total used</w:t>
            </w:r>
          </w:p>
        </w:tc>
        <w:tc>
          <w:tcPr>
            <w:tcW w:w="2312"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09F64DE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Press tallies differ slightly in coverage</w:t>
            </w:r>
          </w:p>
        </w:tc>
      </w:tr>
      <w:tr w:rsidR="00CF7FD3" w:rsidRPr="00101936" w14:paraId="199596B7"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2217221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App store reviews</w:t>
            </w:r>
          </w:p>
        </w:tc>
        <w:tc>
          <w:tcPr>
            <w:tcW w:w="24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6C84A30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867 Google Play and 332 App Store reviews of DNSE; 2,100 of VPS and FPTS</w:t>
            </w:r>
          </w:p>
        </w:tc>
        <w:tc>
          <w:tcPr>
            <w:tcW w:w="28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376E297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Spam and duplicates removed; one-word reviews flagged; themes coded</w:t>
            </w:r>
          </w:p>
        </w:tc>
        <w:tc>
          <w:tcPr>
            <w:tcW w:w="2312"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183A8F3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Self-selected sample; levels overstate dissatisfaction</w:t>
            </w:r>
          </w:p>
        </w:tc>
      </w:tr>
      <w:tr w:rsidR="00CF7FD3" w:rsidRPr="00101936" w14:paraId="2ECF23BF"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1AC39A8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World Bank Global Findex 2024</w:t>
            </w:r>
          </w:p>
        </w:tc>
        <w:tc>
          <w:tcPr>
            <w:tcW w:w="24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5D0B57A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51 indicators across 13 segments for Vietnam</w:t>
            </w:r>
          </w:p>
        </w:tc>
        <w:tc>
          <w:tcPr>
            <w:tcW w:w="28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172D6C4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Two indices built; segment weights recovered from the survey</w:t>
            </w:r>
          </w:p>
        </w:tc>
        <w:tc>
          <w:tcPr>
            <w:tcW w:w="2312"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449F500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About 1,000 interviews; one dimension at a time</w:t>
            </w:r>
          </w:p>
        </w:tc>
      </w:tr>
      <w:tr w:rsidR="00CF7FD3" w:rsidRPr="00101936" w14:paraId="42342F70"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5B9B172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Macro and banking data</w:t>
            </w:r>
          </w:p>
        </w:tc>
        <w:tc>
          <w:tcPr>
            <w:tcW w:w="24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67D2FE1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Growth, inflation, credit, deposit rates, deposits</w:t>
            </w:r>
          </w:p>
        </w:tc>
        <w:tc>
          <w:tcPr>
            <w:tcW w:w="28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2469AB0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Dated at source; projections labelled</w:t>
            </w:r>
          </w:p>
        </w:tc>
        <w:tc>
          <w:tcPr>
            <w:tcW w:w="2312"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04D388C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Some series reported only through the press</w:t>
            </w:r>
          </w:p>
        </w:tc>
      </w:tr>
    </w:tbl>
    <w:p w14:paraId="670CA50A" w14:textId="77777777" w:rsidR="00CF7FD3" w:rsidRPr="00101936" w:rsidRDefault="00000000" w:rsidP="001B3A39">
      <w:pPr>
        <w:spacing w:before="60" w:after="200"/>
        <w:jc w:val="right"/>
        <w:rPr>
          <w:rFonts w:asciiTheme="majorHAnsi" w:hAnsiTheme="majorHAnsi" w:cstheme="majorHAnsi"/>
        </w:rPr>
      </w:pPr>
      <w:r w:rsidRPr="00101936">
        <w:rPr>
          <w:rFonts w:asciiTheme="majorHAnsi" w:hAnsiTheme="majorHAnsi" w:cstheme="majorHAnsi"/>
          <w:sz w:val="17"/>
          <w:szCs w:val="17"/>
        </w:rPr>
        <w:t>Source: compiled by the authors; access dates 20 to 25 September 2026.</w:t>
      </w:r>
    </w:p>
    <w:p w14:paraId="6B246A2A"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b/>
          <w:bCs/>
        </w:rPr>
        <w:t>A1. Reconciliation.</w:t>
      </w:r>
      <w:r w:rsidRPr="00101936">
        <w:rPr>
          <w:rFonts w:asciiTheme="majorHAnsi" w:hAnsiTheme="majorHAnsi" w:cstheme="majorHAnsi"/>
        </w:rPr>
        <w:t xml:space="preserve"> Where press reports and the filings differ, the reviewed filings are used (Table A2). The half-year statements reviewed by KPMG raise administrative expenses by VND 1.5 billion against the quarterly statement of 20 July 2026. The press figure of VND 1,467 billion for 2025 revenue includes financial income, and the filings report VND 1,457.9 billion of operating revenue.</w:t>
      </w:r>
    </w:p>
    <w:p w14:paraId="6F09BEEC" w14:textId="77777777" w:rsidR="00CF7FD3" w:rsidRPr="00101936" w:rsidRDefault="00000000" w:rsidP="001B3A39">
      <w:pPr>
        <w:keepNext/>
        <w:spacing w:before="160" w:after="80"/>
        <w:jc w:val="center"/>
        <w:rPr>
          <w:rFonts w:asciiTheme="majorHAnsi" w:hAnsiTheme="majorHAnsi" w:cstheme="majorHAnsi"/>
        </w:rPr>
      </w:pPr>
      <w:r w:rsidRPr="00101936">
        <w:rPr>
          <w:rFonts w:asciiTheme="majorHAnsi" w:hAnsiTheme="majorHAnsi" w:cstheme="majorHAnsi"/>
          <w:b/>
          <w:bCs/>
          <w:sz w:val="19"/>
          <w:szCs w:val="19"/>
        </w:rPr>
        <w:t xml:space="preserve">Table A2. </w:t>
      </w:r>
      <w:r w:rsidRPr="00101936">
        <w:rPr>
          <w:rFonts w:asciiTheme="majorHAnsi" w:hAnsiTheme="majorHAnsi" w:cstheme="majorHAnsi"/>
          <w:sz w:val="19"/>
          <w:szCs w:val="19"/>
        </w:rPr>
        <w:t>Press figures reconciled with the filings, VND billion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2000"/>
        <w:gridCol w:w="1600"/>
        <w:gridCol w:w="3212"/>
      </w:tblGrid>
      <w:tr w:rsidR="00CF7FD3" w:rsidRPr="00101936" w14:paraId="24F4470C" w14:textId="77777777">
        <w:tblPrEx>
          <w:tblCellMar>
            <w:top w:w="0" w:type="dxa"/>
            <w:bottom w:w="0" w:type="dxa"/>
          </w:tblCellMar>
        </w:tblPrEx>
        <w:trPr>
          <w:cantSplit/>
          <w:tblHeader/>
        </w:trPr>
        <w:tc>
          <w:tcPr>
            <w:tcW w:w="26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63EE52B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Item</w:t>
            </w:r>
          </w:p>
        </w:tc>
        <w:tc>
          <w:tcPr>
            <w:tcW w:w="20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48E79DA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Press or earlier data pack</w:t>
            </w:r>
          </w:p>
        </w:tc>
        <w:tc>
          <w:tcPr>
            <w:tcW w:w="16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7898F15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Filings used</w:t>
            </w:r>
          </w:p>
        </w:tc>
        <w:tc>
          <w:tcPr>
            <w:tcW w:w="3212"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1E6F0A8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Reason for the difference</w:t>
            </w:r>
          </w:p>
        </w:tc>
      </w:tr>
      <w:tr w:rsidR="00CF7FD3" w:rsidRPr="00101936" w14:paraId="5D751439"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A5654F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Pre-tax profit, Q2 2026</w:t>
            </w:r>
          </w:p>
        </w:tc>
        <w:tc>
          <w:tcPr>
            <w:tcW w:w="2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D05D3F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98.9</w:t>
            </w:r>
          </w:p>
        </w:tc>
        <w:tc>
          <w:tcPr>
            <w:tcW w:w="16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3A1242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97.4</w:t>
            </w:r>
          </w:p>
        </w:tc>
        <w:tc>
          <w:tcPr>
            <w:tcW w:w="32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7F42D2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Reviewed half year less the first quarter</w:t>
            </w:r>
          </w:p>
        </w:tc>
      </w:tr>
      <w:tr w:rsidR="00CF7FD3" w:rsidRPr="00101936" w14:paraId="1D4AC35A"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F95AD7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Pre-tax profit, H1 2026</w:t>
            </w:r>
          </w:p>
        </w:tc>
        <w:tc>
          <w:tcPr>
            <w:tcW w:w="2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C2D8BF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113.1</w:t>
            </w:r>
          </w:p>
        </w:tc>
        <w:tc>
          <w:tcPr>
            <w:tcW w:w="16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A608B9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111.6</w:t>
            </w:r>
          </w:p>
        </w:tc>
        <w:tc>
          <w:tcPr>
            <w:tcW w:w="32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4D793B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Reviewed statements of 14 August 2026</w:t>
            </w:r>
          </w:p>
        </w:tc>
      </w:tr>
      <w:tr w:rsidR="00CF7FD3" w:rsidRPr="00101936" w14:paraId="17F3786A"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8350E7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Operating revenue, 2025</w:t>
            </w:r>
          </w:p>
        </w:tc>
        <w:tc>
          <w:tcPr>
            <w:tcW w:w="2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677C81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1,467.0</w:t>
            </w:r>
          </w:p>
        </w:tc>
        <w:tc>
          <w:tcPr>
            <w:tcW w:w="16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C44C9D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1,457.9</w:t>
            </w:r>
          </w:p>
        </w:tc>
        <w:tc>
          <w:tcPr>
            <w:tcW w:w="32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5FF232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Press total includes financial income</w:t>
            </w:r>
          </w:p>
        </w:tc>
      </w:tr>
      <w:tr w:rsidR="00CF7FD3" w:rsidRPr="00101936" w14:paraId="2AFE430F"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25F42A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Revenue growth, 2025</w:t>
            </w:r>
          </w:p>
        </w:tc>
        <w:tc>
          <w:tcPr>
            <w:tcW w:w="2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B8D4A8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77%</w:t>
            </w:r>
          </w:p>
        </w:tc>
        <w:tc>
          <w:tcPr>
            <w:tcW w:w="16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670DDB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80.6%</w:t>
            </w:r>
          </w:p>
        </w:tc>
        <w:tc>
          <w:tcPr>
            <w:tcW w:w="32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2F6393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Follows from the line above</w:t>
            </w:r>
          </w:p>
        </w:tc>
      </w:tr>
      <w:tr w:rsidR="00CF7FD3" w:rsidRPr="00101936" w14:paraId="4A179FD3"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75F59E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Proprietary provisions, Q1 2026</w:t>
            </w:r>
          </w:p>
        </w:tc>
        <w:tc>
          <w:tcPr>
            <w:tcW w:w="2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0081F3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plus 405%</w:t>
            </w:r>
          </w:p>
        </w:tc>
        <w:tc>
          <w:tcPr>
            <w:tcW w:w="16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2A2ABB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not used</w:t>
            </w:r>
          </w:p>
        </w:tc>
        <w:tc>
          <w:tcPr>
            <w:tcW w:w="32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5A3704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No line of the filings reproduces the figure</w:t>
            </w:r>
          </w:p>
        </w:tc>
      </w:tr>
    </w:tbl>
    <w:p w14:paraId="075B2C6F" w14:textId="77777777" w:rsidR="00CF7FD3" w:rsidRPr="00101936" w:rsidRDefault="00000000" w:rsidP="001B3A39">
      <w:pPr>
        <w:spacing w:before="60" w:after="200"/>
        <w:jc w:val="right"/>
        <w:rPr>
          <w:rFonts w:asciiTheme="majorHAnsi" w:hAnsiTheme="majorHAnsi" w:cstheme="majorHAnsi"/>
        </w:rPr>
      </w:pPr>
      <w:r w:rsidRPr="00101936">
        <w:rPr>
          <w:rFonts w:asciiTheme="majorHAnsi" w:hAnsiTheme="majorHAnsi" w:cstheme="majorHAnsi"/>
          <w:sz w:val="17"/>
          <w:szCs w:val="17"/>
        </w:rPr>
        <w:t>Source: DNSE filings via Vietcap Securities (2026); DNSE Securities (2026a); press reports cited in Section 2.</w:t>
      </w:r>
    </w:p>
    <w:p w14:paraId="4FC45C70"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b/>
          <w:bCs/>
        </w:rPr>
        <w:t>A2. Transformations.</w:t>
      </w:r>
      <w:r w:rsidRPr="00101936">
        <w:rPr>
          <w:rFonts w:asciiTheme="majorHAnsi" w:hAnsiTheme="majorHAnsi" w:cstheme="majorHAnsi"/>
        </w:rPr>
        <w:t xml:space="preserve"> The cost of funds equals interest expense plus template line 24, less the rise in the balance-sheet allowance for loan losses, multiplied by four and divided by average borrowings and bonds. The net interest margin deducts this cost from interest on loans, deposits and bonds held to maturity, over average interest-earning assets. Core pre-tax profit excludes the net result on financial assets at fair value through profit or loss. Per-account values divide a balance or flow by accounts at the same date. The same formulas are applied to peers.</w:t>
      </w:r>
    </w:p>
    <w:p w14:paraId="3B1B24C8"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b/>
          <w:bCs/>
        </w:rPr>
        <w:t>A3. Concentration bound.</w:t>
      </w:r>
      <w:r w:rsidRPr="00101936">
        <w:rPr>
          <w:rFonts w:asciiTheme="majorHAnsi" w:hAnsiTheme="majorHAnsi" w:cstheme="majorHAnsi"/>
        </w:rPr>
        <w:t xml:space="preserve"> At the end of 2025 DNSE reported 1,512,920 accounts, of which 27,100 held net assets of VND 10 million or more, and customer assets of VND 53,471 billion. The other 1,485,820 accounts each hold less than VND 10 million net, or at most VND 14,858 billion together. Their gross assets can exceed net assets only by what they borrow, and total lending was VND 5,832 billion. They can therefore hold at most VND 20,690 billion, so accounts with VND 10 million or more hold at least VND 32,781 billion, or 61 per cent of customer assets. The bound is conservative because it assigns every loan to the smaller accounts.</w:t>
      </w:r>
    </w:p>
    <w:p w14:paraId="1B5EDC4F"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b/>
          <w:bCs/>
        </w:rPr>
        <w:t>A4. Denominators, missing values and outliers.</w:t>
      </w:r>
      <w:r w:rsidRPr="00101936">
        <w:rPr>
          <w:rFonts w:asciiTheme="majorHAnsi" w:hAnsiTheme="majorHAnsi" w:cstheme="majorHAnsi"/>
        </w:rPr>
        <w:t xml:space="preserve"> HOSE and HNX report market share within their own exchange, so shares are never compared across exchanges. Industry lending (VND 453.8 trillion including </w:t>
      </w:r>
      <w:r w:rsidRPr="00101936">
        <w:rPr>
          <w:rFonts w:asciiTheme="majorHAnsi" w:hAnsiTheme="majorHAnsi" w:cstheme="majorHAnsi"/>
        </w:rPr>
        <w:lastRenderedPageBreak/>
        <w:t>advances) and investor cash (VND 86.6 trillion) use the broader published totals, and narrower totals raise DNSE's shares by about 0.1 point. The industry cash total for the fourth quarter of 2025 and DNSE's derivatives share for the second and third quarters of 2024 were not published and are left missing. DNSE's investor cash fell to VND 429 billion in the first quarter of 2025 and recovered the next quarter. The value appears in the filings and probably reflects settlement timing. It stays in the series and is excluded from trend statements.</w:t>
      </w:r>
    </w:p>
    <w:p w14:paraId="21367966"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b/>
          <w:bCs/>
        </w:rPr>
        <w:t>A5. Platform cost proxy.</w:t>
      </w:r>
      <w:r w:rsidRPr="00101936">
        <w:rPr>
          <w:rFonts w:asciiTheme="majorHAnsi" w:hAnsiTheme="majorHAnsi" w:cstheme="majorHAnsi"/>
        </w:rPr>
        <w:t xml:space="preserve"> DNSE does not report technology spending. The proxy sums staff costs and outsourced services from the note on general and administrative expenses and total depreciation and amortisation from the cash flow statement. It may include non-technology overheads and exclude technology staff costs booked under brokerage expenses, so it is used for trend and order of magnitude only.</w:t>
      </w:r>
    </w:p>
    <w:p w14:paraId="41DC0875" w14:textId="77777777" w:rsidR="00CF7FD3" w:rsidRPr="00101936" w:rsidRDefault="00000000" w:rsidP="001B3A39">
      <w:pPr>
        <w:keepNext/>
        <w:spacing w:before="160" w:after="80"/>
        <w:jc w:val="center"/>
        <w:rPr>
          <w:rFonts w:asciiTheme="majorHAnsi" w:hAnsiTheme="majorHAnsi" w:cstheme="majorHAnsi"/>
        </w:rPr>
      </w:pPr>
      <w:r w:rsidRPr="00101936">
        <w:rPr>
          <w:rFonts w:asciiTheme="majorHAnsi" w:hAnsiTheme="majorHAnsi" w:cstheme="majorHAnsi"/>
          <w:b/>
          <w:bCs/>
          <w:sz w:val="19"/>
          <w:szCs w:val="19"/>
        </w:rPr>
        <w:t xml:space="preserve">Table A3. </w:t>
      </w:r>
      <w:r w:rsidRPr="00101936">
        <w:rPr>
          <w:rFonts w:asciiTheme="majorHAnsi" w:hAnsiTheme="majorHAnsi" w:cstheme="majorHAnsi"/>
          <w:sz w:val="19"/>
          <w:szCs w:val="19"/>
        </w:rPr>
        <w:t>Review cleaning log</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1100"/>
        <w:gridCol w:w="1100"/>
        <w:gridCol w:w="1100"/>
        <w:gridCol w:w="1100"/>
        <w:gridCol w:w="1100"/>
        <w:gridCol w:w="1112"/>
      </w:tblGrid>
      <w:tr w:rsidR="00CF7FD3" w:rsidRPr="00101936" w14:paraId="7C7B1916" w14:textId="77777777">
        <w:tblPrEx>
          <w:tblCellMar>
            <w:top w:w="0" w:type="dxa"/>
            <w:bottom w:w="0" w:type="dxa"/>
          </w:tblCellMar>
        </w:tblPrEx>
        <w:trPr>
          <w:cantSplit/>
          <w:tblHeader/>
        </w:trPr>
        <w:tc>
          <w:tcPr>
            <w:tcW w:w="28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313D588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Stage</w:t>
            </w:r>
          </w:p>
        </w:tc>
        <w:tc>
          <w:tcPr>
            <w:tcW w:w="11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19792B3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DNSE, Play</w:t>
            </w:r>
          </w:p>
        </w:tc>
        <w:tc>
          <w:tcPr>
            <w:tcW w:w="11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587B114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VPS, Play</w:t>
            </w:r>
          </w:p>
        </w:tc>
        <w:tc>
          <w:tcPr>
            <w:tcW w:w="11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0453A5A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FPTS, Play</w:t>
            </w:r>
          </w:p>
        </w:tc>
        <w:tc>
          <w:tcPr>
            <w:tcW w:w="11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1806694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DNSE, iOS</w:t>
            </w:r>
          </w:p>
        </w:tc>
        <w:tc>
          <w:tcPr>
            <w:tcW w:w="11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4901CDC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VPS, iOS</w:t>
            </w:r>
          </w:p>
        </w:tc>
        <w:tc>
          <w:tcPr>
            <w:tcW w:w="1112"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6540A80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FPTS, iOS</w:t>
            </w:r>
          </w:p>
        </w:tc>
      </w:tr>
      <w:tr w:rsidR="00CF7FD3" w:rsidRPr="00101936" w14:paraId="6D69E8B0" w14:textId="77777777">
        <w:tblPrEx>
          <w:tblCellMar>
            <w:top w:w="0" w:type="dxa"/>
            <w:bottom w:w="0" w:type="dxa"/>
          </w:tblCellMar>
        </w:tblPrEx>
        <w:trPr>
          <w:cantSplit/>
        </w:trPr>
        <w:tc>
          <w:tcPr>
            <w:tcW w:w="28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97E6D8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Reviews retrieved</w:t>
            </w:r>
          </w:p>
        </w:tc>
        <w:tc>
          <w:tcPr>
            <w:tcW w:w="1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23DD78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867</w:t>
            </w:r>
          </w:p>
        </w:tc>
        <w:tc>
          <w:tcPr>
            <w:tcW w:w="1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981071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1,200</w:t>
            </w:r>
          </w:p>
        </w:tc>
        <w:tc>
          <w:tcPr>
            <w:tcW w:w="1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5F9E30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177</w:t>
            </w:r>
          </w:p>
        </w:tc>
        <w:tc>
          <w:tcPr>
            <w:tcW w:w="1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E87966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332</w:t>
            </w:r>
          </w:p>
        </w:tc>
        <w:tc>
          <w:tcPr>
            <w:tcW w:w="1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2A1C7D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518</w:t>
            </w:r>
          </w:p>
        </w:tc>
        <w:tc>
          <w:tcPr>
            <w:tcW w:w="11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37CFFB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205</w:t>
            </w:r>
          </w:p>
        </w:tc>
      </w:tr>
      <w:tr w:rsidR="00CF7FD3" w:rsidRPr="00101936" w14:paraId="06DFDF76" w14:textId="77777777">
        <w:tblPrEx>
          <w:tblCellMar>
            <w:top w:w="0" w:type="dxa"/>
            <w:bottom w:w="0" w:type="dxa"/>
          </w:tblCellMar>
        </w:tblPrEx>
        <w:trPr>
          <w:cantSplit/>
        </w:trPr>
        <w:tc>
          <w:tcPr>
            <w:tcW w:w="28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3109B6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Loan advertising removed</w:t>
            </w:r>
          </w:p>
        </w:tc>
        <w:tc>
          <w:tcPr>
            <w:tcW w:w="1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F2694C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127</w:t>
            </w:r>
          </w:p>
        </w:tc>
        <w:tc>
          <w:tcPr>
            <w:tcW w:w="1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627B39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23</w:t>
            </w:r>
          </w:p>
        </w:tc>
        <w:tc>
          <w:tcPr>
            <w:tcW w:w="1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C21CBB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0</w:t>
            </w:r>
          </w:p>
        </w:tc>
        <w:tc>
          <w:tcPr>
            <w:tcW w:w="1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7915B8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0</w:t>
            </w:r>
          </w:p>
        </w:tc>
        <w:tc>
          <w:tcPr>
            <w:tcW w:w="1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E72779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0</w:t>
            </w:r>
          </w:p>
        </w:tc>
        <w:tc>
          <w:tcPr>
            <w:tcW w:w="11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8635C7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0</w:t>
            </w:r>
          </w:p>
        </w:tc>
      </w:tr>
      <w:tr w:rsidR="00CF7FD3" w:rsidRPr="00101936" w14:paraId="73D720BE" w14:textId="77777777">
        <w:tblPrEx>
          <w:tblCellMar>
            <w:top w:w="0" w:type="dxa"/>
            <w:bottom w:w="0" w:type="dxa"/>
          </w:tblCellMar>
        </w:tblPrEx>
        <w:trPr>
          <w:cantSplit/>
        </w:trPr>
        <w:tc>
          <w:tcPr>
            <w:tcW w:w="28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58C603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Referral farming removed</w:t>
            </w:r>
          </w:p>
        </w:tc>
        <w:tc>
          <w:tcPr>
            <w:tcW w:w="1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5553B7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70</w:t>
            </w:r>
          </w:p>
        </w:tc>
        <w:tc>
          <w:tcPr>
            <w:tcW w:w="1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1D5F66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w:t>
            </w:r>
          </w:p>
        </w:tc>
        <w:tc>
          <w:tcPr>
            <w:tcW w:w="1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85AA88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0</w:t>
            </w:r>
          </w:p>
        </w:tc>
        <w:tc>
          <w:tcPr>
            <w:tcW w:w="1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9003E7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73</w:t>
            </w:r>
          </w:p>
        </w:tc>
        <w:tc>
          <w:tcPr>
            <w:tcW w:w="1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968A1E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6</w:t>
            </w:r>
          </w:p>
        </w:tc>
        <w:tc>
          <w:tcPr>
            <w:tcW w:w="11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E18433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0</w:t>
            </w:r>
          </w:p>
        </w:tc>
      </w:tr>
      <w:tr w:rsidR="00CF7FD3" w:rsidRPr="00101936" w14:paraId="58EB4D4E" w14:textId="77777777">
        <w:tblPrEx>
          <w:tblCellMar>
            <w:top w:w="0" w:type="dxa"/>
            <w:bottom w:w="0" w:type="dxa"/>
          </w:tblCellMar>
        </w:tblPrEx>
        <w:trPr>
          <w:cantSplit/>
        </w:trPr>
        <w:tc>
          <w:tcPr>
            <w:tcW w:w="28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F1006B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Duplicates removed</w:t>
            </w:r>
          </w:p>
        </w:tc>
        <w:tc>
          <w:tcPr>
            <w:tcW w:w="1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4DE97B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0</w:t>
            </w:r>
          </w:p>
        </w:tc>
        <w:tc>
          <w:tcPr>
            <w:tcW w:w="1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A6E026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w:t>
            </w:r>
          </w:p>
        </w:tc>
        <w:tc>
          <w:tcPr>
            <w:tcW w:w="1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95FA7A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0</w:t>
            </w:r>
          </w:p>
        </w:tc>
        <w:tc>
          <w:tcPr>
            <w:tcW w:w="1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5AF70E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0</w:t>
            </w:r>
          </w:p>
        </w:tc>
        <w:tc>
          <w:tcPr>
            <w:tcW w:w="1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68B59C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0</w:t>
            </w:r>
          </w:p>
        </w:tc>
        <w:tc>
          <w:tcPr>
            <w:tcW w:w="11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B0138C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0</w:t>
            </w:r>
          </w:p>
        </w:tc>
      </w:tr>
      <w:tr w:rsidR="00CF7FD3" w:rsidRPr="00101936" w14:paraId="5659CB1B" w14:textId="77777777">
        <w:tblPrEx>
          <w:tblCellMar>
            <w:top w:w="0" w:type="dxa"/>
            <w:bottom w:w="0" w:type="dxa"/>
          </w:tblCellMar>
        </w:tblPrEx>
        <w:trPr>
          <w:cantSplit/>
        </w:trPr>
        <w:tc>
          <w:tcPr>
            <w:tcW w:w="28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601999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Reviews retained</w:t>
            </w:r>
          </w:p>
        </w:tc>
        <w:tc>
          <w:tcPr>
            <w:tcW w:w="1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66DA05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670</w:t>
            </w:r>
          </w:p>
        </w:tc>
        <w:tc>
          <w:tcPr>
            <w:tcW w:w="1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6AD718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1,171</w:t>
            </w:r>
          </w:p>
        </w:tc>
        <w:tc>
          <w:tcPr>
            <w:tcW w:w="1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6E8A01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177</w:t>
            </w:r>
          </w:p>
        </w:tc>
        <w:tc>
          <w:tcPr>
            <w:tcW w:w="1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5530CC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259</w:t>
            </w:r>
          </w:p>
        </w:tc>
        <w:tc>
          <w:tcPr>
            <w:tcW w:w="1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E1D96B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512</w:t>
            </w:r>
          </w:p>
        </w:tc>
        <w:tc>
          <w:tcPr>
            <w:tcW w:w="11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02AD5D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205</w:t>
            </w:r>
          </w:p>
        </w:tc>
      </w:tr>
      <w:tr w:rsidR="00CF7FD3" w:rsidRPr="00101936" w14:paraId="2530837C" w14:textId="77777777">
        <w:tblPrEx>
          <w:tblCellMar>
            <w:top w:w="0" w:type="dxa"/>
            <w:bottom w:w="0" w:type="dxa"/>
          </w:tblCellMar>
        </w:tblPrEx>
        <w:trPr>
          <w:cantSplit/>
        </w:trPr>
        <w:tc>
          <w:tcPr>
            <w:tcW w:w="28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DD1A14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Mean rating before cleaning</w:t>
            </w:r>
          </w:p>
        </w:tc>
        <w:tc>
          <w:tcPr>
            <w:tcW w:w="1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E24EBC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3.29</w:t>
            </w:r>
          </w:p>
        </w:tc>
        <w:tc>
          <w:tcPr>
            <w:tcW w:w="1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976C42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2.60</w:t>
            </w:r>
          </w:p>
        </w:tc>
        <w:tc>
          <w:tcPr>
            <w:tcW w:w="1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C4F09B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2.18</w:t>
            </w:r>
          </w:p>
        </w:tc>
        <w:tc>
          <w:tcPr>
            <w:tcW w:w="1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F34A89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3.37</w:t>
            </w:r>
          </w:p>
        </w:tc>
        <w:tc>
          <w:tcPr>
            <w:tcW w:w="1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23587E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1.57</w:t>
            </w:r>
          </w:p>
        </w:tc>
        <w:tc>
          <w:tcPr>
            <w:tcW w:w="11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AAB358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2.31</w:t>
            </w:r>
          </w:p>
        </w:tc>
      </w:tr>
      <w:tr w:rsidR="00CF7FD3" w:rsidRPr="00101936" w14:paraId="7349C66C" w14:textId="77777777">
        <w:tblPrEx>
          <w:tblCellMar>
            <w:top w:w="0" w:type="dxa"/>
            <w:bottom w:w="0" w:type="dxa"/>
          </w:tblCellMar>
        </w:tblPrEx>
        <w:trPr>
          <w:cantSplit/>
        </w:trPr>
        <w:tc>
          <w:tcPr>
            <w:tcW w:w="28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130FBE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Mean rating after cleaning</w:t>
            </w:r>
          </w:p>
        </w:tc>
        <w:tc>
          <w:tcPr>
            <w:tcW w:w="1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F3D585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3.22</w:t>
            </w:r>
          </w:p>
        </w:tc>
        <w:tc>
          <w:tcPr>
            <w:tcW w:w="1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F72BFA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2.58</w:t>
            </w:r>
          </w:p>
        </w:tc>
        <w:tc>
          <w:tcPr>
            <w:tcW w:w="1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02F061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2.18</w:t>
            </w:r>
          </w:p>
        </w:tc>
        <w:tc>
          <w:tcPr>
            <w:tcW w:w="1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7088DF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2.94</w:t>
            </w:r>
          </w:p>
        </w:tc>
        <w:tc>
          <w:tcPr>
            <w:tcW w:w="1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E3A599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1.53</w:t>
            </w:r>
          </w:p>
        </w:tc>
        <w:tc>
          <w:tcPr>
            <w:tcW w:w="11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F8C454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2.31</w:t>
            </w:r>
          </w:p>
        </w:tc>
      </w:tr>
    </w:tbl>
    <w:p w14:paraId="704E0828" w14:textId="77777777" w:rsidR="00CF7FD3" w:rsidRPr="00101936" w:rsidRDefault="00000000" w:rsidP="00101936">
      <w:pPr>
        <w:spacing w:before="60" w:after="200"/>
        <w:jc w:val="both"/>
        <w:rPr>
          <w:rFonts w:asciiTheme="majorHAnsi" w:hAnsiTheme="majorHAnsi" w:cstheme="majorHAnsi"/>
        </w:rPr>
      </w:pPr>
      <w:r w:rsidRPr="00101936">
        <w:rPr>
          <w:rFonts w:asciiTheme="majorHAnsi" w:hAnsiTheme="majorHAnsi" w:cstheme="majorHAnsi"/>
          <w:sz w:val="17"/>
          <w:szCs w:val="17"/>
        </w:rPr>
        <w:t>Source: Google Play (23 September 2026) and Apple App Store (24 September 2026); authors' cleaning code. Text was normalised (Unicode compatibility composition, diacritics removed, lower case) before two rules flagged loan advertising and referral farming. The referral rule fires only where a referral phrase sits next to a code or reward amount and passes 37 test cases. Copy-and-paste duplicates of 20 characters or more were removed, and identical short reviews by different people were kept. VPS is its 1,200 most recent Google Play reviews, from 27 March 2023.</w:t>
      </w:r>
    </w:p>
    <w:p w14:paraId="7C9BC829"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Cleaning changed the conclusions. In 2022 and 2023, 46 and 54 per cent of DNSE's Google Play reviews were spam, and the removed material was rated higher than the genuine reviews (3.53 against 3.22), so cleaning lowers DNSE's rating. Table A4 tests the rule that flags generic reviews.</w:t>
      </w:r>
    </w:p>
    <w:p w14:paraId="7F5AC0CE" w14:textId="77777777" w:rsidR="00CF7FD3" w:rsidRPr="00101936" w:rsidRDefault="00000000" w:rsidP="001B3A39">
      <w:pPr>
        <w:keepNext/>
        <w:spacing w:before="160" w:after="80"/>
        <w:jc w:val="center"/>
        <w:rPr>
          <w:rFonts w:asciiTheme="majorHAnsi" w:hAnsiTheme="majorHAnsi" w:cstheme="majorHAnsi"/>
        </w:rPr>
      </w:pPr>
      <w:r w:rsidRPr="00101936">
        <w:rPr>
          <w:rFonts w:asciiTheme="majorHAnsi" w:hAnsiTheme="majorHAnsi" w:cstheme="majorHAnsi"/>
          <w:b/>
          <w:bCs/>
          <w:sz w:val="19"/>
          <w:szCs w:val="19"/>
        </w:rPr>
        <w:t xml:space="preserve">Table A4. </w:t>
      </w:r>
      <w:r w:rsidRPr="00101936">
        <w:rPr>
          <w:rFonts w:asciiTheme="majorHAnsi" w:hAnsiTheme="majorHAnsi" w:cstheme="majorHAnsi"/>
          <w:sz w:val="19"/>
          <w:szCs w:val="19"/>
        </w:rPr>
        <w:t>Sensitivity of the generic-review rule, DNSE Google Play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1650"/>
        <w:gridCol w:w="1650"/>
        <w:gridCol w:w="1650"/>
        <w:gridCol w:w="1662"/>
      </w:tblGrid>
      <w:tr w:rsidR="00CF7FD3" w:rsidRPr="00101936" w14:paraId="520E60A1" w14:textId="77777777">
        <w:tblPrEx>
          <w:tblCellMar>
            <w:top w:w="0" w:type="dxa"/>
            <w:bottom w:w="0" w:type="dxa"/>
          </w:tblCellMar>
        </w:tblPrEx>
        <w:trPr>
          <w:cantSplit/>
          <w:tblHeader/>
        </w:trPr>
        <w:tc>
          <w:tcPr>
            <w:tcW w:w="28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57A39F0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Rule for a generic review</w:t>
            </w:r>
          </w:p>
        </w:tc>
        <w:tc>
          <w:tcPr>
            <w:tcW w:w="165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3B19146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Generic share, 2024</w:t>
            </w:r>
          </w:p>
        </w:tc>
        <w:tc>
          <w:tcPr>
            <w:tcW w:w="165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4C2FAD9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Generic share, 2025</w:t>
            </w:r>
          </w:p>
        </w:tc>
        <w:tc>
          <w:tcPr>
            <w:tcW w:w="165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5C2390A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Substantive mean, 2024</w:t>
            </w:r>
          </w:p>
        </w:tc>
        <w:tc>
          <w:tcPr>
            <w:tcW w:w="1662"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5B727C1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Substantive mean, 2025</w:t>
            </w:r>
          </w:p>
        </w:tc>
      </w:tr>
      <w:tr w:rsidR="00CF7FD3" w:rsidRPr="00101936" w14:paraId="4D2546CD" w14:textId="77777777">
        <w:tblPrEx>
          <w:tblCellMar>
            <w:top w:w="0" w:type="dxa"/>
            <w:bottom w:w="0" w:type="dxa"/>
          </w:tblCellMar>
        </w:tblPrEx>
        <w:trPr>
          <w:cantSplit/>
        </w:trPr>
        <w:tc>
          <w:tcPr>
            <w:tcW w:w="28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C9DF32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One word (rule used)</w:t>
            </w:r>
          </w:p>
        </w:tc>
        <w:tc>
          <w:tcPr>
            <w:tcW w:w="165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2850F6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33.7%</w:t>
            </w:r>
          </w:p>
        </w:tc>
        <w:tc>
          <w:tcPr>
            <w:tcW w:w="165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5ABE6A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12.0%</w:t>
            </w:r>
          </w:p>
        </w:tc>
        <w:tc>
          <w:tcPr>
            <w:tcW w:w="165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EBBD25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4.15</w:t>
            </w:r>
          </w:p>
        </w:tc>
        <w:tc>
          <w:tcPr>
            <w:tcW w:w="166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681D06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2.38</w:t>
            </w:r>
          </w:p>
        </w:tc>
      </w:tr>
      <w:tr w:rsidR="00CF7FD3" w:rsidRPr="00101936" w14:paraId="04BD4183" w14:textId="77777777">
        <w:tblPrEx>
          <w:tblCellMar>
            <w:top w:w="0" w:type="dxa"/>
            <w:bottom w:w="0" w:type="dxa"/>
          </w:tblCellMar>
        </w:tblPrEx>
        <w:trPr>
          <w:cantSplit/>
        </w:trPr>
        <w:tc>
          <w:tcPr>
            <w:tcW w:w="28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A1A0D9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Up to two words</w:t>
            </w:r>
          </w:p>
        </w:tc>
        <w:tc>
          <w:tcPr>
            <w:tcW w:w="165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48797D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50.3%</w:t>
            </w:r>
          </w:p>
        </w:tc>
        <w:tc>
          <w:tcPr>
            <w:tcW w:w="165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0D9125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17.7%</w:t>
            </w:r>
          </w:p>
        </w:tc>
        <w:tc>
          <w:tcPr>
            <w:tcW w:w="165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2A1310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4.00</w:t>
            </w:r>
          </w:p>
        </w:tc>
        <w:tc>
          <w:tcPr>
            <w:tcW w:w="166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CE3A85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2.22</w:t>
            </w:r>
          </w:p>
        </w:tc>
      </w:tr>
      <w:tr w:rsidR="00CF7FD3" w:rsidRPr="00101936" w14:paraId="335B9846" w14:textId="77777777">
        <w:tblPrEx>
          <w:tblCellMar>
            <w:top w:w="0" w:type="dxa"/>
            <w:bottom w:w="0" w:type="dxa"/>
          </w:tblCellMar>
        </w:tblPrEx>
        <w:trPr>
          <w:cantSplit/>
        </w:trPr>
        <w:tc>
          <w:tcPr>
            <w:tcW w:w="28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B86EB6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Up to four words</w:t>
            </w:r>
          </w:p>
        </w:tc>
        <w:tc>
          <w:tcPr>
            <w:tcW w:w="165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201735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62.7%</w:t>
            </w:r>
          </w:p>
        </w:tc>
        <w:tc>
          <w:tcPr>
            <w:tcW w:w="165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CB3590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25.9%</w:t>
            </w:r>
          </w:p>
        </w:tc>
        <w:tc>
          <w:tcPr>
            <w:tcW w:w="165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76B3BC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3.74</w:t>
            </w:r>
          </w:p>
        </w:tc>
        <w:tc>
          <w:tcPr>
            <w:tcW w:w="166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7E04FA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2.01</w:t>
            </w:r>
          </w:p>
        </w:tc>
      </w:tr>
    </w:tbl>
    <w:p w14:paraId="5BED8587" w14:textId="77777777" w:rsidR="00CF7FD3" w:rsidRPr="00101936" w:rsidRDefault="00000000" w:rsidP="001B3A39">
      <w:pPr>
        <w:spacing w:before="60" w:after="200"/>
        <w:jc w:val="right"/>
        <w:rPr>
          <w:rFonts w:asciiTheme="majorHAnsi" w:hAnsiTheme="majorHAnsi" w:cstheme="majorHAnsi"/>
        </w:rPr>
      </w:pPr>
      <w:r w:rsidRPr="00101936">
        <w:rPr>
          <w:rFonts w:asciiTheme="majorHAnsi" w:hAnsiTheme="majorHAnsi" w:cstheme="majorHAnsi"/>
          <w:sz w:val="17"/>
          <w:szCs w:val="17"/>
        </w:rPr>
        <w:t>Source: authors' cleaning code. The fall in substantive ratings from 2024 to 2025 holds under every rule.</w:t>
      </w:r>
    </w:p>
    <w:p w14:paraId="42286C8D" w14:textId="77777777" w:rsidR="00CF7FD3" w:rsidRPr="00101936" w:rsidRDefault="00000000" w:rsidP="00101936">
      <w:pPr>
        <w:pStyle w:val="Heading2"/>
        <w:keepNext/>
        <w:keepLines/>
        <w:jc w:val="both"/>
        <w:rPr>
          <w:rFonts w:asciiTheme="majorHAnsi" w:hAnsiTheme="majorHAnsi" w:cstheme="majorHAnsi"/>
        </w:rPr>
      </w:pPr>
      <w:r w:rsidRPr="00101936">
        <w:rPr>
          <w:rFonts w:asciiTheme="majorHAnsi" w:hAnsiTheme="majorHAnsi" w:cstheme="majorHAnsi"/>
        </w:rPr>
        <w:lastRenderedPageBreak/>
        <w:t>Appendix B. DNSE financial data</w:t>
      </w:r>
    </w:p>
    <w:p w14:paraId="23D93544" w14:textId="77777777" w:rsidR="00CF7FD3" w:rsidRPr="00101936" w:rsidRDefault="00000000" w:rsidP="001B3A39">
      <w:pPr>
        <w:keepNext/>
        <w:spacing w:before="160" w:after="80"/>
        <w:jc w:val="center"/>
        <w:rPr>
          <w:rFonts w:asciiTheme="majorHAnsi" w:hAnsiTheme="majorHAnsi" w:cstheme="majorHAnsi"/>
        </w:rPr>
      </w:pPr>
      <w:r w:rsidRPr="00101936">
        <w:rPr>
          <w:rFonts w:asciiTheme="majorHAnsi" w:hAnsiTheme="majorHAnsi" w:cstheme="majorHAnsi"/>
          <w:b/>
          <w:bCs/>
          <w:sz w:val="19"/>
          <w:szCs w:val="19"/>
        </w:rPr>
        <w:t xml:space="preserve">Table B1. </w:t>
      </w:r>
      <w:r w:rsidRPr="00101936">
        <w:rPr>
          <w:rFonts w:asciiTheme="majorHAnsi" w:hAnsiTheme="majorHAnsi" w:cstheme="majorHAnsi"/>
          <w:sz w:val="19"/>
          <w:szCs w:val="19"/>
        </w:rPr>
        <w:t>Income statement summary, VND billion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12"/>
        <w:gridCol w:w="1000"/>
        <w:gridCol w:w="1000"/>
        <w:gridCol w:w="1000"/>
        <w:gridCol w:w="1000"/>
        <w:gridCol w:w="1000"/>
        <w:gridCol w:w="1000"/>
      </w:tblGrid>
      <w:tr w:rsidR="00CF7FD3" w:rsidRPr="00101936" w14:paraId="0BF65A58" w14:textId="77777777">
        <w:tblPrEx>
          <w:tblCellMar>
            <w:top w:w="0" w:type="dxa"/>
            <w:bottom w:w="0" w:type="dxa"/>
          </w:tblCellMar>
        </w:tblPrEx>
        <w:trPr>
          <w:cantSplit/>
          <w:tblHeader/>
        </w:trPr>
        <w:tc>
          <w:tcPr>
            <w:tcW w:w="3412"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5EDD359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Item</w:t>
            </w:r>
          </w:p>
        </w:tc>
        <w:tc>
          <w:tcPr>
            <w:tcW w:w="10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675DAB0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2021</w:t>
            </w:r>
          </w:p>
        </w:tc>
        <w:tc>
          <w:tcPr>
            <w:tcW w:w="10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0F784A0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2022</w:t>
            </w:r>
          </w:p>
        </w:tc>
        <w:tc>
          <w:tcPr>
            <w:tcW w:w="10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14BD81E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2023</w:t>
            </w:r>
          </w:p>
        </w:tc>
        <w:tc>
          <w:tcPr>
            <w:tcW w:w="10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452D691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2024</w:t>
            </w:r>
          </w:p>
        </w:tc>
        <w:tc>
          <w:tcPr>
            <w:tcW w:w="10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7A24651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2025</w:t>
            </w:r>
          </w:p>
        </w:tc>
        <w:tc>
          <w:tcPr>
            <w:tcW w:w="10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61476B9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H1 2026</w:t>
            </w:r>
          </w:p>
        </w:tc>
      </w:tr>
      <w:tr w:rsidR="00CF7FD3" w:rsidRPr="00101936" w14:paraId="6D06E205"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4F48C1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Operating revenue</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4AEB84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180.7</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DDF590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452.1</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C680D7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714.5</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EDA05A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807.4</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D175C6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1,457.9</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4402CE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848.2</w:t>
            </w:r>
          </w:p>
        </w:tc>
      </w:tr>
      <w:tr w:rsidR="00CF7FD3" w:rsidRPr="00101936" w14:paraId="671F14CF"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C19C6B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Interest on margin loans and advances</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3E824E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42.7</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BDD93E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223.1</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E7EFB4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286.2</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87A92C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360.5</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15DE12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555.8</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992FDC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336.1</w:t>
            </w:r>
          </w:p>
        </w:tc>
      </w:tr>
      <w:tr w:rsidR="00CF7FD3" w:rsidRPr="00101936" w14:paraId="3BA2A5ED"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E6E3A2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Interest on deposits and bonds held to maturity</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5B9D05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20.1</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47B9D0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112.9</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5452C6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196.0</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9C5511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245.0</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1C4F23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303.9</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B8D026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193.4</w:t>
            </w:r>
          </w:p>
        </w:tc>
      </w:tr>
      <w:tr w:rsidR="00CF7FD3" w:rsidRPr="00101936" w14:paraId="4BB7C169"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9C453E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Brokerage revenue</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BD2D65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90.0</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275041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84.8</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E2AF3A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67.6</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0D2D6F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144.8</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38E891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404.0</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E2E27B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222.1</w:t>
            </w:r>
          </w:p>
        </w:tc>
      </w:tr>
      <w:tr w:rsidR="00CF7FD3" w:rsidRPr="00101936" w14:paraId="5F33228A"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383B47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Direct brokerage cost</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EAFBCA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51.5</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6E4668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74.4</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33EDE9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111.1</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DEDA5D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174.8</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0FEF26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464.9</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FA745F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266.5</w:t>
            </w:r>
          </w:p>
        </w:tc>
      </w:tr>
      <w:tr w:rsidR="00CF7FD3" w:rsidRPr="00101936" w14:paraId="79718449"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7C0F45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Interest expense plus line 24</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06A1F7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23.9</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245259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172.2</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1BFEF2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233.6</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B46176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210.6</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AFC0C9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429.8</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27C666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324.1</w:t>
            </w:r>
          </w:p>
        </w:tc>
      </w:tr>
      <w:tr w:rsidR="00CF7FD3" w:rsidRPr="00101936" w14:paraId="0FDE40D9"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2ECE2E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Administrative expenses</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4CA78F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14.8</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690420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37.1</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742B2C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94.3</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4D1762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151.9</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2AD90C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181.4</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798E6E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95.4</w:t>
            </w:r>
          </w:p>
        </w:tc>
      </w:tr>
      <w:tr w:rsidR="00CF7FD3" w:rsidRPr="00101936" w14:paraId="7AF40EBD"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C6A890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Pre-tax profit</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E17438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68.2</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D86938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95.0</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ED62A5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285.6</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923EB7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227.5</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20DA24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340.2</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0175A6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111.6</w:t>
            </w:r>
          </w:p>
        </w:tc>
      </w:tr>
      <w:tr w:rsidR="00CF7FD3" w:rsidRPr="00101936" w14:paraId="7E80B71D"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FE65A0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Net proprietary result</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31891A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(4.4)</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09804F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(61.3)</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304318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158.0</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2ECFD2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6.8</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8B8BDB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146.2</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252688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33.9</w:t>
            </w:r>
          </w:p>
        </w:tc>
      </w:tr>
      <w:tr w:rsidR="00CF7FD3" w:rsidRPr="00101936" w14:paraId="5F4B74C2"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AFDDCF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Core pre-tax profit</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8125B9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72.5</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34FF59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156.3</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D8C630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127.6</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DBF51C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220.7</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FB19B3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194.0</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B9C1E8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77.7</w:t>
            </w:r>
          </w:p>
        </w:tc>
      </w:tr>
    </w:tbl>
    <w:p w14:paraId="6CCB2957" w14:textId="77777777" w:rsidR="00CF7FD3" w:rsidRPr="00101936" w:rsidRDefault="00000000" w:rsidP="00101936">
      <w:pPr>
        <w:spacing w:before="60" w:after="200"/>
        <w:jc w:val="both"/>
        <w:rPr>
          <w:rFonts w:asciiTheme="majorHAnsi" w:hAnsiTheme="majorHAnsi" w:cstheme="majorHAnsi"/>
        </w:rPr>
      </w:pPr>
      <w:r w:rsidRPr="00101936">
        <w:rPr>
          <w:rFonts w:asciiTheme="majorHAnsi" w:hAnsiTheme="majorHAnsi" w:cstheme="majorHAnsi"/>
          <w:sz w:val="17"/>
          <w:szCs w:val="17"/>
        </w:rPr>
        <w:t>Source: DNSE filed statements via Vietcap Securities (2026); H1 2026 from the half-year statements reviewed by KPMG; authors' calculations. Core pre-tax profit excludes the net result on financial assets at fair value through profit or loss. Negative values are in parentheses.</w:t>
      </w:r>
    </w:p>
    <w:p w14:paraId="48FDD9E7" w14:textId="77777777" w:rsidR="00CF7FD3" w:rsidRPr="00101936" w:rsidRDefault="00000000" w:rsidP="001B3A39">
      <w:pPr>
        <w:keepNext/>
        <w:spacing w:before="160" w:after="80"/>
        <w:jc w:val="center"/>
        <w:rPr>
          <w:rFonts w:asciiTheme="majorHAnsi" w:hAnsiTheme="majorHAnsi" w:cstheme="majorHAnsi"/>
        </w:rPr>
      </w:pPr>
      <w:r w:rsidRPr="00101936">
        <w:rPr>
          <w:rFonts w:asciiTheme="majorHAnsi" w:hAnsiTheme="majorHAnsi" w:cstheme="majorHAnsi"/>
          <w:b/>
          <w:bCs/>
          <w:sz w:val="19"/>
          <w:szCs w:val="19"/>
        </w:rPr>
        <w:t xml:space="preserve">Table B2. </w:t>
      </w:r>
      <w:r w:rsidRPr="00101936">
        <w:rPr>
          <w:rFonts w:asciiTheme="majorHAnsi" w:hAnsiTheme="majorHAnsi" w:cstheme="majorHAnsi"/>
          <w:sz w:val="19"/>
          <w:szCs w:val="19"/>
        </w:rPr>
        <w:t>Balance sheet and main ratios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12"/>
        <w:gridCol w:w="1000"/>
        <w:gridCol w:w="1000"/>
        <w:gridCol w:w="1000"/>
        <w:gridCol w:w="1000"/>
        <w:gridCol w:w="1000"/>
        <w:gridCol w:w="1000"/>
      </w:tblGrid>
      <w:tr w:rsidR="00CF7FD3" w:rsidRPr="00101936" w14:paraId="20F52B04" w14:textId="77777777">
        <w:tblPrEx>
          <w:tblCellMar>
            <w:top w:w="0" w:type="dxa"/>
            <w:bottom w:w="0" w:type="dxa"/>
          </w:tblCellMar>
        </w:tblPrEx>
        <w:trPr>
          <w:cantSplit/>
          <w:tblHeader/>
        </w:trPr>
        <w:tc>
          <w:tcPr>
            <w:tcW w:w="3412"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4D9D50F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Item</w:t>
            </w:r>
          </w:p>
        </w:tc>
        <w:tc>
          <w:tcPr>
            <w:tcW w:w="10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273778E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2021</w:t>
            </w:r>
          </w:p>
        </w:tc>
        <w:tc>
          <w:tcPr>
            <w:tcW w:w="10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1626351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2022</w:t>
            </w:r>
          </w:p>
        </w:tc>
        <w:tc>
          <w:tcPr>
            <w:tcW w:w="10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52CED6B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2023</w:t>
            </w:r>
          </w:p>
        </w:tc>
        <w:tc>
          <w:tcPr>
            <w:tcW w:w="10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641123B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2024</w:t>
            </w:r>
          </w:p>
        </w:tc>
        <w:tc>
          <w:tcPr>
            <w:tcW w:w="10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00951F5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2025</w:t>
            </w:r>
          </w:p>
        </w:tc>
        <w:tc>
          <w:tcPr>
            <w:tcW w:w="10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73E12FD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Jun 2026</w:t>
            </w:r>
          </w:p>
        </w:tc>
      </w:tr>
      <w:tr w:rsidR="00CF7FD3" w:rsidRPr="00101936" w14:paraId="0257EC68"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8800AA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Margin loans and advances, VND bn</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325661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1,192</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CCB17E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2,280</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6613A6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2,483</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B099B4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3,882</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A974FF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5,832</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9E431D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6,303</w:t>
            </w:r>
          </w:p>
        </w:tc>
      </w:tr>
      <w:tr w:rsidR="00CF7FD3" w:rsidRPr="00101936" w14:paraId="1FA6D981"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214FE3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Deposits and bonds held to maturity, VND bn</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A6952C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883</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59A9CF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2,824</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784BD4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3,495</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A5DDE7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5,103</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E2CC31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6,266</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644275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5,714</w:t>
            </w:r>
          </w:p>
        </w:tc>
      </w:tr>
      <w:tr w:rsidR="00CF7FD3" w:rsidRPr="00101936" w14:paraId="2CB4AA63"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EF2DE9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Total assets, VND bn</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653021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2,315</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983995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6,409</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89DD9C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7,446</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AB750F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10,637</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5AB33F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15,139</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3F5185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15,208</w:t>
            </w:r>
          </w:p>
        </w:tc>
      </w:tr>
      <w:tr w:rsidR="00CF7FD3" w:rsidRPr="00101936" w14:paraId="0EF79C12"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9F9627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Borrowings and bonds, VND bn</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F42780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1,224</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403320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2,735</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9A32B0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3,643</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3B7A33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6,494</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6FE04E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10,600</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A0EA5B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9,446</w:t>
            </w:r>
          </w:p>
        </w:tc>
      </w:tr>
      <w:tr w:rsidR="00CF7FD3" w:rsidRPr="00101936" w14:paraId="4073B1C4"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C2B226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Owners' equity, VND bn</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DD478C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1,059</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B2B3C1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3,136</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4AC521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3,305</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1D5DDC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4,030</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4A9CF3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4,302</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17F6C8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5,440</w:t>
            </w:r>
          </w:p>
        </w:tc>
      </w:tr>
      <w:tr w:rsidR="00CF7FD3" w:rsidRPr="00101936" w14:paraId="4C95FB39"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177788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Investor cash (off balance sheet), VND bn</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F58BCF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435</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A55763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251</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BA40D5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790</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F9FBC4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1,340</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E06160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2,903</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A87F38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1,961</w:t>
            </w:r>
          </w:p>
        </w:tc>
      </w:tr>
      <w:tr w:rsidR="00CF7FD3" w:rsidRPr="00101936" w14:paraId="533D93B0"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0D3A5A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Pre-tax margin, %</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287D43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37.7</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FE5DB5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21.0</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01C4E6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40.0</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8F8AF7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28.2</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76F5CB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23.3</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644AA1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13.2</w:t>
            </w:r>
          </w:p>
        </w:tc>
      </w:tr>
      <w:tr w:rsidR="00CF7FD3" w:rsidRPr="00101936" w14:paraId="1F8360A4"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C57994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Brokerage revenue as % of direct cost</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7A050E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174.9</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C4C573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114.0</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7BA42F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60.9</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FA7553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82.8</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17C2EB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86.9</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419DEC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83.3</w:t>
            </w:r>
          </w:p>
        </w:tc>
      </w:tr>
      <w:tr w:rsidR="00CF7FD3" w:rsidRPr="00101936" w14:paraId="57CFFD7B"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E1F34D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Return on equity, %</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E3AFDF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8.9</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82DA8C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3.7</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AAF942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7.1</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CD49F0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5.0</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3E57BB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6.5</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5C9550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3.8</w:t>
            </w:r>
          </w:p>
        </w:tc>
      </w:tr>
      <w:tr w:rsidR="00CF7FD3" w:rsidRPr="00101936" w14:paraId="5D03F317"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13C2EE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Loans as % of equity (ceiling 200)</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CE017E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112.6</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C00E2E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72.7</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90DEC1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75.1</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628352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96.3</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F8D105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135.6</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1B878E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115.9</w:t>
            </w:r>
          </w:p>
        </w:tc>
      </w:tr>
      <w:tr w:rsidR="00CF7FD3" w:rsidRPr="00101936" w14:paraId="001716F4"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B918EC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Estimated cost of funds, %</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A1F1E7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6.5</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6E0A1A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6.8</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2A68F7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7.3</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ADB5FA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4.1</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CF0D70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5.1</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E75966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6.3</w:t>
            </w:r>
          </w:p>
        </w:tc>
      </w:tr>
      <w:tr w:rsidR="00CF7FD3" w:rsidRPr="00101936" w14:paraId="0278E059"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0D8511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Net interest margin, %</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5AC30B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6.2</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9D5643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5.4</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A727F2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4.8</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584C79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5.0</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1E9F68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4.2</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7A43B0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3.5</w:t>
            </w:r>
          </w:p>
        </w:tc>
      </w:tr>
    </w:tbl>
    <w:p w14:paraId="72436C47" w14:textId="77777777" w:rsidR="00CF7FD3" w:rsidRPr="00101936" w:rsidRDefault="00000000" w:rsidP="00101936">
      <w:pPr>
        <w:spacing w:before="60" w:after="200"/>
        <w:jc w:val="both"/>
        <w:rPr>
          <w:rFonts w:asciiTheme="majorHAnsi" w:hAnsiTheme="majorHAnsi" w:cstheme="majorHAnsi"/>
        </w:rPr>
      </w:pPr>
      <w:r w:rsidRPr="00101936">
        <w:rPr>
          <w:rFonts w:asciiTheme="majorHAnsi" w:hAnsiTheme="majorHAnsi" w:cstheme="majorHAnsi"/>
          <w:sz w:val="17"/>
          <w:szCs w:val="17"/>
        </w:rPr>
        <w:t>Source: as Table B1. Return on equity, cost of funds and net interest margin in the last column cover the first half of 2026, annualised. Section 2.4 and Table C2 quote the second quarter alone, when the cost of funds was 6.5 per cent.</w:t>
      </w:r>
    </w:p>
    <w:p w14:paraId="1F9DD79C" w14:textId="77777777" w:rsidR="00CF7FD3" w:rsidRPr="00101936" w:rsidRDefault="00000000" w:rsidP="001B3A39">
      <w:pPr>
        <w:keepNext/>
        <w:spacing w:before="160" w:after="80"/>
        <w:jc w:val="center"/>
        <w:rPr>
          <w:rFonts w:asciiTheme="majorHAnsi" w:hAnsiTheme="majorHAnsi" w:cstheme="majorHAnsi"/>
        </w:rPr>
      </w:pPr>
      <w:r w:rsidRPr="00101936">
        <w:rPr>
          <w:rFonts w:asciiTheme="majorHAnsi" w:hAnsiTheme="majorHAnsi" w:cstheme="majorHAnsi"/>
          <w:b/>
          <w:bCs/>
          <w:sz w:val="19"/>
          <w:szCs w:val="19"/>
        </w:rPr>
        <w:t xml:space="preserve">Table B3. </w:t>
      </w:r>
      <w:r w:rsidRPr="00101936">
        <w:rPr>
          <w:rFonts w:asciiTheme="majorHAnsi" w:hAnsiTheme="majorHAnsi" w:cstheme="majorHAnsi"/>
          <w:sz w:val="19"/>
          <w:szCs w:val="19"/>
        </w:rPr>
        <w:t>Platform and overhead cost proxy, VND billion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12"/>
        <w:gridCol w:w="1200"/>
        <w:gridCol w:w="1200"/>
        <w:gridCol w:w="1200"/>
        <w:gridCol w:w="1200"/>
        <w:gridCol w:w="1200"/>
      </w:tblGrid>
      <w:tr w:rsidR="00CF7FD3" w:rsidRPr="00101936" w14:paraId="438CE63A" w14:textId="77777777">
        <w:tblPrEx>
          <w:tblCellMar>
            <w:top w:w="0" w:type="dxa"/>
            <w:bottom w:w="0" w:type="dxa"/>
          </w:tblCellMar>
        </w:tblPrEx>
        <w:trPr>
          <w:cantSplit/>
          <w:tblHeader/>
        </w:trPr>
        <w:tc>
          <w:tcPr>
            <w:tcW w:w="3412"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056530C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Item</w:t>
            </w:r>
          </w:p>
        </w:tc>
        <w:tc>
          <w:tcPr>
            <w:tcW w:w="12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160DD3A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2021</w:t>
            </w:r>
          </w:p>
        </w:tc>
        <w:tc>
          <w:tcPr>
            <w:tcW w:w="12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2B7CB94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2022</w:t>
            </w:r>
          </w:p>
        </w:tc>
        <w:tc>
          <w:tcPr>
            <w:tcW w:w="12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6ADDBBC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2023</w:t>
            </w:r>
          </w:p>
        </w:tc>
        <w:tc>
          <w:tcPr>
            <w:tcW w:w="12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577A98D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2024</w:t>
            </w:r>
          </w:p>
        </w:tc>
        <w:tc>
          <w:tcPr>
            <w:tcW w:w="12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1546433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2025</w:t>
            </w:r>
          </w:p>
        </w:tc>
      </w:tr>
      <w:tr w:rsidR="00CF7FD3" w:rsidRPr="00101936" w14:paraId="101F8BB0"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F690BB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Staff costs (administration)</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BF38B1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8.6</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92B540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12.1</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E449C7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41.2</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93352F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80.0</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103214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99.4</w:t>
            </w:r>
          </w:p>
        </w:tc>
      </w:tr>
      <w:tr w:rsidR="00CF7FD3" w:rsidRPr="00101936" w14:paraId="6E796F1E"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53EA6F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Outsourced services</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F975AB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4.8</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C811A2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21.5</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FD4BF4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40.4</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FBBE03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52.8</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5955F6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62.7</w:t>
            </w:r>
          </w:p>
        </w:tc>
      </w:tr>
      <w:tr w:rsidR="00CF7FD3" w:rsidRPr="00101936" w14:paraId="063FF050"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3A8D26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Depreciation and amortisation (all)</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E9C80A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2.4</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5013CB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5.0</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B8350C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16.2</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7BFF99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25.9</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AD7721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35.4</w:t>
            </w:r>
          </w:p>
        </w:tc>
      </w:tr>
      <w:tr w:rsidR="00CF7FD3" w:rsidRPr="00101936" w14:paraId="157F278D"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DF2E36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Platform cost proxy</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A0A1AE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15.8</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0B6731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38.7</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26955F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97.8</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E151D6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158.8</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B1526D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197.5</w:t>
            </w:r>
          </w:p>
        </w:tc>
      </w:tr>
      <w:tr w:rsidR="00CF7FD3" w:rsidRPr="00101936" w14:paraId="38D7DE80"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A1CF6D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Software and leased equipment at cost</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43716F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20.0</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078A85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44.7</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FDE1A2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95.7</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69ECF4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129.1</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5834AC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168.5</w:t>
            </w:r>
          </w:p>
        </w:tc>
      </w:tr>
      <w:tr w:rsidR="00CF7FD3" w:rsidRPr="00101936" w14:paraId="130EC02F"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C7FAF2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Accounts at year end</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96FAFD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44,727</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CBA36F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189,845</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EDC0D8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561,279</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AFFE5C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994,811</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61F1FA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1,512,920</w:t>
            </w:r>
          </w:p>
        </w:tc>
      </w:tr>
      <w:tr w:rsidR="00CF7FD3" w:rsidRPr="00101936" w14:paraId="7663F37B"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7EF957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Active customers, December</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D46515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n.a.</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DAA952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n.a.</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427BA7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n.a.</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329A99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about 41,900</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05C0CC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85,739</w:t>
            </w:r>
          </w:p>
        </w:tc>
      </w:tr>
      <w:tr w:rsidR="00CF7FD3" w:rsidRPr="00101936" w14:paraId="68EE1FF0"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3809BC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Proxy per active customer, VND million</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7E6443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n.a.</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7D3E11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n.a.</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66F643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n.a.</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A6517B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3.79</w:t>
            </w:r>
          </w:p>
        </w:tc>
        <w:tc>
          <w:tcPr>
            <w:tcW w:w="1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34B404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2.30</w:t>
            </w:r>
          </w:p>
        </w:tc>
      </w:tr>
    </w:tbl>
    <w:p w14:paraId="124C17DA" w14:textId="77777777" w:rsidR="00CF7FD3" w:rsidRPr="00101936" w:rsidRDefault="00000000" w:rsidP="00101936">
      <w:pPr>
        <w:spacing w:before="60" w:after="200"/>
        <w:jc w:val="both"/>
        <w:rPr>
          <w:rFonts w:asciiTheme="majorHAnsi" w:hAnsiTheme="majorHAnsi" w:cstheme="majorHAnsi"/>
        </w:rPr>
      </w:pPr>
      <w:r w:rsidRPr="00101936">
        <w:rPr>
          <w:rFonts w:asciiTheme="majorHAnsi" w:hAnsiTheme="majorHAnsi" w:cstheme="majorHAnsi"/>
          <w:sz w:val="17"/>
          <w:szCs w:val="17"/>
        </w:rPr>
        <w:t>Source: DNSE filed statements (notes on administrative expenses; cash flow statement; notes on intangible and finance-lease assets); DNSE Securities (2026c); authors' calculations.</w:t>
      </w:r>
    </w:p>
    <w:p w14:paraId="0C3BBB9F" w14:textId="77777777" w:rsidR="00CF7FD3" w:rsidRPr="00101936" w:rsidRDefault="00000000" w:rsidP="001B3A39">
      <w:pPr>
        <w:keepNext/>
        <w:spacing w:before="120" w:after="60"/>
        <w:jc w:val="center"/>
        <w:rPr>
          <w:rFonts w:asciiTheme="majorHAnsi" w:hAnsiTheme="majorHAnsi" w:cstheme="majorHAnsi"/>
        </w:rPr>
      </w:pPr>
      <w:r w:rsidRPr="00101936">
        <w:rPr>
          <w:rFonts w:asciiTheme="majorHAnsi" w:hAnsiTheme="majorHAnsi" w:cstheme="majorHAnsi"/>
          <w:noProof/>
        </w:rPr>
        <w:lastRenderedPageBreak/>
        <w:drawing>
          <wp:inline distT="0" distB="0" distL="0" distR="0" wp14:anchorId="262EEE85" wp14:editId="71811850">
            <wp:extent cx="5391150" cy="2533650"/>
            <wp:effectExtent l="0" t="0" r="0" b="0"/>
            <wp:docPr id="1407176048" name="Figure B1." descr="Operating revenue and pre-tax profit split into core business and proprietary trading" title="Figure 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91150" cy="2533650"/>
                    </a:xfrm>
                    <a:prstGeom prst="rect">
                      <a:avLst/>
                    </a:prstGeom>
                  </pic:spPr>
                </pic:pic>
              </a:graphicData>
            </a:graphic>
          </wp:inline>
        </w:drawing>
      </w:r>
    </w:p>
    <w:p w14:paraId="6A9989CB" w14:textId="77777777" w:rsidR="00CF7FD3" w:rsidRPr="00101936" w:rsidRDefault="00000000" w:rsidP="001B3A39">
      <w:pPr>
        <w:spacing w:after="200"/>
        <w:jc w:val="center"/>
        <w:rPr>
          <w:rFonts w:asciiTheme="majorHAnsi" w:hAnsiTheme="majorHAnsi" w:cstheme="majorHAnsi"/>
        </w:rPr>
      </w:pPr>
      <w:r w:rsidRPr="00101936">
        <w:rPr>
          <w:rFonts w:asciiTheme="majorHAnsi" w:hAnsiTheme="majorHAnsi" w:cstheme="majorHAnsi"/>
          <w:b/>
          <w:bCs/>
          <w:sz w:val="19"/>
          <w:szCs w:val="19"/>
        </w:rPr>
        <w:t xml:space="preserve">Figure B1. </w:t>
      </w:r>
      <w:r w:rsidRPr="00101936">
        <w:rPr>
          <w:rFonts w:asciiTheme="majorHAnsi" w:hAnsiTheme="majorHAnsi" w:cstheme="majorHAnsi"/>
          <w:sz w:val="19"/>
          <w:szCs w:val="19"/>
        </w:rPr>
        <w:t>Operating revenue and pre-tax profit split into core business and proprietary trading</w:t>
      </w:r>
      <w:r w:rsidRPr="00101936">
        <w:rPr>
          <w:rFonts w:asciiTheme="majorHAnsi" w:hAnsiTheme="majorHAnsi" w:cstheme="majorHAnsi"/>
        </w:rPr>
        <w:br/>
      </w:r>
      <w:r w:rsidRPr="00101936">
        <w:rPr>
          <w:rFonts w:asciiTheme="majorHAnsi" w:hAnsiTheme="majorHAnsi" w:cstheme="majorHAnsi"/>
          <w:sz w:val="17"/>
          <w:szCs w:val="17"/>
        </w:rPr>
        <w:t>Source: DNSE filings; authors' calculations.</w:t>
      </w:r>
    </w:p>
    <w:p w14:paraId="1F481215" w14:textId="77777777" w:rsidR="00CF7FD3" w:rsidRPr="00101936" w:rsidRDefault="00000000" w:rsidP="001B3A39">
      <w:pPr>
        <w:keepNext/>
        <w:spacing w:before="120" w:after="60"/>
        <w:jc w:val="center"/>
        <w:rPr>
          <w:rFonts w:asciiTheme="majorHAnsi" w:hAnsiTheme="majorHAnsi" w:cstheme="majorHAnsi"/>
        </w:rPr>
      </w:pPr>
      <w:r w:rsidRPr="00101936">
        <w:rPr>
          <w:rFonts w:asciiTheme="majorHAnsi" w:hAnsiTheme="majorHAnsi" w:cstheme="majorHAnsi"/>
          <w:noProof/>
        </w:rPr>
        <w:drawing>
          <wp:inline distT="0" distB="0" distL="0" distR="0" wp14:anchorId="008EB784" wp14:editId="7E22FF91">
            <wp:extent cx="5391150" cy="2619375"/>
            <wp:effectExtent l="0" t="0" r="0" b="0"/>
            <wp:docPr id="178676952" name="Figure B2." descr="Where each VND 100 of operating revenue goes" title="Figure 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91150" cy="2619375"/>
                    </a:xfrm>
                    <a:prstGeom prst="rect">
                      <a:avLst/>
                    </a:prstGeom>
                  </pic:spPr>
                </pic:pic>
              </a:graphicData>
            </a:graphic>
          </wp:inline>
        </w:drawing>
      </w:r>
    </w:p>
    <w:p w14:paraId="2AEA613C" w14:textId="77777777" w:rsidR="00CF7FD3" w:rsidRPr="00101936" w:rsidRDefault="00000000" w:rsidP="001B3A39">
      <w:pPr>
        <w:spacing w:after="200"/>
        <w:jc w:val="center"/>
        <w:rPr>
          <w:rFonts w:asciiTheme="majorHAnsi" w:hAnsiTheme="majorHAnsi" w:cstheme="majorHAnsi"/>
        </w:rPr>
      </w:pPr>
      <w:r w:rsidRPr="00101936">
        <w:rPr>
          <w:rFonts w:asciiTheme="majorHAnsi" w:hAnsiTheme="majorHAnsi" w:cstheme="majorHAnsi"/>
          <w:b/>
          <w:bCs/>
          <w:sz w:val="19"/>
          <w:szCs w:val="19"/>
        </w:rPr>
        <w:t xml:space="preserve">Figure B2. </w:t>
      </w:r>
      <w:r w:rsidRPr="00101936">
        <w:rPr>
          <w:rFonts w:asciiTheme="majorHAnsi" w:hAnsiTheme="majorHAnsi" w:cstheme="majorHAnsi"/>
          <w:sz w:val="19"/>
          <w:szCs w:val="19"/>
        </w:rPr>
        <w:t>Where each VND 100 of operating revenue goes</w:t>
      </w:r>
      <w:r w:rsidRPr="00101936">
        <w:rPr>
          <w:rFonts w:asciiTheme="majorHAnsi" w:hAnsiTheme="majorHAnsi" w:cstheme="majorHAnsi"/>
        </w:rPr>
        <w:br/>
      </w:r>
      <w:r w:rsidRPr="00101936">
        <w:rPr>
          <w:rFonts w:asciiTheme="majorHAnsi" w:hAnsiTheme="majorHAnsi" w:cstheme="majorHAnsi"/>
          <w:sz w:val="17"/>
          <w:szCs w:val="17"/>
        </w:rPr>
        <w:t>Source: DNSE filings; authors' calculations.</w:t>
      </w:r>
    </w:p>
    <w:p w14:paraId="7CA0F7B6" w14:textId="77777777" w:rsidR="00CF7FD3" w:rsidRPr="00101936" w:rsidRDefault="00000000" w:rsidP="001B3A39">
      <w:pPr>
        <w:keepNext/>
        <w:spacing w:before="120" w:after="60"/>
        <w:jc w:val="center"/>
        <w:rPr>
          <w:rFonts w:asciiTheme="majorHAnsi" w:hAnsiTheme="majorHAnsi" w:cstheme="majorHAnsi"/>
        </w:rPr>
      </w:pPr>
      <w:r w:rsidRPr="00101936">
        <w:rPr>
          <w:rFonts w:asciiTheme="majorHAnsi" w:hAnsiTheme="majorHAnsi" w:cstheme="majorHAnsi"/>
          <w:noProof/>
        </w:rPr>
        <w:drawing>
          <wp:inline distT="0" distB="0" distL="0" distR="0" wp14:anchorId="1FB35BDC" wp14:editId="3ED7C171">
            <wp:extent cx="5391150" cy="2247900"/>
            <wp:effectExtent l="0" t="0" r="0" b="0"/>
            <wp:docPr id="1233247960" name="Figure B3." descr="Yield on margin loans and on deposits and bonds held to maturity, against the estimated cost of funds" title="Figure 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91150" cy="2247900"/>
                    </a:xfrm>
                    <a:prstGeom prst="rect">
                      <a:avLst/>
                    </a:prstGeom>
                  </pic:spPr>
                </pic:pic>
              </a:graphicData>
            </a:graphic>
          </wp:inline>
        </w:drawing>
      </w:r>
    </w:p>
    <w:p w14:paraId="464BF4CE" w14:textId="77777777" w:rsidR="00CF7FD3" w:rsidRPr="00101936" w:rsidRDefault="00000000" w:rsidP="001B3A39">
      <w:pPr>
        <w:spacing w:after="200"/>
        <w:jc w:val="center"/>
        <w:rPr>
          <w:rFonts w:asciiTheme="majorHAnsi" w:hAnsiTheme="majorHAnsi" w:cstheme="majorHAnsi"/>
        </w:rPr>
      </w:pPr>
      <w:r w:rsidRPr="00101936">
        <w:rPr>
          <w:rFonts w:asciiTheme="majorHAnsi" w:hAnsiTheme="majorHAnsi" w:cstheme="majorHAnsi"/>
          <w:b/>
          <w:bCs/>
          <w:sz w:val="19"/>
          <w:szCs w:val="19"/>
        </w:rPr>
        <w:t xml:space="preserve">Figure B3. </w:t>
      </w:r>
      <w:r w:rsidRPr="00101936">
        <w:rPr>
          <w:rFonts w:asciiTheme="majorHAnsi" w:hAnsiTheme="majorHAnsi" w:cstheme="majorHAnsi"/>
          <w:sz w:val="19"/>
          <w:szCs w:val="19"/>
        </w:rPr>
        <w:t>Yield on margin loans and on deposits and bonds held to maturity, against the estimated cost of funds</w:t>
      </w:r>
      <w:r w:rsidRPr="00101936">
        <w:rPr>
          <w:rFonts w:asciiTheme="majorHAnsi" w:hAnsiTheme="majorHAnsi" w:cstheme="majorHAnsi"/>
        </w:rPr>
        <w:br/>
      </w:r>
      <w:r w:rsidRPr="00101936">
        <w:rPr>
          <w:rFonts w:asciiTheme="majorHAnsi" w:hAnsiTheme="majorHAnsi" w:cstheme="majorHAnsi"/>
          <w:sz w:val="17"/>
          <w:szCs w:val="17"/>
        </w:rPr>
        <w:t>Source: DNSE filings; authors' calculations.</w:t>
      </w:r>
    </w:p>
    <w:p w14:paraId="6AFB6E0E" w14:textId="77777777" w:rsidR="00CF7FD3" w:rsidRPr="00101936" w:rsidRDefault="00000000" w:rsidP="001B3A39">
      <w:pPr>
        <w:keepNext/>
        <w:spacing w:before="120" w:after="60"/>
        <w:jc w:val="center"/>
        <w:rPr>
          <w:rFonts w:asciiTheme="majorHAnsi" w:hAnsiTheme="majorHAnsi" w:cstheme="majorHAnsi"/>
        </w:rPr>
      </w:pPr>
      <w:r w:rsidRPr="00101936">
        <w:rPr>
          <w:rFonts w:asciiTheme="majorHAnsi" w:hAnsiTheme="majorHAnsi" w:cstheme="majorHAnsi"/>
          <w:noProof/>
        </w:rPr>
        <w:lastRenderedPageBreak/>
        <w:drawing>
          <wp:inline distT="0" distB="0" distL="0" distR="0" wp14:anchorId="7624E091" wp14:editId="7FC816AE">
            <wp:extent cx="5124450" cy="2743200"/>
            <wp:effectExtent l="0" t="0" r="0" b="0"/>
            <wp:docPr id="432008543" name="Figure B4." descr="Composition of DNSE total assets" title="Figure 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24450" cy="2743200"/>
                    </a:xfrm>
                    <a:prstGeom prst="rect">
                      <a:avLst/>
                    </a:prstGeom>
                  </pic:spPr>
                </pic:pic>
              </a:graphicData>
            </a:graphic>
          </wp:inline>
        </w:drawing>
      </w:r>
    </w:p>
    <w:p w14:paraId="4ABA0C84" w14:textId="77777777" w:rsidR="00CF7FD3" w:rsidRPr="00101936" w:rsidRDefault="00000000" w:rsidP="001B3A39">
      <w:pPr>
        <w:spacing w:after="200"/>
        <w:jc w:val="center"/>
        <w:rPr>
          <w:rFonts w:asciiTheme="majorHAnsi" w:hAnsiTheme="majorHAnsi" w:cstheme="majorHAnsi"/>
        </w:rPr>
      </w:pPr>
      <w:r w:rsidRPr="00101936">
        <w:rPr>
          <w:rFonts w:asciiTheme="majorHAnsi" w:hAnsiTheme="majorHAnsi" w:cstheme="majorHAnsi"/>
          <w:b/>
          <w:bCs/>
          <w:sz w:val="19"/>
          <w:szCs w:val="19"/>
        </w:rPr>
        <w:t xml:space="preserve">Figure B4. </w:t>
      </w:r>
      <w:r w:rsidRPr="00101936">
        <w:rPr>
          <w:rFonts w:asciiTheme="majorHAnsi" w:hAnsiTheme="majorHAnsi" w:cstheme="majorHAnsi"/>
          <w:sz w:val="19"/>
          <w:szCs w:val="19"/>
        </w:rPr>
        <w:t>Composition of DNSE total assets</w:t>
      </w:r>
      <w:r w:rsidRPr="00101936">
        <w:rPr>
          <w:rFonts w:asciiTheme="majorHAnsi" w:hAnsiTheme="majorHAnsi" w:cstheme="majorHAnsi"/>
        </w:rPr>
        <w:br/>
      </w:r>
      <w:r w:rsidRPr="00101936">
        <w:rPr>
          <w:rFonts w:asciiTheme="majorHAnsi" w:hAnsiTheme="majorHAnsi" w:cstheme="majorHAnsi"/>
          <w:sz w:val="17"/>
          <w:szCs w:val="17"/>
        </w:rPr>
        <w:t>Source: DNSE filings.</w:t>
      </w:r>
    </w:p>
    <w:p w14:paraId="5E7F007D" w14:textId="77777777" w:rsidR="00CF7FD3" w:rsidRPr="00101936" w:rsidRDefault="00000000" w:rsidP="00101936">
      <w:pPr>
        <w:pStyle w:val="Heading2"/>
        <w:keepNext/>
        <w:keepLines/>
        <w:jc w:val="both"/>
        <w:rPr>
          <w:rFonts w:asciiTheme="majorHAnsi" w:hAnsiTheme="majorHAnsi" w:cstheme="majorHAnsi"/>
        </w:rPr>
      </w:pPr>
      <w:r w:rsidRPr="00101936">
        <w:rPr>
          <w:rFonts w:asciiTheme="majorHAnsi" w:hAnsiTheme="majorHAnsi" w:cstheme="majorHAnsi"/>
        </w:rPr>
        <w:t>Appendix C. Market and peer data</w:t>
      </w:r>
    </w:p>
    <w:p w14:paraId="4942A1C3" w14:textId="77777777" w:rsidR="00CF7FD3" w:rsidRPr="00101936" w:rsidRDefault="00000000" w:rsidP="001B3A39">
      <w:pPr>
        <w:keepNext/>
        <w:spacing w:before="160" w:after="80"/>
        <w:jc w:val="center"/>
        <w:rPr>
          <w:rFonts w:asciiTheme="majorHAnsi" w:hAnsiTheme="majorHAnsi" w:cstheme="majorHAnsi"/>
        </w:rPr>
      </w:pPr>
      <w:r w:rsidRPr="00101936">
        <w:rPr>
          <w:rFonts w:asciiTheme="majorHAnsi" w:hAnsiTheme="majorHAnsi" w:cstheme="majorHAnsi"/>
          <w:b/>
          <w:bCs/>
          <w:sz w:val="19"/>
          <w:szCs w:val="19"/>
        </w:rPr>
        <w:t xml:space="preserve">Table C1. </w:t>
      </w:r>
      <w:r w:rsidRPr="00101936">
        <w:rPr>
          <w:rFonts w:asciiTheme="majorHAnsi" w:hAnsiTheme="majorHAnsi" w:cstheme="majorHAnsi"/>
          <w:sz w:val="19"/>
          <w:szCs w:val="19"/>
        </w:rPr>
        <w:t>DNSE's position on eight measures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700"/>
        <w:gridCol w:w="1700"/>
        <w:gridCol w:w="1400"/>
        <w:gridCol w:w="1612"/>
      </w:tblGrid>
      <w:tr w:rsidR="00CF7FD3" w:rsidRPr="00101936" w14:paraId="4166B508" w14:textId="77777777">
        <w:tblPrEx>
          <w:tblCellMar>
            <w:top w:w="0" w:type="dxa"/>
            <w:bottom w:w="0" w:type="dxa"/>
          </w:tblCellMar>
        </w:tblPrEx>
        <w:trPr>
          <w:cantSplit/>
          <w:tblHeader/>
        </w:trPr>
        <w:tc>
          <w:tcPr>
            <w:tcW w:w="30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1C44945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Measure</w:t>
            </w:r>
          </w:p>
        </w:tc>
        <w:tc>
          <w:tcPr>
            <w:tcW w:w="17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0DFB0FD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DNSE</w:t>
            </w:r>
          </w:p>
        </w:tc>
        <w:tc>
          <w:tcPr>
            <w:tcW w:w="17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739C77B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Market total</w:t>
            </w:r>
          </w:p>
        </w:tc>
        <w:tc>
          <w:tcPr>
            <w:tcW w:w="14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54A9669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DNSE share, %</w:t>
            </w:r>
          </w:p>
        </w:tc>
        <w:tc>
          <w:tcPr>
            <w:tcW w:w="1612"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01D0C6C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Ratio to account share</w:t>
            </w:r>
          </w:p>
        </w:tc>
      </w:tr>
      <w:tr w:rsidR="00CF7FD3" w:rsidRPr="00101936" w14:paraId="24B9734D" w14:textId="77777777">
        <w:tblPrEx>
          <w:tblCellMar>
            <w:top w:w="0" w:type="dxa"/>
            <w:bottom w:w="0" w:type="dxa"/>
          </w:tblCellMar>
        </w:tblPrEx>
        <w:trPr>
          <w:cantSplit/>
        </w:trPr>
        <w:tc>
          <w:tcPr>
            <w:tcW w:w="3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C3BCD9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Securities accounts, mid-2026</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D4B415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1.70 million</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B15BF5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13.85 million</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C5AD45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12.27</w:t>
            </w:r>
          </w:p>
        </w:tc>
        <w:tc>
          <w:tcPr>
            <w:tcW w:w="16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391A02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1.00</w:t>
            </w:r>
          </w:p>
        </w:tc>
      </w:tr>
      <w:tr w:rsidR="00CF7FD3" w:rsidRPr="00101936" w14:paraId="3C7BB769" w14:textId="77777777">
        <w:tblPrEx>
          <w:tblCellMar>
            <w:top w:w="0" w:type="dxa"/>
            <w:bottom w:w="0" w:type="dxa"/>
          </w:tblCellMar>
        </w:tblPrEx>
        <w:trPr>
          <w:cantSplit/>
        </w:trPr>
        <w:tc>
          <w:tcPr>
            <w:tcW w:w="3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9890BD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New accounts, 2025</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99914A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518,514</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0B9E56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2,573,945</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6A30DC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20.14</w:t>
            </w:r>
          </w:p>
        </w:tc>
        <w:tc>
          <w:tcPr>
            <w:tcW w:w="16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854E90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1.64</w:t>
            </w:r>
          </w:p>
        </w:tc>
      </w:tr>
      <w:tr w:rsidR="00CF7FD3" w:rsidRPr="00101936" w14:paraId="22D6CFDC" w14:textId="77777777">
        <w:tblPrEx>
          <w:tblCellMar>
            <w:top w:w="0" w:type="dxa"/>
            <w:bottom w:w="0" w:type="dxa"/>
          </w:tblCellMar>
        </w:tblPrEx>
        <w:trPr>
          <w:cantSplit/>
        </w:trPr>
        <w:tc>
          <w:tcPr>
            <w:tcW w:w="3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1380E2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Derivatives brokerage, Q2 2026</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E832A2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2nd place</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8F436E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HNX</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BEA88D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25.38</w:t>
            </w:r>
          </w:p>
        </w:tc>
        <w:tc>
          <w:tcPr>
            <w:tcW w:w="16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F8F986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2.07</w:t>
            </w:r>
          </w:p>
        </w:tc>
      </w:tr>
      <w:tr w:rsidR="00CF7FD3" w:rsidRPr="00101936" w14:paraId="731CA9B7" w14:textId="77777777">
        <w:tblPrEx>
          <w:tblCellMar>
            <w:top w:w="0" w:type="dxa"/>
            <w:bottom w:w="0" w:type="dxa"/>
          </w:tblCellMar>
        </w:tblPrEx>
        <w:trPr>
          <w:cantSplit/>
        </w:trPr>
        <w:tc>
          <w:tcPr>
            <w:tcW w:w="3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5F0EAF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Listed-share brokerage on HNX, Q2 2026</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673AB0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8th place</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E73F69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HNX</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1C7E5A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2.88</w:t>
            </w:r>
          </w:p>
        </w:tc>
        <w:tc>
          <w:tcPr>
            <w:tcW w:w="16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CC23FF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0.23</w:t>
            </w:r>
          </w:p>
        </w:tc>
      </w:tr>
      <w:tr w:rsidR="00CF7FD3" w:rsidRPr="00101936" w14:paraId="27E2DDF3" w14:textId="77777777">
        <w:tblPrEx>
          <w:tblCellMar>
            <w:top w:w="0" w:type="dxa"/>
            <w:bottom w:w="0" w:type="dxa"/>
          </w:tblCellMar>
        </w:tblPrEx>
        <w:trPr>
          <w:cantSplit/>
        </w:trPr>
        <w:tc>
          <w:tcPr>
            <w:tcW w:w="3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DA7D13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Cash equity trading, Q2 2026 (estimate)</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A12B91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VND 62.9 trillion</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B53C6C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all exchanges</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7FE94B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2.1 to 2.6</w:t>
            </w:r>
          </w:p>
        </w:tc>
        <w:tc>
          <w:tcPr>
            <w:tcW w:w="16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C9B2B8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0.17 to 0.21</w:t>
            </w:r>
          </w:p>
        </w:tc>
      </w:tr>
      <w:tr w:rsidR="00CF7FD3" w:rsidRPr="00101936" w14:paraId="6C6DF386" w14:textId="77777777">
        <w:tblPrEx>
          <w:tblCellMar>
            <w:top w:w="0" w:type="dxa"/>
            <w:bottom w:w="0" w:type="dxa"/>
          </w:tblCellMar>
        </w:tblPrEx>
        <w:trPr>
          <w:cantSplit/>
        </w:trPr>
        <w:tc>
          <w:tcPr>
            <w:tcW w:w="3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569745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Investor cash at brokers, 30 June 2026</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9A0146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VND 1,961 billion</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D3A959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VND 86.6 trillion</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B8ABA3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2.26</w:t>
            </w:r>
          </w:p>
        </w:tc>
        <w:tc>
          <w:tcPr>
            <w:tcW w:w="16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416DEC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0.18</w:t>
            </w:r>
          </w:p>
        </w:tc>
      </w:tr>
      <w:tr w:rsidR="00CF7FD3" w:rsidRPr="00101936" w14:paraId="520B4E32" w14:textId="77777777">
        <w:tblPrEx>
          <w:tblCellMar>
            <w:top w:w="0" w:type="dxa"/>
            <w:bottom w:w="0" w:type="dxa"/>
          </w:tblCellMar>
        </w:tblPrEx>
        <w:trPr>
          <w:cantSplit/>
        </w:trPr>
        <w:tc>
          <w:tcPr>
            <w:tcW w:w="3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1245D7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Margin lending, 30 June 2026</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B221C0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VND 6,303 billion</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69B3B0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VND 453.8 trillion</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C342B6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1.39</w:t>
            </w:r>
          </w:p>
        </w:tc>
        <w:tc>
          <w:tcPr>
            <w:tcW w:w="16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872AAB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0.11</w:t>
            </w:r>
          </w:p>
        </w:tc>
      </w:tr>
      <w:tr w:rsidR="00CF7FD3" w:rsidRPr="00101936" w14:paraId="5B03F895" w14:textId="77777777">
        <w:tblPrEx>
          <w:tblCellMar>
            <w:top w:w="0" w:type="dxa"/>
            <w:bottom w:w="0" w:type="dxa"/>
          </w:tblCellMar>
        </w:tblPrEx>
        <w:trPr>
          <w:cantSplit/>
        </w:trPr>
        <w:tc>
          <w:tcPr>
            <w:tcW w:w="3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6C3C4B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Pre-tax profit, Q2 2026</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F5E26D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VND 97.4 billion</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A053D8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VND 15,200 billion</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616571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0.64</w:t>
            </w:r>
          </w:p>
        </w:tc>
        <w:tc>
          <w:tcPr>
            <w:tcW w:w="16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216AD5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0.05</w:t>
            </w:r>
          </w:p>
        </w:tc>
      </w:tr>
    </w:tbl>
    <w:p w14:paraId="42644525" w14:textId="77777777" w:rsidR="00CF7FD3" w:rsidRPr="00101936" w:rsidRDefault="00000000" w:rsidP="00101936">
      <w:pPr>
        <w:spacing w:before="60" w:after="200"/>
        <w:jc w:val="both"/>
        <w:rPr>
          <w:rFonts w:asciiTheme="majorHAnsi" w:hAnsiTheme="majorHAnsi" w:cstheme="majorHAnsi"/>
        </w:rPr>
      </w:pPr>
      <w:r w:rsidRPr="00101936">
        <w:rPr>
          <w:rFonts w:asciiTheme="majorHAnsi" w:hAnsiTheme="majorHAnsi" w:cstheme="majorHAnsi"/>
          <w:sz w:val="17"/>
          <w:szCs w:val="17"/>
        </w:rPr>
        <w:t>Source: VnExpress (2026a); DNSE Securities (2026c); Vietstock (2026c); CafeF (2026); VnEconomy (2026); Hanoi Stock Exchange (2026); DNSE filings; authors' calculations. The trading estimate divides the value of shares DNSE's customers traded by twice the value traded on HOSE plus 7 per cent for HNX and UPCoM.</w:t>
      </w:r>
    </w:p>
    <w:p w14:paraId="1BBD6E31" w14:textId="77777777" w:rsidR="00CF7FD3" w:rsidRPr="00101936" w:rsidRDefault="00000000" w:rsidP="001B3A39">
      <w:pPr>
        <w:keepNext/>
        <w:spacing w:before="160" w:after="80"/>
        <w:jc w:val="center"/>
        <w:rPr>
          <w:rFonts w:asciiTheme="majorHAnsi" w:hAnsiTheme="majorHAnsi" w:cstheme="majorHAnsi"/>
        </w:rPr>
      </w:pPr>
      <w:r w:rsidRPr="00101936">
        <w:rPr>
          <w:rFonts w:asciiTheme="majorHAnsi" w:hAnsiTheme="majorHAnsi" w:cstheme="majorHAnsi"/>
          <w:b/>
          <w:bCs/>
          <w:sz w:val="19"/>
          <w:szCs w:val="19"/>
        </w:rPr>
        <w:t xml:space="preserve">Table C2. </w:t>
      </w:r>
      <w:r w:rsidRPr="00101936">
        <w:rPr>
          <w:rFonts w:asciiTheme="majorHAnsi" w:hAnsiTheme="majorHAnsi" w:cstheme="majorHAnsi"/>
          <w:sz w:val="19"/>
          <w:szCs w:val="19"/>
        </w:rPr>
        <w:t>DNSE against named peers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12"/>
        <w:gridCol w:w="1400"/>
        <w:gridCol w:w="1400"/>
        <w:gridCol w:w="1400"/>
        <w:gridCol w:w="1400"/>
      </w:tblGrid>
      <w:tr w:rsidR="00CF7FD3" w:rsidRPr="00101936" w14:paraId="38150499" w14:textId="77777777">
        <w:tblPrEx>
          <w:tblCellMar>
            <w:top w:w="0" w:type="dxa"/>
            <w:bottom w:w="0" w:type="dxa"/>
          </w:tblCellMar>
        </w:tblPrEx>
        <w:trPr>
          <w:cantSplit/>
          <w:tblHeader/>
        </w:trPr>
        <w:tc>
          <w:tcPr>
            <w:tcW w:w="3812"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4D3907C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Indicator</w:t>
            </w:r>
          </w:p>
        </w:tc>
        <w:tc>
          <w:tcPr>
            <w:tcW w:w="14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1FECE73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DNSE</w:t>
            </w:r>
          </w:p>
        </w:tc>
        <w:tc>
          <w:tcPr>
            <w:tcW w:w="14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5E6EF51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VPBankS</w:t>
            </w:r>
          </w:p>
        </w:tc>
        <w:tc>
          <w:tcPr>
            <w:tcW w:w="14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61BDFBA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TCBS</w:t>
            </w:r>
          </w:p>
        </w:tc>
        <w:tc>
          <w:tcPr>
            <w:tcW w:w="14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506B1BC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VPS</w:t>
            </w:r>
          </w:p>
        </w:tc>
      </w:tr>
      <w:tr w:rsidR="00CF7FD3" w:rsidRPr="00101936" w14:paraId="10663A38" w14:textId="77777777">
        <w:tblPrEx>
          <w:tblCellMar>
            <w:top w:w="0" w:type="dxa"/>
            <w:bottom w:w="0" w:type="dxa"/>
          </w:tblCellMar>
        </w:tblPrEx>
        <w:trPr>
          <w:cantSplit/>
        </w:trPr>
        <w:tc>
          <w:tcPr>
            <w:tcW w:w="38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95E259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Customer accounts, million</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BD5F58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1.70</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A39927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1.30</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DB599B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1.20</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AD6757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1.55</w:t>
            </w:r>
          </w:p>
        </w:tc>
      </w:tr>
      <w:tr w:rsidR="00CF7FD3" w:rsidRPr="00101936" w14:paraId="566DC19E" w14:textId="77777777">
        <w:tblPrEx>
          <w:tblCellMar>
            <w:top w:w="0" w:type="dxa"/>
            <w:bottom w:w="0" w:type="dxa"/>
          </w:tblCellMar>
        </w:tblPrEx>
        <w:trPr>
          <w:cantSplit/>
        </w:trPr>
        <w:tc>
          <w:tcPr>
            <w:tcW w:w="38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CD428E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Margin lending, 30 June 2026, VND bn</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232B08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6,303</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DAA761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38,200</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F805A4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51,500</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A13D8B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31,300</w:t>
            </w:r>
          </w:p>
        </w:tc>
      </w:tr>
      <w:tr w:rsidR="00CF7FD3" w:rsidRPr="00101936" w14:paraId="2758450D" w14:textId="77777777">
        <w:tblPrEx>
          <w:tblCellMar>
            <w:top w:w="0" w:type="dxa"/>
            <w:bottom w:w="0" w:type="dxa"/>
          </w:tblCellMar>
        </w:tblPrEx>
        <w:trPr>
          <w:cantSplit/>
        </w:trPr>
        <w:tc>
          <w:tcPr>
            <w:tcW w:w="38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BA99BC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Lending per account, VND million</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4C9B87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3.7</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9B5CC2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29.4</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E64B1E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42.9</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808DEC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20.2</w:t>
            </w:r>
          </w:p>
        </w:tc>
      </w:tr>
      <w:tr w:rsidR="00CF7FD3" w:rsidRPr="00101936" w14:paraId="23588D53" w14:textId="77777777">
        <w:tblPrEx>
          <w:tblCellMar>
            <w:top w:w="0" w:type="dxa"/>
            <w:bottom w:w="0" w:type="dxa"/>
          </w:tblCellMar>
        </w:tblPrEx>
        <w:trPr>
          <w:cantSplit/>
        </w:trPr>
        <w:tc>
          <w:tcPr>
            <w:tcW w:w="38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05DD0C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Pre-tax profit per account, Q2 2026, VND thousand</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A1E251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57</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18217A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1,661</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6D18B2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1,748</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FD32C5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891</w:t>
            </w:r>
          </w:p>
        </w:tc>
      </w:tr>
      <w:tr w:rsidR="00CF7FD3" w:rsidRPr="00101936" w14:paraId="5270D118" w14:textId="77777777">
        <w:tblPrEx>
          <w:tblCellMar>
            <w:top w:w="0" w:type="dxa"/>
            <w:bottom w:w="0" w:type="dxa"/>
          </w:tblCellMar>
        </w:tblPrEx>
        <w:trPr>
          <w:cantSplit/>
        </w:trPr>
        <w:tc>
          <w:tcPr>
            <w:tcW w:w="38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73277D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Deposits and bonds held to maturity, % of assets</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62BCF3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37.6</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9B94A9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6.5</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46F8C5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4.6</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668181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4.3</w:t>
            </w:r>
          </w:p>
        </w:tc>
      </w:tr>
      <w:tr w:rsidR="00CF7FD3" w:rsidRPr="00101936" w14:paraId="2CF727CA" w14:textId="77777777">
        <w:tblPrEx>
          <w:tblCellMar>
            <w:top w:w="0" w:type="dxa"/>
            <w:bottom w:w="0" w:type="dxa"/>
          </w:tblCellMar>
        </w:tblPrEx>
        <w:trPr>
          <w:cantSplit/>
        </w:trPr>
        <w:tc>
          <w:tcPr>
            <w:tcW w:w="38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D125C0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Estimated cost of funds, Q2 2026, %</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461A8B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6.5</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191B64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6.8</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E0B17D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7.8</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A9F511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5.1</w:t>
            </w:r>
          </w:p>
        </w:tc>
      </w:tr>
      <w:tr w:rsidR="00CF7FD3" w:rsidRPr="00101936" w14:paraId="390481FA" w14:textId="77777777">
        <w:tblPrEx>
          <w:tblCellMar>
            <w:top w:w="0" w:type="dxa"/>
            <w:bottom w:w="0" w:type="dxa"/>
          </w:tblCellMar>
        </w:tblPrEx>
        <w:trPr>
          <w:cantSplit/>
        </w:trPr>
        <w:tc>
          <w:tcPr>
            <w:tcW w:w="38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0BE45F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Parent bank</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E8E65C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none</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7E254D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VPBank</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0DE5B2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Techcombank</w:t>
            </w:r>
          </w:p>
        </w:tc>
        <w:tc>
          <w:tcPr>
            <w:tcW w:w="1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D5BE24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none</w:t>
            </w:r>
          </w:p>
        </w:tc>
      </w:tr>
    </w:tbl>
    <w:p w14:paraId="7CFB38E5" w14:textId="77777777" w:rsidR="00CF7FD3" w:rsidRPr="00101936" w:rsidRDefault="00000000" w:rsidP="00101936">
      <w:pPr>
        <w:spacing w:before="60" w:after="200"/>
        <w:jc w:val="both"/>
        <w:rPr>
          <w:rFonts w:asciiTheme="majorHAnsi" w:hAnsiTheme="majorHAnsi" w:cstheme="majorHAnsi"/>
        </w:rPr>
      </w:pPr>
      <w:r w:rsidRPr="00101936">
        <w:rPr>
          <w:rFonts w:asciiTheme="majorHAnsi" w:hAnsiTheme="majorHAnsi" w:cstheme="majorHAnsi"/>
          <w:sz w:val="17"/>
          <w:szCs w:val="17"/>
        </w:rPr>
        <w:t>Source: filed statements via Vietcap Securities (2026); company releases for account counts (VPBankS May 2026; TCBS end-2025; VPS September 2025); Vietstock (2026c); authors' calculations. Per-account values are averages that large clients raise at every firm. SSI, with no parent bank, holds 8.6 per cent of assets in deposits and bonds and has a cost of funds of 6.1 per cent.</w:t>
      </w:r>
    </w:p>
    <w:p w14:paraId="4CC2AAAB" w14:textId="77777777" w:rsidR="00CF7FD3" w:rsidRPr="00101936" w:rsidRDefault="00000000" w:rsidP="001B3A39">
      <w:pPr>
        <w:keepNext/>
        <w:spacing w:before="160" w:after="80"/>
        <w:jc w:val="center"/>
        <w:rPr>
          <w:rFonts w:asciiTheme="majorHAnsi" w:hAnsiTheme="majorHAnsi" w:cstheme="majorHAnsi"/>
        </w:rPr>
      </w:pPr>
      <w:r w:rsidRPr="00101936">
        <w:rPr>
          <w:rFonts w:asciiTheme="majorHAnsi" w:hAnsiTheme="majorHAnsi" w:cstheme="majorHAnsi"/>
          <w:b/>
          <w:bCs/>
          <w:sz w:val="19"/>
          <w:szCs w:val="19"/>
        </w:rPr>
        <w:lastRenderedPageBreak/>
        <w:t xml:space="preserve">Table C3. </w:t>
      </w:r>
      <w:r w:rsidRPr="00101936">
        <w:rPr>
          <w:rFonts w:asciiTheme="majorHAnsi" w:hAnsiTheme="majorHAnsi" w:cstheme="majorHAnsi"/>
          <w:sz w:val="19"/>
          <w:szCs w:val="19"/>
        </w:rPr>
        <w:t>Competitive landscape of Vietnamese retail brokerage and savings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500"/>
        <w:gridCol w:w="1800"/>
        <w:gridCol w:w="2000"/>
        <w:gridCol w:w="2212"/>
      </w:tblGrid>
      <w:tr w:rsidR="00CF7FD3" w:rsidRPr="00101936" w14:paraId="6C9AAF7E" w14:textId="77777777">
        <w:tblPrEx>
          <w:tblCellMar>
            <w:top w:w="0" w:type="dxa"/>
            <w:bottom w:w="0" w:type="dxa"/>
          </w:tblCellMar>
        </w:tblPrEx>
        <w:trPr>
          <w:cantSplit/>
          <w:tblHeader/>
        </w:trPr>
        <w:tc>
          <w:tcPr>
            <w:tcW w:w="19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60" w:type="dxa"/>
              <w:bottom w:w="45" w:type="dxa"/>
              <w:right w:w="60" w:type="dxa"/>
            </w:tcMar>
            <w:vAlign w:val="center"/>
          </w:tcPr>
          <w:p w14:paraId="631A372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5"/>
                <w:szCs w:val="15"/>
              </w:rPr>
              <w:t>Model</w:t>
            </w:r>
          </w:p>
        </w:tc>
        <w:tc>
          <w:tcPr>
            <w:tcW w:w="15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60" w:type="dxa"/>
              <w:bottom w:w="45" w:type="dxa"/>
              <w:right w:w="60" w:type="dxa"/>
            </w:tcMar>
            <w:vAlign w:val="center"/>
          </w:tcPr>
          <w:p w14:paraId="7FC3265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5"/>
                <w:szCs w:val="15"/>
              </w:rPr>
              <w:t>Examples</w:t>
            </w:r>
          </w:p>
        </w:tc>
        <w:tc>
          <w:tcPr>
            <w:tcW w:w="18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60" w:type="dxa"/>
              <w:bottom w:w="45" w:type="dxa"/>
              <w:right w:w="60" w:type="dxa"/>
            </w:tcMar>
            <w:vAlign w:val="center"/>
          </w:tcPr>
          <w:p w14:paraId="7CA1C60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5"/>
                <w:szCs w:val="15"/>
              </w:rPr>
              <w:t>How it earns</w:t>
            </w:r>
          </w:p>
        </w:tc>
        <w:tc>
          <w:tcPr>
            <w:tcW w:w="20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60" w:type="dxa"/>
              <w:bottom w:w="45" w:type="dxa"/>
              <w:right w:w="60" w:type="dxa"/>
            </w:tcMar>
            <w:vAlign w:val="center"/>
          </w:tcPr>
          <w:p w14:paraId="65368A8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5"/>
                <w:szCs w:val="15"/>
              </w:rPr>
              <w:t>Strength</w:t>
            </w:r>
          </w:p>
        </w:tc>
        <w:tc>
          <w:tcPr>
            <w:tcW w:w="2212" w:type="dxa"/>
            <w:tcBorders>
              <w:top w:val="single" w:sz="4" w:space="0" w:color="8C8C8C"/>
              <w:left w:val="single" w:sz="4" w:space="0" w:color="8C8C8C"/>
              <w:bottom w:val="single" w:sz="4" w:space="0" w:color="8C8C8C"/>
              <w:right w:val="single" w:sz="4" w:space="0" w:color="8C8C8C"/>
            </w:tcBorders>
            <w:shd w:val="clear" w:color="auto" w:fill="E6E6E6"/>
            <w:tcMar>
              <w:top w:w="45" w:type="dxa"/>
              <w:left w:w="60" w:type="dxa"/>
              <w:bottom w:w="45" w:type="dxa"/>
              <w:right w:w="60" w:type="dxa"/>
            </w:tcMar>
            <w:vAlign w:val="center"/>
          </w:tcPr>
          <w:p w14:paraId="786C44D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5"/>
                <w:szCs w:val="15"/>
              </w:rPr>
              <w:t>Gap for salaried savers</w:t>
            </w:r>
          </w:p>
        </w:tc>
      </w:tr>
      <w:tr w:rsidR="00CF7FD3" w:rsidRPr="00101936" w14:paraId="08AE75B2"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054B737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Bank-affiliated brokers</w:t>
            </w:r>
          </w:p>
        </w:tc>
        <w:tc>
          <w:tcPr>
            <w:tcW w:w="15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3A99EF2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TCBS, VPBankS, MBS</w:t>
            </w:r>
          </w:p>
        </w:tc>
        <w:tc>
          <w:tcPr>
            <w:tcW w:w="18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3E78913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Margin lending, bond distribution</w:t>
            </w:r>
          </w:p>
        </w:tc>
        <w:tc>
          <w:tcPr>
            <w:tcW w:w="20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3267FA5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Cheap funding, capital, parent-bank customers and trust</w:t>
            </w:r>
          </w:p>
        </w:tc>
        <w:tc>
          <w:tcPr>
            <w:tcW w:w="2212"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59FAE19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Serve mainly their parents' customers; TCBS iPower pays interest only above VND 5 million</w:t>
            </w:r>
          </w:p>
        </w:tc>
      </w:tr>
      <w:tr w:rsidR="00CF7FD3" w:rsidRPr="00101936" w14:paraId="7D79A824"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27E5D47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Independent full-service brokers</w:t>
            </w:r>
          </w:p>
        </w:tc>
        <w:tc>
          <w:tcPr>
            <w:tcW w:w="15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3715299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SSI, HSC, Vietcap</w:t>
            </w:r>
          </w:p>
        </w:tc>
        <w:tc>
          <w:tcPr>
            <w:tcW w:w="18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41E9FE9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Margin, institutional brokerage, advisory</w:t>
            </w:r>
          </w:p>
        </w:tc>
        <w:tc>
          <w:tcPr>
            <w:tcW w:w="20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48D9CF0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Research, brand, human brokers</w:t>
            </w:r>
          </w:p>
        </w:tc>
        <w:tc>
          <w:tcPr>
            <w:tcW w:w="2212"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66E86BB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Costly to serve small savers</w:t>
            </w:r>
          </w:p>
        </w:tc>
      </w:tr>
      <w:tr w:rsidR="00CF7FD3" w:rsidRPr="00101936" w14:paraId="0A1ADAF0"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3F346AA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Retail trading platforms</w:t>
            </w:r>
          </w:p>
        </w:tc>
        <w:tc>
          <w:tcPr>
            <w:tcW w:w="15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58EC995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VPS</w:t>
            </w:r>
          </w:p>
        </w:tc>
        <w:tc>
          <w:tcPr>
            <w:tcW w:w="18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07C4083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Retail and derivatives brokerage, margin</w:t>
            </w:r>
          </w:p>
        </w:tc>
        <w:tc>
          <w:tcPr>
            <w:tcW w:w="20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067CA6E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Largest retail share</w:t>
            </w:r>
          </w:p>
        </w:tc>
        <w:tc>
          <w:tcPr>
            <w:tcW w:w="2212"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771C0C9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Trading-first; no link from a salary</w:t>
            </w:r>
          </w:p>
        </w:tc>
      </w:tr>
      <w:tr w:rsidR="00CF7FD3" w:rsidRPr="00101936" w14:paraId="0181DBA3"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434DEEF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Zero-fee digital brokers</w:t>
            </w:r>
          </w:p>
        </w:tc>
        <w:tc>
          <w:tcPr>
            <w:tcW w:w="15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1FD497E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DNSE, Pinetree</w:t>
            </w:r>
          </w:p>
        </w:tc>
        <w:tc>
          <w:tcPr>
            <w:tcW w:w="18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39D33DA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Margin, derivatives</w:t>
            </w:r>
          </w:p>
        </w:tc>
        <w:tc>
          <w:tcPr>
            <w:tcW w:w="20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77F1CC6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Low cost, fast technology, young customers</w:t>
            </w:r>
          </w:p>
        </w:tc>
        <w:tc>
          <w:tcPr>
            <w:tcW w:w="2212"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123B218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Small balances; no regular-saving product</w:t>
            </w:r>
          </w:p>
        </w:tc>
      </w:tr>
      <w:tr w:rsidR="00CF7FD3" w:rsidRPr="00101936" w14:paraId="3946D0AE"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6DD3BA6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Banks' automatic-earning accounts</w:t>
            </w:r>
          </w:p>
        </w:tc>
        <w:tc>
          <w:tcPr>
            <w:tcW w:w="15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6EA2F87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Large commercial banks</w:t>
            </w:r>
          </w:p>
        </w:tc>
        <w:tc>
          <w:tcPr>
            <w:tcW w:w="18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7D235DD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Deposit spread</w:t>
            </w:r>
          </w:p>
        </w:tc>
        <w:tc>
          <w:tcPr>
            <w:tcW w:w="20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50D34B1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Salary accounts, trust</w:t>
            </w:r>
          </w:p>
        </w:tc>
        <w:tc>
          <w:tcPr>
            <w:tcW w:w="2212"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54F43FF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Little choice beyond deposits</w:t>
            </w:r>
          </w:p>
        </w:tc>
      </w:tr>
    </w:tbl>
    <w:p w14:paraId="6CC076E7" w14:textId="77777777" w:rsidR="00CF7FD3" w:rsidRPr="00101936" w:rsidRDefault="00000000" w:rsidP="00101936">
      <w:pPr>
        <w:spacing w:before="60" w:after="200"/>
        <w:jc w:val="both"/>
        <w:rPr>
          <w:rFonts w:asciiTheme="majorHAnsi" w:hAnsiTheme="majorHAnsi" w:cstheme="majorHAnsi"/>
        </w:rPr>
      </w:pPr>
      <w:r w:rsidRPr="00101936">
        <w:rPr>
          <w:rFonts w:asciiTheme="majorHAnsi" w:hAnsiTheme="majorHAnsi" w:cstheme="majorHAnsi"/>
          <w:sz w:val="17"/>
          <w:szCs w:val="17"/>
        </w:rPr>
        <w:t>Source: company statements and product pages; TCBS (2026); Vietstock (2026b); authors' assessment.</w:t>
      </w:r>
    </w:p>
    <w:p w14:paraId="2E9E7800" w14:textId="77777777" w:rsidR="00CF7FD3" w:rsidRPr="00101936" w:rsidRDefault="00000000" w:rsidP="001B3A39">
      <w:pPr>
        <w:keepNext/>
        <w:spacing w:before="120" w:after="60"/>
        <w:jc w:val="center"/>
        <w:rPr>
          <w:rFonts w:asciiTheme="majorHAnsi" w:hAnsiTheme="majorHAnsi" w:cstheme="majorHAnsi"/>
        </w:rPr>
      </w:pPr>
      <w:r w:rsidRPr="00101936">
        <w:rPr>
          <w:rFonts w:asciiTheme="majorHAnsi" w:hAnsiTheme="majorHAnsi" w:cstheme="majorHAnsi"/>
          <w:noProof/>
        </w:rPr>
        <w:drawing>
          <wp:inline distT="0" distB="0" distL="0" distR="0" wp14:anchorId="3A1B02BA" wp14:editId="39447A9A">
            <wp:extent cx="5391150" cy="2305050"/>
            <wp:effectExtent l="0" t="0" r="0" b="0"/>
            <wp:docPr id="1402812895" name="Figure C1." descr="Lending and profit per customer account, DNSE against VPS, VPBankS and TCBS" title="Figure 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91150" cy="2305050"/>
                    </a:xfrm>
                    <a:prstGeom prst="rect">
                      <a:avLst/>
                    </a:prstGeom>
                  </pic:spPr>
                </pic:pic>
              </a:graphicData>
            </a:graphic>
          </wp:inline>
        </w:drawing>
      </w:r>
    </w:p>
    <w:p w14:paraId="106E6A0D" w14:textId="77777777" w:rsidR="00CF7FD3" w:rsidRPr="00101936" w:rsidRDefault="00000000" w:rsidP="001B3A39">
      <w:pPr>
        <w:spacing w:after="200"/>
        <w:jc w:val="center"/>
        <w:rPr>
          <w:rFonts w:asciiTheme="majorHAnsi" w:hAnsiTheme="majorHAnsi" w:cstheme="majorHAnsi"/>
        </w:rPr>
      </w:pPr>
      <w:r w:rsidRPr="00101936">
        <w:rPr>
          <w:rFonts w:asciiTheme="majorHAnsi" w:hAnsiTheme="majorHAnsi" w:cstheme="majorHAnsi"/>
          <w:b/>
          <w:bCs/>
          <w:sz w:val="19"/>
          <w:szCs w:val="19"/>
        </w:rPr>
        <w:t xml:space="preserve">Figure C1. </w:t>
      </w:r>
      <w:r w:rsidRPr="00101936">
        <w:rPr>
          <w:rFonts w:asciiTheme="majorHAnsi" w:hAnsiTheme="majorHAnsi" w:cstheme="majorHAnsi"/>
          <w:sz w:val="19"/>
          <w:szCs w:val="19"/>
        </w:rPr>
        <w:t>Lending and profit per customer account, DNSE against VPS, VPBankS and TCBS</w:t>
      </w:r>
      <w:r w:rsidRPr="00101936">
        <w:rPr>
          <w:rFonts w:asciiTheme="majorHAnsi" w:hAnsiTheme="majorHAnsi" w:cstheme="majorHAnsi"/>
        </w:rPr>
        <w:br/>
      </w:r>
      <w:r w:rsidRPr="00101936">
        <w:rPr>
          <w:rFonts w:asciiTheme="majorHAnsi" w:hAnsiTheme="majorHAnsi" w:cstheme="majorHAnsi"/>
          <w:sz w:val="17"/>
          <w:szCs w:val="17"/>
        </w:rPr>
        <w:t>Source: as Table C2.</w:t>
      </w:r>
    </w:p>
    <w:p w14:paraId="76E72439" w14:textId="77777777" w:rsidR="00CF7FD3" w:rsidRPr="00101936" w:rsidRDefault="00000000" w:rsidP="00101936">
      <w:pPr>
        <w:pStyle w:val="Heading2"/>
        <w:keepNext/>
        <w:keepLines/>
        <w:jc w:val="both"/>
        <w:rPr>
          <w:rFonts w:asciiTheme="majorHAnsi" w:hAnsiTheme="majorHAnsi" w:cstheme="majorHAnsi"/>
        </w:rPr>
      </w:pPr>
      <w:r w:rsidRPr="00101936">
        <w:rPr>
          <w:rFonts w:asciiTheme="majorHAnsi" w:hAnsiTheme="majorHAnsi" w:cstheme="majorHAnsi"/>
        </w:rPr>
        <w:t>Appendix D. Customer review analysis</w:t>
      </w:r>
    </w:p>
    <w:p w14:paraId="1C65A50E" w14:textId="77777777" w:rsidR="00CF7FD3" w:rsidRPr="00101936" w:rsidRDefault="00000000" w:rsidP="001B3A39">
      <w:pPr>
        <w:keepNext/>
        <w:spacing w:before="160" w:after="80"/>
        <w:jc w:val="center"/>
        <w:rPr>
          <w:rFonts w:asciiTheme="majorHAnsi" w:hAnsiTheme="majorHAnsi" w:cstheme="majorHAnsi"/>
        </w:rPr>
      </w:pPr>
      <w:r w:rsidRPr="00101936">
        <w:rPr>
          <w:rFonts w:asciiTheme="majorHAnsi" w:hAnsiTheme="majorHAnsi" w:cstheme="majorHAnsi"/>
          <w:b/>
          <w:bCs/>
          <w:sz w:val="19"/>
          <w:szCs w:val="19"/>
        </w:rPr>
        <w:t xml:space="preserve">Table D1. </w:t>
      </w:r>
      <w:r w:rsidRPr="00101936">
        <w:rPr>
          <w:rFonts w:asciiTheme="majorHAnsi" w:hAnsiTheme="majorHAnsi" w:cstheme="majorHAnsi"/>
          <w:sz w:val="19"/>
          <w:szCs w:val="19"/>
        </w:rPr>
        <w:t>Themes in DNSE's negative Google Play reviews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400"/>
        <w:gridCol w:w="1600"/>
        <w:gridCol w:w="1700"/>
        <w:gridCol w:w="1712"/>
      </w:tblGrid>
      <w:tr w:rsidR="00CF7FD3" w:rsidRPr="00101936" w14:paraId="2E55ECB5" w14:textId="77777777">
        <w:tblPrEx>
          <w:tblCellMar>
            <w:top w:w="0" w:type="dxa"/>
            <w:bottom w:w="0" w:type="dxa"/>
          </w:tblCellMar>
        </w:tblPrEx>
        <w:trPr>
          <w:cantSplit/>
          <w:tblHeader/>
        </w:trPr>
        <w:tc>
          <w:tcPr>
            <w:tcW w:w="44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0279D7C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Theme</w:t>
            </w:r>
          </w:p>
        </w:tc>
        <w:tc>
          <w:tcPr>
            <w:tcW w:w="16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175821B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Negative reviews</w:t>
            </w:r>
          </w:p>
        </w:tc>
        <w:tc>
          <w:tcPr>
            <w:tcW w:w="17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2B1278A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Share of negative reviews, %</w:t>
            </w:r>
          </w:p>
        </w:tc>
        <w:tc>
          <w:tcPr>
            <w:tcW w:w="1712"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7EAC2D6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Share of helpful votes, %</w:t>
            </w:r>
          </w:p>
        </w:tc>
      </w:tr>
      <w:tr w:rsidR="00CF7FD3" w:rsidRPr="00101936" w14:paraId="2DB161CD" w14:textId="77777777">
        <w:tblPrEx>
          <w:tblCellMar>
            <w:top w:w="0" w:type="dxa"/>
            <w:bottom w:w="0" w:type="dxa"/>
          </w:tblCellMar>
        </w:tblPrEx>
        <w:trPr>
          <w:cantSplit/>
        </w:trPr>
        <w:tc>
          <w:tcPr>
            <w:tcW w:w="4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166A90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Crashes, freezes, login failures, slow orders</w:t>
            </w:r>
          </w:p>
        </w:tc>
        <w:tc>
          <w:tcPr>
            <w:tcW w:w="16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A6E6F9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76</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9BCDB9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27.3</w:t>
            </w:r>
          </w:p>
        </w:tc>
        <w:tc>
          <w:tcPr>
            <w:tcW w:w="17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D40E58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21.4</w:t>
            </w:r>
          </w:p>
        </w:tc>
      </w:tr>
      <w:tr w:rsidR="00CF7FD3" w:rsidRPr="00101936" w14:paraId="1861101A" w14:textId="77777777">
        <w:tblPrEx>
          <w:tblCellMar>
            <w:top w:w="0" w:type="dxa"/>
            <w:bottom w:w="0" w:type="dxa"/>
          </w:tblCellMar>
        </w:tblPrEx>
        <w:trPr>
          <w:cantSplit/>
        </w:trPr>
        <w:tc>
          <w:tcPr>
            <w:tcW w:w="4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901CA7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Account opening, identity checks, one-time passwords</w:t>
            </w:r>
          </w:p>
        </w:tc>
        <w:tc>
          <w:tcPr>
            <w:tcW w:w="16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4C02A2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59</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B1D7FC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21.2</w:t>
            </w:r>
          </w:p>
        </w:tc>
        <w:tc>
          <w:tcPr>
            <w:tcW w:w="17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5BC6AF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17.9</w:t>
            </w:r>
          </w:p>
        </w:tc>
      </w:tr>
      <w:tr w:rsidR="00CF7FD3" w:rsidRPr="00101936" w14:paraId="091F66BF" w14:textId="77777777">
        <w:tblPrEx>
          <w:tblCellMar>
            <w:top w:w="0" w:type="dxa"/>
            <w:bottom w:w="0" w:type="dxa"/>
          </w:tblCellMar>
        </w:tblPrEx>
        <w:trPr>
          <w:cantSplit/>
        </w:trPr>
        <w:tc>
          <w:tcPr>
            <w:tcW w:w="4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EB3850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Explicit accusation of deception</w:t>
            </w:r>
          </w:p>
        </w:tc>
        <w:tc>
          <w:tcPr>
            <w:tcW w:w="16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802E6E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49</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261472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17.6</w:t>
            </w:r>
          </w:p>
        </w:tc>
        <w:tc>
          <w:tcPr>
            <w:tcW w:w="17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8F4243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28.2</w:t>
            </w:r>
          </w:p>
        </w:tc>
      </w:tr>
      <w:tr w:rsidR="00CF7FD3" w:rsidRPr="00101936" w14:paraId="38213631" w14:textId="77777777">
        <w:tblPrEx>
          <w:tblCellMar>
            <w:top w:w="0" w:type="dxa"/>
            <w:bottom w:w="0" w:type="dxa"/>
          </w:tblCellMar>
        </w:tblPrEx>
        <w:trPr>
          <w:cantSplit/>
        </w:trPr>
        <w:tc>
          <w:tcPr>
            <w:tcW w:w="4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4B5696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Sign-up bonus terms, rewards not received</w:t>
            </w:r>
          </w:p>
        </w:tc>
        <w:tc>
          <w:tcPr>
            <w:tcW w:w="16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E99813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24</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1FEEAE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8.6</w:t>
            </w:r>
          </w:p>
        </w:tc>
        <w:tc>
          <w:tcPr>
            <w:tcW w:w="17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B877F0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17.8</w:t>
            </w:r>
          </w:p>
        </w:tc>
      </w:tr>
      <w:tr w:rsidR="00CF7FD3" w:rsidRPr="00101936" w14:paraId="669850AC" w14:textId="77777777">
        <w:tblPrEx>
          <w:tblCellMar>
            <w:top w:w="0" w:type="dxa"/>
            <w:bottom w:w="0" w:type="dxa"/>
          </w:tblCellMar>
        </w:tblPrEx>
        <w:trPr>
          <w:cantSplit/>
        </w:trPr>
        <w:tc>
          <w:tcPr>
            <w:tcW w:w="4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D28B8E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Deposits not credited, withdrawal delays</w:t>
            </w:r>
          </w:p>
        </w:tc>
        <w:tc>
          <w:tcPr>
            <w:tcW w:w="16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E4B9F6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14</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63053D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5.0</w:t>
            </w:r>
          </w:p>
        </w:tc>
        <w:tc>
          <w:tcPr>
            <w:tcW w:w="17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70D5C3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6.7</w:t>
            </w:r>
          </w:p>
        </w:tc>
      </w:tr>
      <w:tr w:rsidR="00CF7FD3" w:rsidRPr="00101936" w14:paraId="29902AAB" w14:textId="77777777">
        <w:tblPrEx>
          <w:tblCellMar>
            <w:top w:w="0" w:type="dxa"/>
            <w:bottom w:w="0" w:type="dxa"/>
          </w:tblCellMar>
        </w:tblPrEx>
        <w:trPr>
          <w:cantSplit/>
        </w:trPr>
        <w:tc>
          <w:tcPr>
            <w:tcW w:w="4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C5BBF6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Cannot close the account, closure fee</w:t>
            </w:r>
          </w:p>
        </w:tc>
        <w:tc>
          <w:tcPr>
            <w:tcW w:w="16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6C9F7D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10</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D35692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3.6</w:t>
            </w:r>
          </w:p>
        </w:tc>
        <w:tc>
          <w:tcPr>
            <w:tcW w:w="17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50F5DD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11.3</w:t>
            </w:r>
          </w:p>
        </w:tc>
      </w:tr>
      <w:tr w:rsidR="00CF7FD3" w:rsidRPr="00101936" w14:paraId="27D57380" w14:textId="77777777">
        <w:tblPrEx>
          <w:tblCellMar>
            <w:top w:w="0" w:type="dxa"/>
            <w:bottom w:w="0" w:type="dxa"/>
          </w:tblCellMar>
        </w:tblPrEx>
        <w:trPr>
          <w:cantSplit/>
        </w:trPr>
        <w:tc>
          <w:tcPr>
            <w:tcW w:w="4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AC1BDF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Any trust theme (deception, bonus terms, closure)</w:t>
            </w:r>
          </w:p>
        </w:tc>
        <w:tc>
          <w:tcPr>
            <w:tcW w:w="16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5A23A8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67</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BACEA1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24.1</w:t>
            </w:r>
          </w:p>
        </w:tc>
        <w:tc>
          <w:tcPr>
            <w:tcW w:w="17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39C8CE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42.9</w:t>
            </w:r>
          </w:p>
        </w:tc>
      </w:tr>
      <w:tr w:rsidR="00CF7FD3" w:rsidRPr="00101936" w14:paraId="6091BCA1" w14:textId="77777777">
        <w:tblPrEx>
          <w:tblCellMar>
            <w:top w:w="0" w:type="dxa"/>
            <w:bottom w:w="0" w:type="dxa"/>
          </w:tblCellMar>
        </w:tblPrEx>
        <w:trPr>
          <w:cantSplit/>
        </w:trPr>
        <w:tc>
          <w:tcPr>
            <w:tcW w:w="4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2BCAE3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Any product theme (stability, onboarding)</w:t>
            </w:r>
          </w:p>
        </w:tc>
        <w:tc>
          <w:tcPr>
            <w:tcW w:w="16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B74877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118</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07CBF8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42.4</w:t>
            </w:r>
          </w:p>
        </w:tc>
        <w:tc>
          <w:tcPr>
            <w:tcW w:w="17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CCBC6A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34.1</w:t>
            </w:r>
          </w:p>
        </w:tc>
      </w:tr>
      <w:tr w:rsidR="00CF7FD3" w:rsidRPr="00101936" w14:paraId="458A0765" w14:textId="77777777">
        <w:tblPrEx>
          <w:tblCellMar>
            <w:top w:w="0" w:type="dxa"/>
            <w:bottom w:w="0" w:type="dxa"/>
          </w:tblCellMar>
        </w:tblPrEx>
        <w:trPr>
          <w:cantSplit/>
        </w:trPr>
        <w:tc>
          <w:tcPr>
            <w:tcW w:w="4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1FE47F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Idle-cash product (Never-Sleeping Account), all reviews</w:t>
            </w:r>
          </w:p>
        </w:tc>
        <w:tc>
          <w:tcPr>
            <w:tcW w:w="16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31C1358" w14:textId="77777777" w:rsidR="00CF7FD3" w:rsidRPr="00101936" w:rsidRDefault="00000000" w:rsidP="001B3A39">
            <w:pPr>
              <w:keepNext/>
              <w:rPr>
                <w:rFonts w:asciiTheme="majorHAnsi" w:hAnsiTheme="majorHAnsi" w:cstheme="majorHAnsi"/>
              </w:rPr>
            </w:pPr>
            <w:r w:rsidRPr="00101936">
              <w:rPr>
                <w:rFonts w:asciiTheme="majorHAnsi" w:hAnsiTheme="majorHAnsi" w:cstheme="majorHAnsi"/>
                <w:sz w:val="18"/>
                <w:szCs w:val="18"/>
              </w:rPr>
              <w:t>3 mentions, all positive</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71EE26D" w14:textId="77777777" w:rsidR="00CF7FD3" w:rsidRPr="00101936" w:rsidRDefault="00CF7FD3" w:rsidP="00101936">
            <w:pPr>
              <w:keepNext/>
              <w:jc w:val="both"/>
              <w:rPr>
                <w:rFonts w:asciiTheme="majorHAnsi" w:hAnsiTheme="majorHAnsi" w:cstheme="majorHAnsi"/>
              </w:rPr>
            </w:pPr>
          </w:p>
        </w:tc>
        <w:tc>
          <w:tcPr>
            <w:tcW w:w="17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6E11FB4" w14:textId="77777777" w:rsidR="00CF7FD3" w:rsidRPr="00101936" w:rsidRDefault="00CF7FD3" w:rsidP="00101936">
            <w:pPr>
              <w:keepNext/>
              <w:jc w:val="both"/>
              <w:rPr>
                <w:rFonts w:asciiTheme="majorHAnsi" w:hAnsiTheme="majorHAnsi" w:cstheme="majorHAnsi"/>
              </w:rPr>
            </w:pPr>
          </w:p>
        </w:tc>
      </w:tr>
    </w:tbl>
    <w:p w14:paraId="5B4A80B6" w14:textId="77777777" w:rsidR="00CF7FD3" w:rsidRPr="00101936" w:rsidRDefault="00000000" w:rsidP="001B3A39">
      <w:pPr>
        <w:spacing w:before="60" w:after="200"/>
        <w:jc w:val="right"/>
        <w:rPr>
          <w:rFonts w:asciiTheme="majorHAnsi" w:hAnsiTheme="majorHAnsi" w:cstheme="majorHAnsi"/>
        </w:rPr>
      </w:pPr>
      <w:r w:rsidRPr="00101936">
        <w:rPr>
          <w:rFonts w:asciiTheme="majorHAnsi" w:hAnsiTheme="majorHAnsi" w:cstheme="majorHAnsi"/>
          <w:sz w:val="17"/>
          <w:szCs w:val="17"/>
        </w:rPr>
        <w:t>Source: Google Play, retrieved 23 September 2026; authors' coding. 278 one- and two-star reviews carrying 1,794 helpful votes. Themes are not exclusive.</w:t>
      </w:r>
    </w:p>
    <w:p w14:paraId="5438A9D9" w14:textId="77777777" w:rsidR="00CF7FD3" w:rsidRPr="00101936" w:rsidRDefault="00000000" w:rsidP="001B3A39">
      <w:pPr>
        <w:keepNext/>
        <w:spacing w:before="160" w:after="80"/>
        <w:jc w:val="center"/>
        <w:rPr>
          <w:rFonts w:asciiTheme="majorHAnsi" w:hAnsiTheme="majorHAnsi" w:cstheme="majorHAnsi"/>
        </w:rPr>
      </w:pPr>
      <w:r w:rsidRPr="00101936">
        <w:rPr>
          <w:rFonts w:asciiTheme="majorHAnsi" w:hAnsiTheme="majorHAnsi" w:cstheme="majorHAnsi"/>
          <w:b/>
          <w:bCs/>
          <w:sz w:val="19"/>
          <w:szCs w:val="19"/>
        </w:rPr>
        <w:lastRenderedPageBreak/>
        <w:t xml:space="preserve">Table D2. </w:t>
      </w:r>
      <w:r w:rsidRPr="00101936">
        <w:rPr>
          <w:rFonts w:asciiTheme="majorHAnsi" w:hAnsiTheme="majorHAnsi" w:cstheme="majorHAnsi"/>
          <w:sz w:val="19"/>
          <w:szCs w:val="19"/>
        </w:rPr>
        <w:t>Reliability and trust complaints at three brokers, January 2025 to September 2026</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150"/>
        <w:gridCol w:w="1300"/>
        <w:gridCol w:w="1250"/>
        <w:gridCol w:w="1250"/>
        <w:gridCol w:w="1250"/>
        <w:gridCol w:w="1312"/>
      </w:tblGrid>
      <w:tr w:rsidR="00CF7FD3" w:rsidRPr="00101936" w14:paraId="03B192D3" w14:textId="77777777">
        <w:tblPrEx>
          <w:tblCellMar>
            <w:top w:w="0" w:type="dxa"/>
            <w:bottom w:w="0" w:type="dxa"/>
          </w:tblCellMar>
        </w:tblPrEx>
        <w:trPr>
          <w:cantSplit/>
          <w:tblHeader/>
        </w:trPr>
        <w:tc>
          <w:tcPr>
            <w:tcW w:w="19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1CD8BA9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Application</w:t>
            </w:r>
          </w:p>
        </w:tc>
        <w:tc>
          <w:tcPr>
            <w:tcW w:w="115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417B9EC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Negative reviews</w:t>
            </w:r>
          </w:p>
        </w:tc>
        <w:tc>
          <w:tcPr>
            <w:tcW w:w="13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3E881E2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Reliability, % of reviews</w:t>
            </w:r>
          </w:p>
        </w:tc>
        <w:tc>
          <w:tcPr>
            <w:tcW w:w="125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06F9856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Reliability, % of votes</w:t>
            </w:r>
          </w:p>
        </w:tc>
        <w:tc>
          <w:tcPr>
            <w:tcW w:w="125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2D80767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Trust, % of reviews</w:t>
            </w:r>
          </w:p>
        </w:tc>
        <w:tc>
          <w:tcPr>
            <w:tcW w:w="125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344DCB9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Trust, % of votes</w:t>
            </w:r>
          </w:p>
        </w:tc>
        <w:tc>
          <w:tcPr>
            <w:tcW w:w="1312"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2787115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App Store mean, 2025 to 2026</w:t>
            </w:r>
          </w:p>
        </w:tc>
      </w:tr>
      <w:tr w:rsidR="00CF7FD3" w:rsidRPr="00101936" w14:paraId="43523457"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E5A560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DNSE Entrade X</w:t>
            </w:r>
          </w:p>
        </w:tc>
        <w:tc>
          <w:tcPr>
            <w:tcW w:w="115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AA45A2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125</w:t>
            </w:r>
          </w:p>
        </w:tc>
        <w:tc>
          <w:tcPr>
            <w:tcW w:w="13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E22BEA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37.6</w:t>
            </w:r>
          </w:p>
        </w:tc>
        <w:tc>
          <w:tcPr>
            <w:tcW w:w="125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5F86FD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30.2</w:t>
            </w:r>
          </w:p>
        </w:tc>
        <w:tc>
          <w:tcPr>
            <w:tcW w:w="125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6E6A7C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36.8</w:t>
            </w:r>
          </w:p>
        </w:tc>
        <w:tc>
          <w:tcPr>
            <w:tcW w:w="125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9BE502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50.4</w:t>
            </w:r>
          </w:p>
        </w:tc>
        <w:tc>
          <w:tcPr>
            <w:tcW w:w="13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5150AF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2.25</w:t>
            </w:r>
          </w:p>
        </w:tc>
      </w:tr>
      <w:tr w:rsidR="00CF7FD3" w:rsidRPr="00101936" w14:paraId="270C9F39"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3AED7A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VPS SmartOne</w:t>
            </w:r>
          </w:p>
        </w:tc>
        <w:tc>
          <w:tcPr>
            <w:tcW w:w="115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593162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256</w:t>
            </w:r>
          </w:p>
        </w:tc>
        <w:tc>
          <w:tcPr>
            <w:tcW w:w="13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6C5A7C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45.7</w:t>
            </w:r>
          </w:p>
        </w:tc>
        <w:tc>
          <w:tcPr>
            <w:tcW w:w="125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7C1DCA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45.1</w:t>
            </w:r>
          </w:p>
        </w:tc>
        <w:tc>
          <w:tcPr>
            <w:tcW w:w="125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339B87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7.8</w:t>
            </w:r>
          </w:p>
        </w:tc>
        <w:tc>
          <w:tcPr>
            <w:tcW w:w="125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866C55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7.3</w:t>
            </w:r>
          </w:p>
        </w:tc>
        <w:tc>
          <w:tcPr>
            <w:tcW w:w="13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9AD43B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1.47</w:t>
            </w:r>
          </w:p>
        </w:tc>
      </w:tr>
      <w:tr w:rsidR="00CF7FD3" w:rsidRPr="00101936" w14:paraId="79A1991E"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A45275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FPTS EzTrade</w:t>
            </w:r>
          </w:p>
        </w:tc>
        <w:tc>
          <w:tcPr>
            <w:tcW w:w="115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A0257E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121</w:t>
            </w:r>
          </w:p>
        </w:tc>
        <w:tc>
          <w:tcPr>
            <w:tcW w:w="13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6F3B82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20.7</w:t>
            </w:r>
          </w:p>
        </w:tc>
        <w:tc>
          <w:tcPr>
            <w:tcW w:w="125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EEB70B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17.7</w:t>
            </w:r>
          </w:p>
        </w:tc>
        <w:tc>
          <w:tcPr>
            <w:tcW w:w="125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95065E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0.8</w:t>
            </w:r>
          </w:p>
        </w:tc>
        <w:tc>
          <w:tcPr>
            <w:tcW w:w="125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C6198E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1.8</w:t>
            </w:r>
          </w:p>
        </w:tc>
        <w:tc>
          <w:tcPr>
            <w:tcW w:w="13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733647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2.31</w:t>
            </w:r>
          </w:p>
        </w:tc>
      </w:tr>
    </w:tbl>
    <w:p w14:paraId="477C1214" w14:textId="77777777" w:rsidR="00CF7FD3" w:rsidRPr="00101936" w:rsidRDefault="00000000" w:rsidP="00101936">
      <w:pPr>
        <w:spacing w:before="60" w:after="200"/>
        <w:jc w:val="both"/>
        <w:rPr>
          <w:rFonts w:asciiTheme="majorHAnsi" w:hAnsiTheme="majorHAnsi" w:cstheme="majorHAnsi"/>
        </w:rPr>
      </w:pPr>
      <w:r w:rsidRPr="00101936">
        <w:rPr>
          <w:rFonts w:asciiTheme="majorHAnsi" w:hAnsiTheme="majorHAnsi" w:cstheme="majorHAnsi"/>
          <w:sz w:val="17"/>
          <w:szCs w:val="17"/>
        </w:rPr>
        <w:t>Source: Google Play (retrieved 23 September 2026) and Apple App Store (retrieved 24 September 2026); authors' cleaning and coding. Reliability covers crashes, freezes, login failures, slow orders and account opening. Trust covers accusations of deception, sign-up bonus terms and account closure.</w:t>
      </w:r>
    </w:p>
    <w:p w14:paraId="7DCE5E9B" w14:textId="77777777" w:rsidR="00CF7FD3" w:rsidRPr="00101936" w:rsidRDefault="00000000" w:rsidP="001B3A39">
      <w:pPr>
        <w:keepNext/>
        <w:spacing w:before="160" w:after="80"/>
        <w:jc w:val="center"/>
        <w:rPr>
          <w:rFonts w:asciiTheme="majorHAnsi" w:hAnsiTheme="majorHAnsi" w:cstheme="majorHAnsi"/>
        </w:rPr>
      </w:pPr>
      <w:r w:rsidRPr="00101936">
        <w:rPr>
          <w:rFonts w:asciiTheme="majorHAnsi" w:hAnsiTheme="majorHAnsi" w:cstheme="majorHAnsi"/>
          <w:b/>
          <w:bCs/>
          <w:sz w:val="19"/>
          <w:szCs w:val="19"/>
        </w:rPr>
        <w:t xml:space="preserve">Table D3. </w:t>
      </w:r>
      <w:r w:rsidRPr="00101936">
        <w:rPr>
          <w:rFonts w:asciiTheme="majorHAnsi" w:hAnsiTheme="majorHAnsi" w:cstheme="majorHAnsi"/>
          <w:sz w:val="19"/>
          <w:szCs w:val="19"/>
        </w:rPr>
        <w:t>Selected DNSE reviews, translated from Vietnamese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700"/>
        <w:gridCol w:w="1000"/>
        <w:gridCol w:w="6412"/>
      </w:tblGrid>
      <w:tr w:rsidR="00CF7FD3" w:rsidRPr="00101936" w14:paraId="1A76E4EA" w14:textId="77777777">
        <w:tblPrEx>
          <w:tblCellMar>
            <w:top w:w="0" w:type="dxa"/>
            <w:bottom w:w="0" w:type="dxa"/>
          </w:tblCellMar>
        </w:tblPrEx>
        <w:trPr>
          <w:cantSplit/>
          <w:tblHeader/>
        </w:trPr>
        <w:tc>
          <w:tcPr>
            <w:tcW w:w="13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71105C3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Date</w:t>
            </w:r>
          </w:p>
        </w:tc>
        <w:tc>
          <w:tcPr>
            <w:tcW w:w="7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1BAF7AC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Stars</w:t>
            </w:r>
          </w:p>
        </w:tc>
        <w:tc>
          <w:tcPr>
            <w:tcW w:w="10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360636C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Helpful votes</w:t>
            </w:r>
          </w:p>
        </w:tc>
        <w:tc>
          <w:tcPr>
            <w:tcW w:w="6412"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27704E4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Review</w:t>
            </w:r>
          </w:p>
        </w:tc>
      </w:tr>
      <w:tr w:rsidR="00CF7FD3" w:rsidRPr="00101936" w14:paraId="4F252E23" w14:textId="77777777">
        <w:tblPrEx>
          <w:tblCellMar>
            <w:top w:w="0" w:type="dxa"/>
            <w:bottom w:w="0" w:type="dxa"/>
          </w:tblCellMar>
        </w:tblPrEx>
        <w:trPr>
          <w:cantSplit/>
        </w:trPr>
        <w:tc>
          <w:tcPr>
            <w:tcW w:w="13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E389B8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9 Jun 2025</w:t>
            </w:r>
          </w:p>
        </w:tc>
        <w:tc>
          <w:tcPr>
            <w:tcW w:w="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CB4796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2A2C7B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58</w:t>
            </w:r>
          </w:p>
        </w:tc>
        <w:tc>
          <w:tcPr>
            <w:tcW w:w="6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9D5EE5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"Everyone, be careful, it is a scam. You do not receive the 100k. To delete your account you have to pay it 100k."</w:t>
            </w:r>
          </w:p>
        </w:tc>
      </w:tr>
      <w:tr w:rsidR="00CF7FD3" w:rsidRPr="00101936" w14:paraId="57386B9F" w14:textId="77777777">
        <w:tblPrEx>
          <w:tblCellMar>
            <w:top w:w="0" w:type="dxa"/>
            <w:bottom w:w="0" w:type="dxa"/>
          </w:tblCellMar>
        </w:tblPrEx>
        <w:trPr>
          <w:cantSplit/>
        </w:trPr>
        <w:tc>
          <w:tcPr>
            <w:tcW w:w="13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067C6D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24 May 2025</w:t>
            </w:r>
          </w:p>
        </w:tc>
        <w:tc>
          <w:tcPr>
            <w:tcW w:w="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843DC9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E71F5A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54</w:t>
            </w:r>
          </w:p>
        </w:tc>
        <w:tc>
          <w:tcPr>
            <w:tcW w:w="6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4E8EF7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"I have been trapped ... you cannot cancel the registration ... after approval you have to go to the head office to delete the account."</w:t>
            </w:r>
          </w:p>
        </w:tc>
      </w:tr>
      <w:tr w:rsidR="00CF7FD3" w:rsidRPr="00101936" w14:paraId="5E9D3B0B" w14:textId="77777777">
        <w:tblPrEx>
          <w:tblCellMar>
            <w:top w:w="0" w:type="dxa"/>
            <w:bottom w:w="0" w:type="dxa"/>
          </w:tblCellMar>
        </w:tblPrEx>
        <w:trPr>
          <w:cantSplit/>
        </w:trPr>
        <w:tc>
          <w:tcPr>
            <w:tcW w:w="13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A858B1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28 Jun 2025</w:t>
            </w:r>
          </w:p>
        </w:tc>
        <w:tc>
          <w:tcPr>
            <w:tcW w:w="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036443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CE35DF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50</w:t>
            </w:r>
          </w:p>
        </w:tc>
        <w:tc>
          <w:tcPr>
            <w:tcW w:w="6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999068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"Deceptive and false. There is no 100k straight away. You have to deposit at least 2 million to get it."</w:t>
            </w:r>
          </w:p>
        </w:tc>
      </w:tr>
      <w:tr w:rsidR="00CF7FD3" w:rsidRPr="00101936" w14:paraId="37C1725D" w14:textId="77777777">
        <w:tblPrEx>
          <w:tblCellMar>
            <w:top w:w="0" w:type="dxa"/>
            <w:bottom w:w="0" w:type="dxa"/>
          </w:tblCellMar>
        </w:tblPrEx>
        <w:trPr>
          <w:cantSplit/>
        </w:trPr>
        <w:tc>
          <w:tcPr>
            <w:tcW w:w="13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0EEFD7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 Jun 2025</w:t>
            </w:r>
          </w:p>
        </w:tc>
        <w:tc>
          <w:tcPr>
            <w:tcW w:w="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B7DE03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70EB99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18</w:t>
            </w:r>
          </w:p>
        </w:tc>
        <w:tc>
          <w:tcPr>
            <w:tcW w:w="6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AF22D5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"When I deposit outside trading hours, the money leaves my bank account but the securities account does not receive it."</w:t>
            </w:r>
          </w:p>
        </w:tc>
      </w:tr>
      <w:tr w:rsidR="00CF7FD3" w:rsidRPr="00101936" w14:paraId="77F8729C" w14:textId="77777777">
        <w:tblPrEx>
          <w:tblCellMar>
            <w:top w:w="0" w:type="dxa"/>
            <w:bottom w:w="0" w:type="dxa"/>
          </w:tblCellMar>
        </w:tblPrEx>
        <w:trPr>
          <w:cantSplit/>
        </w:trPr>
        <w:tc>
          <w:tcPr>
            <w:tcW w:w="13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34D300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15 May 2026</w:t>
            </w:r>
          </w:p>
        </w:tc>
        <w:tc>
          <w:tcPr>
            <w:tcW w:w="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338590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5</w:t>
            </w:r>
          </w:p>
        </w:tc>
        <w:tc>
          <w:tcPr>
            <w:tcW w:w="1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3BB5AB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13</w:t>
            </w:r>
          </w:p>
        </w:tc>
        <w:tc>
          <w:tcPr>
            <w:tcW w:w="6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59533F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 The idle account is the best. Watching the interest rise in real time is satisfying, and money earns interest automatically once it is deposited."</w:t>
            </w:r>
          </w:p>
        </w:tc>
      </w:tr>
    </w:tbl>
    <w:p w14:paraId="1151B4B3" w14:textId="77777777" w:rsidR="00CF7FD3" w:rsidRPr="00101936" w:rsidRDefault="00000000" w:rsidP="001B3A39">
      <w:pPr>
        <w:spacing w:before="60" w:after="200"/>
        <w:jc w:val="right"/>
        <w:rPr>
          <w:rFonts w:asciiTheme="majorHAnsi" w:hAnsiTheme="majorHAnsi" w:cstheme="majorHAnsi"/>
        </w:rPr>
      </w:pPr>
      <w:r w:rsidRPr="00101936">
        <w:rPr>
          <w:rFonts w:asciiTheme="majorHAnsi" w:hAnsiTheme="majorHAnsi" w:cstheme="majorHAnsi"/>
          <w:sz w:val="17"/>
          <w:szCs w:val="17"/>
        </w:rPr>
        <w:t>Source: Google Play; translated by the authors.</w:t>
      </w:r>
    </w:p>
    <w:p w14:paraId="068DEB68" w14:textId="77777777" w:rsidR="00CF7FD3" w:rsidRPr="00101936" w:rsidRDefault="00000000" w:rsidP="001B3A39">
      <w:pPr>
        <w:keepNext/>
        <w:spacing w:before="120" w:after="60"/>
        <w:jc w:val="center"/>
        <w:rPr>
          <w:rFonts w:asciiTheme="majorHAnsi" w:hAnsiTheme="majorHAnsi" w:cstheme="majorHAnsi"/>
        </w:rPr>
      </w:pPr>
      <w:r w:rsidRPr="00101936">
        <w:rPr>
          <w:rFonts w:asciiTheme="majorHAnsi" w:hAnsiTheme="majorHAnsi" w:cstheme="majorHAnsi"/>
          <w:noProof/>
        </w:rPr>
        <w:drawing>
          <wp:inline distT="0" distB="0" distL="0" distR="0" wp14:anchorId="13204867" wp14:editId="588664D1">
            <wp:extent cx="5124450" cy="2343150"/>
            <wp:effectExtent l="0" t="0" r="0" b="0"/>
            <wp:docPr id="2137206261" name="Figure D1." descr="Mean rating of DNSE reviews by year, and the share of one-word reviews" title="Figure 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24450" cy="2343150"/>
                    </a:xfrm>
                    <a:prstGeom prst="rect">
                      <a:avLst/>
                    </a:prstGeom>
                  </pic:spPr>
                </pic:pic>
              </a:graphicData>
            </a:graphic>
          </wp:inline>
        </w:drawing>
      </w:r>
    </w:p>
    <w:p w14:paraId="0D8CA6FD" w14:textId="77777777" w:rsidR="00CF7FD3" w:rsidRPr="00101936" w:rsidRDefault="00000000" w:rsidP="001B3A39">
      <w:pPr>
        <w:spacing w:after="200"/>
        <w:jc w:val="center"/>
        <w:rPr>
          <w:rFonts w:asciiTheme="majorHAnsi" w:hAnsiTheme="majorHAnsi" w:cstheme="majorHAnsi"/>
        </w:rPr>
      </w:pPr>
      <w:r w:rsidRPr="00101936">
        <w:rPr>
          <w:rFonts w:asciiTheme="majorHAnsi" w:hAnsiTheme="majorHAnsi" w:cstheme="majorHAnsi"/>
          <w:b/>
          <w:bCs/>
          <w:sz w:val="19"/>
          <w:szCs w:val="19"/>
        </w:rPr>
        <w:t xml:space="preserve">Figure D1. </w:t>
      </w:r>
      <w:r w:rsidRPr="00101936">
        <w:rPr>
          <w:rFonts w:asciiTheme="majorHAnsi" w:hAnsiTheme="majorHAnsi" w:cstheme="majorHAnsi"/>
          <w:sz w:val="19"/>
          <w:szCs w:val="19"/>
        </w:rPr>
        <w:t>Mean rating of DNSE reviews by year, and the share of one-word reviews</w:t>
      </w:r>
      <w:r w:rsidRPr="00101936">
        <w:rPr>
          <w:rFonts w:asciiTheme="majorHAnsi" w:hAnsiTheme="majorHAnsi" w:cstheme="majorHAnsi"/>
        </w:rPr>
        <w:br/>
      </w:r>
      <w:r w:rsidRPr="00101936">
        <w:rPr>
          <w:rFonts w:asciiTheme="majorHAnsi" w:hAnsiTheme="majorHAnsi" w:cstheme="majorHAnsi"/>
          <w:sz w:val="17"/>
          <w:szCs w:val="17"/>
        </w:rPr>
        <w:t>Source: Google Play; authors' cleaning.</w:t>
      </w:r>
    </w:p>
    <w:p w14:paraId="67EEDFD8" w14:textId="77777777" w:rsidR="00CF7FD3" w:rsidRPr="00101936" w:rsidRDefault="00000000" w:rsidP="001B3A39">
      <w:pPr>
        <w:keepNext/>
        <w:spacing w:before="120" w:after="60"/>
        <w:jc w:val="center"/>
        <w:rPr>
          <w:rFonts w:asciiTheme="majorHAnsi" w:hAnsiTheme="majorHAnsi" w:cstheme="majorHAnsi"/>
        </w:rPr>
      </w:pPr>
      <w:r w:rsidRPr="00101936">
        <w:rPr>
          <w:rFonts w:asciiTheme="majorHAnsi" w:hAnsiTheme="majorHAnsi" w:cstheme="majorHAnsi"/>
          <w:noProof/>
        </w:rPr>
        <w:lastRenderedPageBreak/>
        <w:drawing>
          <wp:inline distT="0" distB="0" distL="0" distR="0" wp14:anchorId="36D6981E" wp14:editId="619689D8">
            <wp:extent cx="5124450" cy="2124075"/>
            <wp:effectExtent l="0" t="0" r="0" b="0"/>
            <wp:docPr id="1098244175" name="Figure D2." descr="Mean rating of cleaned reviews on Google Play and the App Store, 2025 and 2026" title="Figure 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24450" cy="2124075"/>
                    </a:xfrm>
                    <a:prstGeom prst="rect">
                      <a:avLst/>
                    </a:prstGeom>
                  </pic:spPr>
                </pic:pic>
              </a:graphicData>
            </a:graphic>
          </wp:inline>
        </w:drawing>
      </w:r>
    </w:p>
    <w:p w14:paraId="520E5A8D" w14:textId="77777777" w:rsidR="00CF7FD3" w:rsidRPr="00101936" w:rsidRDefault="00000000" w:rsidP="001B3A39">
      <w:pPr>
        <w:spacing w:after="200"/>
        <w:jc w:val="center"/>
        <w:rPr>
          <w:rFonts w:asciiTheme="majorHAnsi" w:hAnsiTheme="majorHAnsi" w:cstheme="majorHAnsi"/>
        </w:rPr>
      </w:pPr>
      <w:r w:rsidRPr="00101936">
        <w:rPr>
          <w:rFonts w:asciiTheme="majorHAnsi" w:hAnsiTheme="majorHAnsi" w:cstheme="majorHAnsi"/>
          <w:b/>
          <w:bCs/>
          <w:sz w:val="19"/>
          <w:szCs w:val="19"/>
        </w:rPr>
        <w:t xml:space="preserve">Figure D2. </w:t>
      </w:r>
      <w:r w:rsidRPr="00101936">
        <w:rPr>
          <w:rFonts w:asciiTheme="majorHAnsi" w:hAnsiTheme="majorHAnsi" w:cstheme="majorHAnsi"/>
          <w:sz w:val="19"/>
          <w:szCs w:val="19"/>
        </w:rPr>
        <w:t>Mean rating of cleaned reviews on Google Play and the App Store, 2025 and 2026</w:t>
      </w:r>
      <w:r w:rsidRPr="00101936">
        <w:rPr>
          <w:rFonts w:asciiTheme="majorHAnsi" w:hAnsiTheme="majorHAnsi" w:cstheme="majorHAnsi"/>
        </w:rPr>
        <w:br/>
      </w:r>
      <w:r w:rsidRPr="00101936">
        <w:rPr>
          <w:rFonts w:asciiTheme="majorHAnsi" w:hAnsiTheme="majorHAnsi" w:cstheme="majorHAnsi"/>
          <w:sz w:val="17"/>
          <w:szCs w:val="17"/>
        </w:rPr>
        <w:t>Source: Google Play and Apple App Store; authors' cleaning.</w:t>
      </w:r>
    </w:p>
    <w:p w14:paraId="0BB4C172"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b/>
          <w:bCs/>
        </w:rPr>
        <w:t>Regulatory record.</w:t>
      </w:r>
      <w:r w:rsidRPr="00101936">
        <w:rPr>
          <w:rFonts w:asciiTheme="majorHAnsi" w:hAnsiTheme="majorHAnsi" w:cstheme="majorHAnsi"/>
        </w:rPr>
        <w:t xml:space="preserve"> Decision 461/QD-XPHC of the State Securities Inspectorate, issued on 17 August 2026, fined DNSE VND 802.5 million. The largest item, VND 275 million, concerned three services supporting derivatives brokerage (advances against open-position gains, out-of-hours advances on margin withdrawals and advances of margin deposits), offered from January 2024 to June 2026 without reporting to the State Securities Commission. DNSE was ordered to stop all three. Other items covered margin loans and advances to insiders and related persons from January 2024 to June 2026, buy orders placed without sufficient funds, margin trading beyond purchasing power and loans for securities that did not qualify (Market Times, 2026; Phu Nu Viet Nam, 2026). An earlier fine of VND 125 million concerned margin lending on a stock removed from the marginable list (Thuong Hieu &amp; Cong Luan, 2024).</w:t>
      </w:r>
    </w:p>
    <w:p w14:paraId="306DED4F" w14:textId="77777777" w:rsidR="00CF7FD3" w:rsidRPr="00101936" w:rsidRDefault="00000000" w:rsidP="00101936">
      <w:pPr>
        <w:pStyle w:val="Heading2"/>
        <w:keepNext/>
        <w:keepLines/>
        <w:jc w:val="both"/>
        <w:rPr>
          <w:rFonts w:asciiTheme="majorHAnsi" w:hAnsiTheme="majorHAnsi" w:cstheme="majorHAnsi"/>
        </w:rPr>
      </w:pPr>
      <w:r w:rsidRPr="00101936">
        <w:rPr>
          <w:rFonts w:asciiTheme="majorHAnsi" w:hAnsiTheme="majorHAnsi" w:cstheme="majorHAnsi"/>
        </w:rPr>
        <w:t>Appendix E. Findex segment analysis</w:t>
      </w:r>
    </w:p>
    <w:p w14:paraId="0435C0B3" w14:textId="77777777" w:rsidR="00CF7FD3" w:rsidRPr="00101936" w:rsidRDefault="00000000" w:rsidP="001B3A39">
      <w:pPr>
        <w:keepNext/>
        <w:spacing w:before="160" w:after="80"/>
        <w:jc w:val="center"/>
        <w:rPr>
          <w:rFonts w:asciiTheme="majorHAnsi" w:hAnsiTheme="majorHAnsi" w:cstheme="majorHAnsi"/>
        </w:rPr>
      </w:pPr>
      <w:r w:rsidRPr="00101936">
        <w:rPr>
          <w:rFonts w:asciiTheme="majorHAnsi" w:hAnsiTheme="majorHAnsi" w:cstheme="majorHAnsi"/>
          <w:b/>
          <w:bCs/>
          <w:sz w:val="19"/>
          <w:szCs w:val="19"/>
        </w:rPr>
        <w:t xml:space="preserve">Table E1. </w:t>
      </w:r>
      <w:r w:rsidRPr="00101936">
        <w:rPr>
          <w:rFonts w:asciiTheme="majorHAnsi" w:hAnsiTheme="majorHAnsi" w:cstheme="majorHAnsi"/>
          <w:sz w:val="19"/>
          <w:szCs w:val="19"/>
        </w:rPr>
        <w:t>Findex indicators for selected segments, Vietnam, 2024 fieldwork (per cent of adults)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880"/>
        <w:gridCol w:w="900"/>
        <w:gridCol w:w="900"/>
        <w:gridCol w:w="900"/>
        <w:gridCol w:w="950"/>
        <w:gridCol w:w="1100"/>
        <w:gridCol w:w="950"/>
        <w:gridCol w:w="932"/>
      </w:tblGrid>
      <w:tr w:rsidR="00CF7FD3" w:rsidRPr="00101936" w14:paraId="09D6B991" w14:textId="77777777">
        <w:tblPrEx>
          <w:tblCellMar>
            <w:top w:w="0" w:type="dxa"/>
            <w:bottom w:w="0" w:type="dxa"/>
          </w:tblCellMar>
        </w:tblPrEx>
        <w:trPr>
          <w:cantSplit/>
          <w:tblHeader/>
        </w:trPr>
        <w:tc>
          <w:tcPr>
            <w:tcW w:w="19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60" w:type="dxa"/>
              <w:bottom w:w="45" w:type="dxa"/>
              <w:right w:w="60" w:type="dxa"/>
            </w:tcMar>
            <w:vAlign w:val="center"/>
          </w:tcPr>
          <w:p w14:paraId="1D2E541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5"/>
                <w:szCs w:val="15"/>
              </w:rPr>
              <w:t>Segment</w:t>
            </w:r>
          </w:p>
        </w:tc>
        <w:tc>
          <w:tcPr>
            <w:tcW w:w="880" w:type="dxa"/>
            <w:tcBorders>
              <w:top w:val="single" w:sz="4" w:space="0" w:color="8C8C8C"/>
              <w:left w:val="single" w:sz="4" w:space="0" w:color="8C8C8C"/>
              <w:bottom w:val="single" w:sz="4" w:space="0" w:color="8C8C8C"/>
              <w:right w:val="single" w:sz="4" w:space="0" w:color="8C8C8C"/>
            </w:tcBorders>
            <w:shd w:val="clear" w:color="auto" w:fill="E6E6E6"/>
            <w:tcMar>
              <w:top w:w="45" w:type="dxa"/>
              <w:left w:w="60" w:type="dxa"/>
              <w:bottom w:w="45" w:type="dxa"/>
              <w:right w:w="60" w:type="dxa"/>
            </w:tcMar>
            <w:vAlign w:val="center"/>
          </w:tcPr>
          <w:p w14:paraId="155BDD2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5"/>
                <w:szCs w:val="15"/>
              </w:rPr>
              <w:t>Share of adults</w:t>
            </w:r>
          </w:p>
        </w:tc>
        <w:tc>
          <w:tcPr>
            <w:tcW w:w="9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60" w:type="dxa"/>
              <w:bottom w:w="45" w:type="dxa"/>
              <w:right w:w="60" w:type="dxa"/>
            </w:tcMar>
            <w:vAlign w:val="center"/>
          </w:tcPr>
          <w:p w14:paraId="003F036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5"/>
                <w:szCs w:val="15"/>
              </w:rPr>
              <w:t>Index A (surplus)</w:t>
            </w:r>
          </w:p>
        </w:tc>
        <w:tc>
          <w:tcPr>
            <w:tcW w:w="9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60" w:type="dxa"/>
              <w:bottom w:w="45" w:type="dxa"/>
              <w:right w:w="60" w:type="dxa"/>
            </w:tcMar>
            <w:vAlign w:val="center"/>
          </w:tcPr>
          <w:p w14:paraId="0C7118D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5"/>
                <w:szCs w:val="15"/>
              </w:rPr>
              <w:t>Index B (digital)</w:t>
            </w:r>
          </w:p>
        </w:tc>
        <w:tc>
          <w:tcPr>
            <w:tcW w:w="9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60" w:type="dxa"/>
              <w:bottom w:w="45" w:type="dxa"/>
              <w:right w:w="60" w:type="dxa"/>
            </w:tcMar>
            <w:vAlign w:val="center"/>
          </w:tcPr>
          <w:p w14:paraId="69D20AC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5"/>
                <w:szCs w:val="15"/>
              </w:rPr>
              <w:t>Has an account</w:t>
            </w:r>
          </w:p>
        </w:tc>
        <w:tc>
          <w:tcPr>
            <w:tcW w:w="950" w:type="dxa"/>
            <w:tcBorders>
              <w:top w:val="single" w:sz="4" w:space="0" w:color="8C8C8C"/>
              <w:left w:val="single" w:sz="4" w:space="0" w:color="8C8C8C"/>
              <w:bottom w:val="single" w:sz="4" w:space="0" w:color="8C8C8C"/>
              <w:right w:val="single" w:sz="4" w:space="0" w:color="8C8C8C"/>
            </w:tcBorders>
            <w:shd w:val="clear" w:color="auto" w:fill="E6E6E6"/>
            <w:tcMar>
              <w:top w:w="45" w:type="dxa"/>
              <w:left w:w="60" w:type="dxa"/>
              <w:bottom w:w="45" w:type="dxa"/>
              <w:right w:w="60" w:type="dxa"/>
            </w:tcMar>
            <w:vAlign w:val="center"/>
          </w:tcPr>
          <w:p w14:paraId="39F552E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5"/>
                <w:szCs w:val="15"/>
              </w:rPr>
              <w:t>Saved at an institution</w:t>
            </w:r>
          </w:p>
        </w:tc>
        <w:tc>
          <w:tcPr>
            <w:tcW w:w="11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60" w:type="dxa"/>
              <w:bottom w:w="45" w:type="dxa"/>
              <w:right w:w="60" w:type="dxa"/>
            </w:tcMar>
            <w:vAlign w:val="center"/>
          </w:tcPr>
          <w:p w14:paraId="137921F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5"/>
                <w:szCs w:val="15"/>
              </w:rPr>
              <w:t>Account but no formal saving, million</w:t>
            </w:r>
          </w:p>
        </w:tc>
        <w:tc>
          <w:tcPr>
            <w:tcW w:w="950" w:type="dxa"/>
            <w:tcBorders>
              <w:top w:val="single" w:sz="4" w:space="0" w:color="8C8C8C"/>
              <w:left w:val="single" w:sz="4" w:space="0" w:color="8C8C8C"/>
              <w:bottom w:val="single" w:sz="4" w:space="0" w:color="8C8C8C"/>
              <w:right w:val="single" w:sz="4" w:space="0" w:color="8C8C8C"/>
            </w:tcBorders>
            <w:shd w:val="clear" w:color="auto" w:fill="E6E6E6"/>
            <w:tcMar>
              <w:top w:w="45" w:type="dxa"/>
              <w:left w:w="60" w:type="dxa"/>
              <w:bottom w:w="45" w:type="dxa"/>
              <w:right w:w="60" w:type="dxa"/>
            </w:tcMar>
            <w:vAlign w:val="center"/>
          </w:tcPr>
          <w:p w14:paraId="291891E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5"/>
                <w:szCs w:val="15"/>
              </w:rPr>
              <w:t>Wages into an account</w:t>
            </w:r>
          </w:p>
        </w:tc>
        <w:tc>
          <w:tcPr>
            <w:tcW w:w="932" w:type="dxa"/>
            <w:tcBorders>
              <w:top w:val="single" w:sz="4" w:space="0" w:color="8C8C8C"/>
              <w:left w:val="single" w:sz="4" w:space="0" w:color="8C8C8C"/>
              <w:bottom w:val="single" w:sz="4" w:space="0" w:color="8C8C8C"/>
              <w:right w:val="single" w:sz="4" w:space="0" w:color="8C8C8C"/>
            </w:tcBorders>
            <w:shd w:val="clear" w:color="auto" w:fill="E6E6E6"/>
            <w:tcMar>
              <w:top w:w="45" w:type="dxa"/>
              <w:left w:w="60" w:type="dxa"/>
              <w:bottom w:w="45" w:type="dxa"/>
              <w:right w:w="60" w:type="dxa"/>
            </w:tcMar>
            <w:vAlign w:val="center"/>
          </w:tcPr>
          <w:p w14:paraId="2EA1A22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5"/>
                <w:szCs w:val="15"/>
              </w:rPr>
              <w:t>Saved for old age</w:t>
            </w:r>
          </w:p>
        </w:tc>
      </w:tr>
      <w:tr w:rsidR="00CF7FD3" w:rsidRPr="00101936" w14:paraId="7E12445E"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0D99ABC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All adults</w:t>
            </w:r>
          </w:p>
        </w:tc>
        <w:tc>
          <w:tcPr>
            <w:tcW w:w="88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5B5F71F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100.0</w:t>
            </w:r>
          </w:p>
        </w:tc>
        <w:tc>
          <w:tcPr>
            <w:tcW w:w="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77A402E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36.8</w:t>
            </w:r>
          </w:p>
        </w:tc>
        <w:tc>
          <w:tcPr>
            <w:tcW w:w="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6A10EAA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59.4</w:t>
            </w:r>
          </w:p>
        </w:tc>
        <w:tc>
          <w:tcPr>
            <w:tcW w:w="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2607F20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70.5</w:t>
            </w:r>
          </w:p>
        </w:tc>
        <w:tc>
          <w:tcPr>
            <w:tcW w:w="95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19DD923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43.1</w:t>
            </w:r>
          </w:p>
        </w:tc>
        <w:tc>
          <w:tcPr>
            <w:tcW w:w="11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643F62B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22.1</w:t>
            </w:r>
          </w:p>
        </w:tc>
        <w:tc>
          <w:tcPr>
            <w:tcW w:w="95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6EBA96F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37.0</w:t>
            </w:r>
          </w:p>
        </w:tc>
        <w:tc>
          <w:tcPr>
            <w:tcW w:w="932"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073E5A1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20.2</w:t>
            </w:r>
          </w:p>
        </w:tc>
      </w:tr>
      <w:tr w:rsidR="00CF7FD3" w:rsidRPr="00101936" w14:paraId="34B28FB6"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1DD5D69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Aged 15 to 24</w:t>
            </w:r>
          </w:p>
        </w:tc>
        <w:tc>
          <w:tcPr>
            <w:tcW w:w="88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2F953B7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18.2</w:t>
            </w:r>
          </w:p>
        </w:tc>
        <w:tc>
          <w:tcPr>
            <w:tcW w:w="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0B160B7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31.1</w:t>
            </w:r>
          </w:p>
        </w:tc>
        <w:tc>
          <w:tcPr>
            <w:tcW w:w="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67C2643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66.2</w:t>
            </w:r>
          </w:p>
        </w:tc>
        <w:tc>
          <w:tcPr>
            <w:tcW w:w="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278A79B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72.2</w:t>
            </w:r>
          </w:p>
        </w:tc>
        <w:tc>
          <w:tcPr>
            <w:tcW w:w="95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066CAAD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38.6</w:t>
            </w:r>
          </w:p>
        </w:tc>
        <w:tc>
          <w:tcPr>
            <w:tcW w:w="11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11E1CA0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4.9</w:t>
            </w:r>
          </w:p>
        </w:tc>
        <w:tc>
          <w:tcPr>
            <w:tcW w:w="95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1E10279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36.9</w:t>
            </w:r>
          </w:p>
        </w:tc>
        <w:tc>
          <w:tcPr>
            <w:tcW w:w="932"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6CCAA1E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8.2</w:t>
            </w:r>
          </w:p>
        </w:tc>
      </w:tr>
      <w:tr w:rsidR="00CF7FD3" w:rsidRPr="00101936" w14:paraId="3B6C78F4"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413FFCC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Aged 25 and over</w:t>
            </w:r>
          </w:p>
        </w:tc>
        <w:tc>
          <w:tcPr>
            <w:tcW w:w="88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4ED138F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81.8</w:t>
            </w:r>
          </w:p>
        </w:tc>
        <w:tc>
          <w:tcPr>
            <w:tcW w:w="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4B82E09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38.1</w:t>
            </w:r>
          </w:p>
        </w:tc>
        <w:tc>
          <w:tcPr>
            <w:tcW w:w="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76EF465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57.9</w:t>
            </w:r>
          </w:p>
        </w:tc>
        <w:tc>
          <w:tcPr>
            <w:tcW w:w="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546B567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70.2</w:t>
            </w:r>
          </w:p>
        </w:tc>
        <w:tc>
          <w:tcPr>
            <w:tcW w:w="95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34E2119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44.1</w:t>
            </w:r>
          </w:p>
        </w:tc>
        <w:tc>
          <w:tcPr>
            <w:tcW w:w="11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5FC9A45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17.2</w:t>
            </w:r>
          </w:p>
        </w:tc>
        <w:tc>
          <w:tcPr>
            <w:tcW w:w="95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55B1CF2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37.0</w:t>
            </w:r>
          </w:p>
        </w:tc>
        <w:tc>
          <w:tcPr>
            <w:tcW w:w="932"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2165048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22.8</w:t>
            </w:r>
          </w:p>
        </w:tc>
      </w:tr>
      <w:tr w:rsidR="00CF7FD3" w:rsidRPr="00101936" w14:paraId="4185CD15"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4B68F96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Secondary education or more</w:t>
            </w:r>
          </w:p>
        </w:tc>
        <w:tc>
          <w:tcPr>
            <w:tcW w:w="88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15352A0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88.8</w:t>
            </w:r>
          </w:p>
        </w:tc>
        <w:tc>
          <w:tcPr>
            <w:tcW w:w="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339941A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39.5</w:t>
            </w:r>
          </w:p>
        </w:tc>
        <w:tc>
          <w:tcPr>
            <w:tcW w:w="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1979777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63.5</w:t>
            </w:r>
          </w:p>
        </w:tc>
        <w:tc>
          <w:tcPr>
            <w:tcW w:w="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63E9067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75.2</w:t>
            </w:r>
          </w:p>
        </w:tc>
        <w:tc>
          <w:tcPr>
            <w:tcW w:w="95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7DA9F53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46.7</w:t>
            </w:r>
          </w:p>
        </w:tc>
        <w:tc>
          <w:tcPr>
            <w:tcW w:w="11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7C30639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20.4</w:t>
            </w:r>
          </w:p>
        </w:tc>
        <w:tc>
          <w:tcPr>
            <w:tcW w:w="95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67689AC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40.4</w:t>
            </w:r>
          </w:p>
        </w:tc>
        <w:tc>
          <w:tcPr>
            <w:tcW w:w="932"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33077E5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21.7</w:t>
            </w:r>
          </w:p>
        </w:tc>
      </w:tr>
      <w:tr w:rsidR="00CF7FD3" w:rsidRPr="00101936" w14:paraId="13FB7C98"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4519686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Richest 60%</w:t>
            </w:r>
          </w:p>
        </w:tc>
        <w:tc>
          <w:tcPr>
            <w:tcW w:w="88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7AC840F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60.0</w:t>
            </w:r>
          </w:p>
        </w:tc>
        <w:tc>
          <w:tcPr>
            <w:tcW w:w="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6F70367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46.0</w:t>
            </w:r>
          </w:p>
        </w:tc>
        <w:tc>
          <w:tcPr>
            <w:tcW w:w="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3EE74AA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72.0</w:t>
            </w:r>
          </w:p>
        </w:tc>
        <w:tc>
          <w:tcPr>
            <w:tcW w:w="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4A26C7A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85.5</w:t>
            </w:r>
          </w:p>
        </w:tc>
        <w:tc>
          <w:tcPr>
            <w:tcW w:w="95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4CC5F7E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53.8</w:t>
            </w:r>
          </w:p>
        </w:tc>
        <w:tc>
          <w:tcPr>
            <w:tcW w:w="11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61C3650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15.3</w:t>
            </w:r>
          </w:p>
        </w:tc>
        <w:tc>
          <w:tcPr>
            <w:tcW w:w="95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2006B14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49.5</w:t>
            </w:r>
          </w:p>
        </w:tc>
        <w:tc>
          <w:tcPr>
            <w:tcW w:w="932"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3BCBC96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26.5</w:t>
            </w:r>
          </w:p>
        </w:tc>
      </w:tr>
      <w:tr w:rsidR="00CF7FD3" w:rsidRPr="00101936" w14:paraId="2A19EDB1"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31E7A1D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In labour force</w:t>
            </w:r>
          </w:p>
        </w:tc>
        <w:tc>
          <w:tcPr>
            <w:tcW w:w="88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1E37BD8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79.9</w:t>
            </w:r>
          </w:p>
        </w:tc>
        <w:tc>
          <w:tcPr>
            <w:tcW w:w="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5B6E750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41.5</w:t>
            </w:r>
          </w:p>
        </w:tc>
        <w:tc>
          <w:tcPr>
            <w:tcW w:w="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378D567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65.1</w:t>
            </w:r>
          </w:p>
        </w:tc>
        <w:tc>
          <w:tcPr>
            <w:tcW w:w="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443B6F9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77.9</w:t>
            </w:r>
          </w:p>
        </w:tc>
        <w:tc>
          <w:tcPr>
            <w:tcW w:w="95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3734FBE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48.4</w:t>
            </w:r>
          </w:p>
        </w:tc>
        <w:tc>
          <w:tcPr>
            <w:tcW w:w="11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06B1878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19.0</w:t>
            </w:r>
          </w:p>
        </w:tc>
        <w:tc>
          <w:tcPr>
            <w:tcW w:w="95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63A9AE2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45.2</w:t>
            </w:r>
          </w:p>
        </w:tc>
        <w:tc>
          <w:tcPr>
            <w:tcW w:w="932"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7F8B9D2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23.2</w:t>
            </w:r>
          </w:p>
        </w:tc>
      </w:tr>
      <w:tr w:rsidR="00CF7FD3" w:rsidRPr="00101936" w14:paraId="349E9E19"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3FC05C1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Poorest 40%</w:t>
            </w:r>
          </w:p>
        </w:tc>
        <w:tc>
          <w:tcPr>
            <w:tcW w:w="88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5198DDE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40.0</w:t>
            </w:r>
          </w:p>
        </w:tc>
        <w:tc>
          <w:tcPr>
            <w:tcW w:w="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7086C08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23.1</w:t>
            </w:r>
          </w:p>
        </w:tc>
        <w:tc>
          <w:tcPr>
            <w:tcW w:w="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7C962AA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40.5</w:t>
            </w:r>
          </w:p>
        </w:tc>
        <w:tc>
          <w:tcPr>
            <w:tcW w:w="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27EE45E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48.1</w:t>
            </w:r>
          </w:p>
        </w:tc>
        <w:tc>
          <w:tcPr>
            <w:tcW w:w="95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7AFD23B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27.1</w:t>
            </w:r>
          </w:p>
        </w:tc>
        <w:tc>
          <w:tcPr>
            <w:tcW w:w="11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5C4FC0B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6.8</w:t>
            </w:r>
          </w:p>
        </w:tc>
        <w:tc>
          <w:tcPr>
            <w:tcW w:w="95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7AA08D3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18.1</w:t>
            </w:r>
          </w:p>
        </w:tc>
        <w:tc>
          <w:tcPr>
            <w:tcW w:w="932"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7C571A7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10.6</w:t>
            </w:r>
          </w:p>
        </w:tc>
      </w:tr>
    </w:tbl>
    <w:p w14:paraId="4423E359" w14:textId="77777777" w:rsidR="00CF7FD3" w:rsidRPr="00101936" w:rsidRDefault="00000000" w:rsidP="00101936">
      <w:pPr>
        <w:spacing w:before="60" w:after="200"/>
        <w:jc w:val="both"/>
        <w:rPr>
          <w:rFonts w:asciiTheme="majorHAnsi" w:hAnsiTheme="majorHAnsi" w:cstheme="majorHAnsi"/>
        </w:rPr>
      </w:pPr>
      <w:r w:rsidRPr="00101936">
        <w:rPr>
          <w:rFonts w:asciiTheme="majorHAnsi" w:hAnsiTheme="majorHAnsi" w:cstheme="majorHAnsi"/>
          <w:sz w:val="17"/>
          <w:szCs w:val="17"/>
        </w:rPr>
        <w:t>Source: World Bank (2025); authors' indices. Index A averages six indicators of formally held surplus (saving at an institution, monthly saving into an account, storing money in an account, receiving interest, saving for old age, covering two months without income). Index B averages six indicators of digital habit (digitally enabled account, daily internet use, smartphone, weekly card or mobile payment in store, checking a balance by phone, wages into an account). Segment population shares are recovered from the survey itself.</w:t>
      </w:r>
    </w:p>
    <w:p w14:paraId="2FD5A500" w14:textId="77777777" w:rsidR="00CF7FD3" w:rsidRPr="00101936" w:rsidRDefault="00000000" w:rsidP="001B3A39">
      <w:pPr>
        <w:keepNext/>
        <w:spacing w:before="160" w:after="80"/>
        <w:jc w:val="center"/>
        <w:rPr>
          <w:rFonts w:asciiTheme="majorHAnsi" w:hAnsiTheme="majorHAnsi" w:cstheme="majorHAnsi"/>
        </w:rPr>
      </w:pPr>
      <w:r w:rsidRPr="00101936">
        <w:rPr>
          <w:rFonts w:asciiTheme="majorHAnsi" w:hAnsiTheme="majorHAnsi" w:cstheme="majorHAnsi"/>
          <w:b/>
          <w:bCs/>
          <w:sz w:val="19"/>
          <w:szCs w:val="19"/>
        </w:rPr>
        <w:t xml:space="preserve">Table E2. </w:t>
      </w:r>
      <w:r w:rsidRPr="00101936">
        <w:rPr>
          <w:rFonts w:asciiTheme="majorHAnsi" w:hAnsiTheme="majorHAnsi" w:cstheme="majorHAnsi"/>
          <w:sz w:val="19"/>
          <w:szCs w:val="19"/>
        </w:rPr>
        <w:t>Segment ranks under four weighting schemes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12"/>
        <w:gridCol w:w="1500"/>
        <w:gridCol w:w="1500"/>
        <w:gridCol w:w="1500"/>
        <w:gridCol w:w="1500"/>
      </w:tblGrid>
      <w:tr w:rsidR="00CF7FD3" w:rsidRPr="00101936" w14:paraId="68065723" w14:textId="77777777">
        <w:tblPrEx>
          <w:tblCellMar>
            <w:top w:w="0" w:type="dxa"/>
            <w:bottom w:w="0" w:type="dxa"/>
          </w:tblCellMar>
        </w:tblPrEx>
        <w:trPr>
          <w:cantSplit/>
          <w:tblHeader/>
        </w:trPr>
        <w:tc>
          <w:tcPr>
            <w:tcW w:w="3412"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3227B86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Segment</w:t>
            </w:r>
          </w:p>
        </w:tc>
        <w:tc>
          <w:tcPr>
            <w:tcW w:w="15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38DA4B9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Equal weights</w:t>
            </w:r>
          </w:p>
        </w:tc>
        <w:tc>
          <w:tcPr>
            <w:tcW w:w="15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2992C99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Value-heavy</w:t>
            </w:r>
          </w:p>
        </w:tc>
        <w:tc>
          <w:tcPr>
            <w:tcW w:w="15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7F4C17E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Scale-heavy</w:t>
            </w:r>
          </w:p>
        </w:tc>
        <w:tc>
          <w:tcPr>
            <w:tcW w:w="15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253E747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Reach-heavy</w:t>
            </w:r>
          </w:p>
        </w:tc>
      </w:tr>
      <w:tr w:rsidR="00CF7FD3" w:rsidRPr="00101936" w14:paraId="2844C588"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649C11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Richest 60%</w:t>
            </w:r>
          </w:p>
        </w:tc>
        <w:tc>
          <w:tcPr>
            <w:tcW w:w="15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68268D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w:t>
            </w:r>
          </w:p>
        </w:tc>
        <w:tc>
          <w:tcPr>
            <w:tcW w:w="15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3FD3B9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w:t>
            </w:r>
          </w:p>
        </w:tc>
        <w:tc>
          <w:tcPr>
            <w:tcW w:w="15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4E3621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w:t>
            </w:r>
          </w:p>
        </w:tc>
        <w:tc>
          <w:tcPr>
            <w:tcW w:w="15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2364D6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w:t>
            </w:r>
          </w:p>
        </w:tc>
      </w:tr>
      <w:tr w:rsidR="00CF7FD3" w:rsidRPr="00101936" w14:paraId="399F12B0"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15ACD2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In labour force</w:t>
            </w:r>
          </w:p>
        </w:tc>
        <w:tc>
          <w:tcPr>
            <w:tcW w:w="15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37CDD0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w:t>
            </w:r>
          </w:p>
        </w:tc>
        <w:tc>
          <w:tcPr>
            <w:tcW w:w="15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837642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w:t>
            </w:r>
          </w:p>
        </w:tc>
        <w:tc>
          <w:tcPr>
            <w:tcW w:w="15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00AF30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w:t>
            </w:r>
          </w:p>
        </w:tc>
        <w:tc>
          <w:tcPr>
            <w:tcW w:w="15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F19535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w:t>
            </w:r>
          </w:p>
        </w:tc>
      </w:tr>
      <w:tr w:rsidR="00CF7FD3" w:rsidRPr="00101936" w14:paraId="75628146"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69CBAF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Secondary education or more</w:t>
            </w:r>
          </w:p>
        </w:tc>
        <w:tc>
          <w:tcPr>
            <w:tcW w:w="15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5BC4A3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w:t>
            </w:r>
          </w:p>
        </w:tc>
        <w:tc>
          <w:tcPr>
            <w:tcW w:w="15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378600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4</w:t>
            </w:r>
          </w:p>
        </w:tc>
        <w:tc>
          <w:tcPr>
            <w:tcW w:w="15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C088E9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w:t>
            </w:r>
          </w:p>
        </w:tc>
        <w:tc>
          <w:tcPr>
            <w:tcW w:w="15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F51EF9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w:t>
            </w:r>
          </w:p>
        </w:tc>
      </w:tr>
      <w:tr w:rsidR="00CF7FD3" w:rsidRPr="00101936" w14:paraId="0D4C500C"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F06447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Urban</w:t>
            </w:r>
          </w:p>
        </w:tc>
        <w:tc>
          <w:tcPr>
            <w:tcW w:w="15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E7CF0E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4</w:t>
            </w:r>
          </w:p>
        </w:tc>
        <w:tc>
          <w:tcPr>
            <w:tcW w:w="15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A31C04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w:t>
            </w:r>
          </w:p>
        </w:tc>
        <w:tc>
          <w:tcPr>
            <w:tcW w:w="15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1AB3EA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5</w:t>
            </w:r>
          </w:p>
        </w:tc>
        <w:tc>
          <w:tcPr>
            <w:tcW w:w="15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18EC5E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4</w:t>
            </w:r>
          </w:p>
        </w:tc>
      </w:tr>
      <w:tr w:rsidR="00CF7FD3" w:rsidRPr="00101936" w14:paraId="6E8368D7"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3A7975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Aged 25 and over</w:t>
            </w:r>
          </w:p>
        </w:tc>
        <w:tc>
          <w:tcPr>
            <w:tcW w:w="15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F65497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5</w:t>
            </w:r>
          </w:p>
        </w:tc>
        <w:tc>
          <w:tcPr>
            <w:tcW w:w="15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BC0D6F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5</w:t>
            </w:r>
          </w:p>
        </w:tc>
        <w:tc>
          <w:tcPr>
            <w:tcW w:w="15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0038F0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4</w:t>
            </w:r>
          </w:p>
        </w:tc>
        <w:tc>
          <w:tcPr>
            <w:tcW w:w="15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393F74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6</w:t>
            </w:r>
          </w:p>
        </w:tc>
      </w:tr>
      <w:tr w:rsidR="00CF7FD3" w:rsidRPr="00101936" w14:paraId="531151E6" w14:textId="77777777">
        <w:tblPrEx>
          <w:tblCellMar>
            <w:top w:w="0" w:type="dxa"/>
            <w:bottom w:w="0" w:type="dxa"/>
          </w:tblCellMar>
        </w:tblPrEx>
        <w:trPr>
          <w:cantSplit/>
        </w:trPr>
        <w:tc>
          <w:tcPr>
            <w:tcW w:w="34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259E37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Aged 15 to 24</w:t>
            </w:r>
          </w:p>
        </w:tc>
        <w:tc>
          <w:tcPr>
            <w:tcW w:w="15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D77FA5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9</w:t>
            </w:r>
          </w:p>
        </w:tc>
        <w:tc>
          <w:tcPr>
            <w:tcW w:w="15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ECA9DB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9</w:t>
            </w:r>
          </w:p>
        </w:tc>
        <w:tc>
          <w:tcPr>
            <w:tcW w:w="15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E122AD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9</w:t>
            </w:r>
          </w:p>
        </w:tc>
        <w:tc>
          <w:tcPr>
            <w:tcW w:w="15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A03138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7</w:t>
            </w:r>
          </w:p>
        </w:tc>
      </w:tr>
    </w:tbl>
    <w:p w14:paraId="5A7FCA4E" w14:textId="77777777" w:rsidR="00CF7FD3" w:rsidRPr="00101936" w:rsidRDefault="00000000" w:rsidP="00101936">
      <w:pPr>
        <w:spacing w:before="60" w:after="200"/>
        <w:jc w:val="both"/>
        <w:rPr>
          <w:rFonts w:asciiTheme="majorHAnsi" w:hAnsiTheme="majorHAnsi" w:cstheme="majorHAnsi"/>
        </w:rPr>
      </w:pPr>
      <w:r w:rsidRPr="00101936">
        <w:rPr>
          <w:rFonts w:asciiTheme="majorHAnsi" w:hAnsiTheme="majorHAnsi" w:cstheme="majorHAnsi"/>
          <w:sz w:val="17"/>
          <w:szCs w:val="17"/>
        </w:rPr>
        <w:t xml:space="preserve">Source: authors' calculations from Table E1 and the full twelve-segment data. Each criterion is min-max normalised across the twelve segments. Weights on (Index A, Index B, gap, adults with an account but no saving, wage receipt, saving for old age) are 1,1,1,1,1,1 (equal); </w:t>
      </w:r>
      <w:r w:rsidRPr="00101936">
        <w:rPr>
          <w:rFonts w:asciiTheme="majorHAnsi" w:hAnsiTheme="majorHAnsi" w:cstheme="majorHAnsi"/>
          <w:sz w:val="17"/>
          <w:szCs w:val="17"/>
        </w:rPr>
        <w:lastRenderedPageBreak/>
        <w:t>3,1,1,1,2,2 (value-heavy); 1,1,1,3,1,1 (scale-heavy); and 1,3,2,1,1,1 (reach-heavy). With about 1,000 interviews, the 15-to-24 group rests on roughly 180 respondents, so small differences in rank sit within sampling error.</w:t>
      </w:r>
    </w:p>
    <w:p w14:paraId="738105CC" w14:textId="77777777" w:rsidR="00CF7FD3" w:rsidRPr="00101936" w:rsidRDefault="00000000" w:rsidP="001B3A39">
      <w:pPr>
        <w:keepNext/>
        <w:spacing w:before="120" w:after="60"/>
        <w:jc w:val="center"/>
        <w:rPr>
          <w:rFonts w:asciiTheme="majorHAnsi" w:hAnsiTheme="majorHAnsi" w:cstheme="majorHAnsi"/>
        </w:rPr>
      </w:pPr>
      <w:r w:rsidRPr="00101936">
        <w:rPr>
          <w:rFonts w:asciiTheme="majorHAnsi" w:hAnsiTheme="majorHAnsi" w:cstheme="majorHAnsi"/>
          <w:noProof/>
        </w:rPr>
        <w:drawing>
          <wp:inline distT="0" distB="0" distL="0" distR="0" wp14:anchorId="6733003A" wp14:editId="2A9CAC54">
            <wp:extent cx="5391150" cy="2428875"/>
            <wp:effectExtent l="0" t="0" r="0" b="0"/>
            <wp:docPr id="359343491" name="Figure E1." descr="Payday and saving behaviour by segment pair" title="Figure 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91150" cy="2428875"/>
                    </a:xfrm>
                    <a:prstGeom prst="rect">
                      <a:avLst/>
                    </a:prstGeom>
                  </pic:spPr>
                </pic:pic>
              </a:graphicData>
            </a:graphic>
          </wp:inline>
        </w:drawing>
      </w:r>
    </w:p>
    <w:p w14:paraId="37C85FCA" w14:textId="77777777" w:rsidR="00CF7FD3" w:rsidRPr="00101936" w:rsidRDefault="00000000" w:rsidP="001B3A39">
      <w:pPr>
        <w:spacing w:after="200"/>
        <w:jc w:val="center"/>
        <w:rPr>
          <w:rFonts w:asciiTheme="majorHAnsi" w:hAnsiTheme="majorHAnsi" w:cstheme="majorHAnsi"/>
        </w:rPr>
      </w:pPr>
      <w:r w:rsidRPr="00101936">
        <w:rPr>
          <w:rFonts w:asciiTheme="majorHAnsi" w:hAnsiTheme="majorHAnsi" w:cstheme="majorHAnsi"/>
          <w:b/>
          <w:bCs/>
          <w:sz w:val="19"/>
          <w:szCs w:val="19"/>
        </w:rPr>
        <w:t xml:space="preserve">Figure E1. </w:t>
      </w:r>
      <w:r w:rsidRPr="00101936">
        <w:rPr>
          <w:rFonts w:asciiTheme="majorHAnsi" w:hAnsiTheme="majorHAnsi" w:cstheme="majorHAnsi"/>
          <w:sz w:val="19"/>
          <w:szCs w:val="19"/>
        </w:rPr>
        <w:t>Payday and saving behaviour by segment pair</w:t>
      </w:r>
      <w:r w:rsidRPr="00101936">
        <w:rPr>
          <w:rFonts w:asciiTheme="majorHAnsi" w:hAnsiTheme="majorHAnsi" w:cstheme="majorHAnsi"/>
        </w:rPr>
        <w:br/>
      </w:r>
      <w:r w:rsidRPr="00101936">
        <w:rPr>
          <w:rFonts w:asciiTheme="majorHAnsi" w:hAnsiTheme="majorHAnsi" w:cstheme="majorHAnsi"/>
          <w:sz w:val="17"/>
          <w:szCs w:val="17"/>
        </w:rPr>
        <w:t>Source: World Bank (2025).</w:t>
      </w:r>
    </w:p>
    <w:p w14:paraId="1D0FABD1" w14:textId="77777777" w:rsidR="00CF7FD3" w:rsidRPr="00101936" w:rsidRDefault="00000000" w:rsidP="001B3A39">
      <w:pPr>
        <w:keepNext/>
        <w:spacing w:before="160" w:after="80"/>
        <w:jc w:val="center"/>
        <w:rPr>
          <w:rFonts w:asciiTheme="majorHAnsi" w:hAnsiTheme="majorHAnsi" w:cstheme="majorHAnsi"/>
        </w:rPr>
      </w:pPr>
      <w:r w:rsidRPr="00101936">
        <w:rPr>
          <w:rFonts w:asciiTheme="majorHAnsi" w:hAnsiTheme="majorHAnsi" w:cstheme="majorHAnsi"/>
          <w:b/>
          <w:bCs/>
          <w:sz w:val="19"/>
          <w:szCs w:val="19"/>
        </w:rPr>
        <w:t xml:space="preserve">Table E3. </w:t>
      </w:r>
      <w:r w:rsidRPr="00101936">
        <w:rPr>
          <w:rFonts w:asciiTheme="majorHAnsi" w:hAnsiTheme="majorHAnsi" w:cstheme="majorHAnsi"/>
          <w:sz w:val="19"/>
          <w:szCs w:val="19"/>
        </w:rPr>
        <w:t>Customer segments and objectives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00"/>
        <w:gridCol w:w="3312"/>
        <w:gridCol w:w="1900"/>
      </w:tblGrid>
      <w:tr w:rsidR="00CF7FD3" w:rsidRPr="00101936" w14:paraId="306B3D69" w14:textId="77777777">
        <w:tblPrEx>
          <w:tblCellMar>
            <w:top w:w="0" w:type="dxa"/>
            <w:bottom w:w="0" w:type="dxa"/>
          </w:tblCellMar>
        </w:tblPrEx>
        <w:trPr>
          <w:cantSplit/>
          <w:tblHeader/>
        </w:trPr>
        <w:tc>
          <w:tcPr>
            <w:tcW w:w="42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7D3F25D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Segment (E existing, N new)</w:t>
            </w:r>
          </w:p>
        </w:tc>
        <w:tc>
          <w:tcPr>
            <w:tcW w:w="3312"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7A9AF2A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Main barrier (hypothesis)</w:t>
            </w:r>
          </w:p>
        </w:tc>
        <w:tc>
          <w:tcPr>
            <w:tcW w:w="19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255B08B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Objective</w:t>
            </w:r>
          </w:p>
        </w:tc>
      </w:tr>
      <w:tr w:rsidR="00CF7FD3" w:rsidRPr="00101936" w14:paraId="300AE2AC" w14:textId="77777777">
        <w:tblPrEx>
          <w:tblCellMar>
            <w:top w:w="0" w:type="dxa"/>
            <w:bottom w:w="0" w:type="dxa"/>
          </w:tblCellMar>
        </w:tblPrEx>
        <w:trPr>
          <w:cantSplit/>
        </w:trPr>
        <w:tc>
          <w:tcPr>
            <w:tcW w:w="4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D1FBD9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E1. Active and funded (85,739 active; 27,100 above VND 10 million)</w:t>
            </w:r>
          </w:p>
        </w:tc>
        <w:tc>
          <w:tcPr>
            <w:tcW w:w="33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5B7FDA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Reliability; rivals' yields</w:t>
            </w:r>
          </w:p>
        </w:tc>
        <w:tc>
          <w:tcPr>
            <w:tcW w:w="19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E8BB0C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Retain; add a goal</w:t>
            </w:r>
          </w:p>
        </w:tc>
      </w:tr>
      <w:tr w:rsidR="00CF7FD3" w:rsidRPr="00101936" w14:paraId="5150C68A" w14:textId="77777777">
        <w:tblPrEx>
          <w:tblCellMar>
            <w:top w:w="0" w:type="dxa"/>
            <w:bottom w:w="0" w:type="dxa"/>
          </w:tblCellMar>
        </w:tblPrEx>
        <w:trPr>
          <w:cantSplit/>
        </w:trPr>
        <w:tc>
          <w:tcPr>
            <w:tcW w:w="4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CA6A26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E2. Dormant intenders (about 1.4 million accounts below VND 10 million)</w:t>
            </w:r>
          </w:p>
        </w:tc>
        <w:tc>
          <w:tcPr>
            <w:tcW w:w="33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FB1DD1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Procrastination; reward disputes</w:t>
            </w:r>
          </w:p>
        </w:tc>
        <w:tc>
          <w:tcPr>
            <w:tcW w:w="19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57B2BE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Launch target</w:t>
            </w:r>
          </w:p>
        </w:tc>
      </w:tr>
      <w:tr w:rsidR="00CF7FD3" w:rsidRPr="00101936" w14:paraId="631498BE" w14:textId="77777777">
        <w:tblPrEx>
          <w:tblCellMar>
            <w:top w:w="0" w:type="dxa"/>
            <w:bottom w:w="0" w:type="dxa"/>
          </w:tblCellMar>
        </w:tblPrEx>
        <w:trPr>
          <w:cantSplit/>
        </w:trPr>
        <w:tc>
          <w:tcPr>
            <w:tcW w:w="4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2DD72C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N1. Salaried adults aged 22 to 40 (15 to 20 million account holders who do not save formally)</w:t>
            </w:r>
          </w:p>
        </w:tc>
        <w:tc>
          <w:tcPr>
            <w:tcW w:w="33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48808B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No route from salary to investment</w:t>
            </w:r>
          </w:p>
        </w:tc>
        <w:tc>
          <w:tcPr>
            <w:tcW w:w="19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1C2391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Scale-up target</w:t>
            </w:r>
          </w:p>
        </w:tc>
      </w:tr>
      <w:tr w:rsidR="00CF7FD3" w:rsidRPr="00101936" w14:paraId="4F60A623" w14:textId="77777777">
        <w:tblPrEx>
          <w:tblCellMar>
            <w:top w:w="0" w:type="dxa"/>
            <w:bottom w:w="0" w:type="dxa"/>
          </w:tblCellMar>
        </w:tblPrEx>
        <w:trPr>
          <w:cantSplit/>
        </w:trPr>
        <w:tc>
          <w:tcPr>
            <w:tcW w:w="4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834A11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N2. First-time investors aged 15 to 24</w:t>
            </w:r>
          </w:p>
        </w:tc>
        <w:tc>
          <w:tcPr>
            <w:tcW w:w="33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615CB8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Low capital; irregular income</w:t>
            </w:r>
          </w:p>
        </w:tc>
        <w:tc>
          <w:tcPr>
            <w:tcW w:w="19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D2E96E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Build habits cheaply</w:t>
            </w:r>
          </w:p>
        </w:tc>
      </w:tr>
      <w:tr w:rsidR="00CF7FD3" w:rsidRPr="00101936" w14:paraId="45C962B2" w14:textId="77777777">
        <w:tblPrEx>
          <w:tblCellMar>
            <w:top w:w="0" w:type="dxa"/>
            <w:bottom w:w="0" w:type="dxa"/>
          </w:tblCellMar>
        </w:tblPrEx>
        <w:trPr>
          <w:cantSplit/>
        </w:trPr>
        <w:tc>
          <w:tcPr>
            <w:tcW w:w="4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9D274B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N3. Older, wealthy investors</w:t>
            </w:r>
          </w:p>
        </w:tc>
        <w:tc>
          <w:tcPr>
            <w:tcW w:w="33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9D46ED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Prefer human brokers and bank brands</w:t>
            </w:r>
          </w:p>
        </w:tc>
        <w:tc>
          <w:tcPr>
            <w:tcW w:w="19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5AC15B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Deprioritise</w:t>
            </w:r>
          </w:p>
        </w:tc>
      </w:tr>
    </w:tbl>
    <w:p w14:paraId="59DC2B5E" w14:textId="77777777" w:rsidR="00CF7FD3" w:rsidRPr="00101936" w:rsidRDefault="00000000" w:rsidP="00101936">
      <w:pPr>
        <w:spacing w:before="60" w:after="200"/>
        <w:jc w:val="both"/>
        <w:rPr>
          <w:rFonts w:asciiTheme="majorHAnsi" w:hAnsiTheme="majorHAnsi" w:cstheme="majorHAnsi"/>
        </w:rPr>
      </w:pPr>
      <w:r w:rsidRPr="00101936">
        <w:rPr>
          <w:rFonts w:asciiTheme="majorHAnsi" w:hAnsiTheme="majorHAnsi" w:cstheme="majorHAnsi"/>
          <w:sz w:val="17"/>
          <w:szCs w:val="17"/>
        </w:rPr>
        <w:t>Source: Sections 2.2 and 2.7; World Bank (2025). Sizes and barriers are hypotheses for internal data to test. KPMG Vietnam (2025) expects 68.2 per cent of households to earn more than USD 5,000 a year by 2028.</w:t>
      </w:r>
    </w:p>
    <w:p w14:paraId="6E7893C8" w14:textId="77777777" w:rsidR="00CF7FD3" w:rsidRPr="00101936" w:rsidRDefault="00000000" w:rsidP="00101936">
      <w:pPr>
        <w:pStyle w:val="Heading2"/>
        <w:keepNext/>
        <w:keepLines/>
        <w:jc w:val="both"/>
        <w:rPr>
          <w:rFonts w:asciiTheme="majorHAnsi" w:hAnsiTheme="majorHAnsi" w:cstheme="majorHAnsi"/>
        </w:rPr>
      </w:pPr>
      <w:r w:rsidRPr="00101936">
        <w:rPr>
          <w:rFonts w:asciiTheme="majorHAnsi" w:hAnsiTheme="majorHAnsi" w:cstheme="majorHAnsi"/>
        </w:rPr>
        <w:t>Appendix F. Assumptions, sensitivity and alternative explanations</w:t>
      </w:r>
    </w:p>
    <w:p w14:paraId="22CA494F" w14:textId="77777777" w:rsidR="00CF7FD3" w:rsidRPr="00101936" w:rsidRDefault="00000000" w:rsidP="001B3A39">
      <w:pPr>
        <w:keepNext/>
        <w:spacing w:before="160" w:after="80"/>
        <w:jc w:val="center"/>
        <w:rPr>
          <w:rFonts w:asciiTheme="majorHAnsi" w:hAnsiTheme="majorHAnsi" w:cstheme="majorHAnsi"/>
        </w:rPr>
      </w:pPr>
      <w:r w:rsidRPr="00101936">
        <w:rPr>
          <w:rFonts w:asciiTheme="majorHAnsi" w:hAnsiTheme="majorHAnsi" w:cstheme="majorHAnsi"/>
          <w:b/>
          <w:bCs/>
          <w:sz w:val="19"/>
          <w:szCs w:val="19"/>
        </w:rPr>
        <w:t xml:space="preserve">Table F1. </w:t>
      </w:r>
      <w:r w:rsidRPr="00101936">
        <w:rPr>
          <w:rFonts w:asciiTheme="majorHAnsi" w:hAnsiTheme="majorHAnsi" w:cstheme="majorHAnsi"/>
          <w:sz w:val="19"/>
          <w:szCs w:val="19"/>
        </w:rPr>
        <w:t>Register of assumptions and derived measures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1700"/>
        <w:gridCol w:w="2500"/>
        <w:gridCol w:w="2312"/>
      </w:tblGrid>
      <w:tr w:rsidR="00CF7FD3" w:rsidRPr="00101936" w14:paraId="21A94794" w14:textId="77777777">
        <w:tblPrEx>
          <w:tblCellMar>
            <w:top w:w="0" w:type="dxa"/>
            <w:bottom w:w="0" w:type="dxa"/>
          </w:tblCellMar>
        </w:tblPrEx>
        <w:trPr>
          <w:cantSplit/>
          <w:tblHeader/>
        </w:trPr>
        <w:tc>
          <w:tcPr>
            <w:tcW w:w="29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60" w:type="dxa"/>
              <w:bottom w:w="45" w:type="dxa"/>
              <w:right w:w="60" w:type="dxa"/>
            </w:tcMar>
            <w:vAlign w:val="center"/>
          </w:tcPr>
          <w:p w14:paraId="456B13A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5"/>
                <w:szCs w:val="15"/>
              </w:rPr>
              <w:t>Item</w:t>
            </w:r>
          </w:p>
        </w:tc>
        <w:tc>
          <w:tcPr>
            <w:tcW w:w="17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60" w:type="dxa"/>
              <w:bottom w:w="45" w:type="dxa"/>
              <w:right w:w="60" w:type="dxa"/>
            </w:tcMar>
            <w:vAlign w:val="center"/>
          </w:tcPr>
          <w:p w14:paraId="37DE7B4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5"/>
                <w:szCs w:val="15"/>
              </w:rPr>
              <w:t>Type</w:t>
            </w:r>
          </w:p>
        </w:tc>
        <w:tc>
          <w:tcPr>
            <w:tcW w:w="25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60" w:type="dxa"/>
              <w:bottom w:w="45" w:type="dxa"/>
              <w:right w:w="60" w:type="dxa"/>
            </w:tcMar>
            <w:vAlign w:val="center"/>
          </w:tcPr>
          <w:p w14:paraId="6D2B81A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5"/>
                <w:szCs w:val="15"/>
              </w:rPr>
              <w:t>Effect if wrong</w:t>
            </w:r>
          </w:p>
        </w:tc>
        <w:tc>
          <w:tcPr>
            <w:tcW w:w="2312" w:type="dxa"/>
            <w:tcBorders>
              <w:top w:val="single" w:sz="4" w:space="0" w:color="8C8C8C"/>
              <w:left w:val="single" w:sz="4" w:space="0" w:color="8C8C8C"/>
              <w:bottom w:val="single" w:sz="4" w:space="0" w:color="8C8C8C"/>
              <w:right w:val="single" w:sz="4" w:space="0" w:color="8C8C8C"/>
            </w:tcBorders>
            <w:shd w:val="clear" w:color="auto" w:fill="E6E6E6"/>
            <w:tcMar>
              <w:top w:w="45" w:type="dxa"/>
              <w:left w:w="60" w:type="dxa"/>
              <w:bottom w:w="45" w:type="dxa"/>
              <w:right w:w="60" w:type="dxa"/>
            </w:tcMar>
            <w:vAlign w:val="center"/>
          </w:tcPr>
          <w:p w14:paraId="39197BA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5"/>
                <w:szCs w:val="15"/>
              </w:rPr>
              <w:t>How Round 3 tests it</w:t>
            </w:r>
          </w:p>
        </w:tc>
      </w:tr>
      <w:tr w:rsidR="00CF7FD3" w:rsidRPr="00101936" w14:paraId="07E0CC11" w14:textId="77777777">
        <w:tblPrEx>
          <w:tblCellMar>
            <w:top w:w="0" w:type="dxa"/>
            <w:bottom w:w="0" w:type="dxa"/>
          </w:tblCellMar>
        </w:tblPrEx>
        <w:trPr>
          <w:cantSplit/>
        </w:trPr>
        <w:tc>
          <w:tcPr>
            <w:tcW w:w="2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762BBC0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Segment sizes and barriers (Table E3)</w:t>
            </w:r>
          </w:p>
        </w:tc>
        <w:tc>
          <w:tcPr>
            <w:tcW w:w="17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06DA1CE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Hypothesis</w:t>
            </w:r>
          </w:p>
        </w:tc>
        <w:tc>
          <w:tcPr>
            <w:tcW w:w="25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7893D68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Wrong target or message</w:t>
            </w:r>
          </w:p>
        </w:tc>
        <w:tc>
          <w:tcPr>
            <w:tcW w:w="2312"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5A9B037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DNSE internal data; Findex microdata; survey</w:t>
            </w:r>
          </w:p>
        </w:tc>
      </w:tr>
      <w:tr w:rsidR="00CF7FD3" w:rsidRPr="00101936" w14:paraId="0C197430" w14:textId="77777777">
        <w:tblPrEx>
          <w:tblCellMar>
            <w:top w:w="0" w:type="dxa"/>
            <w:bottom w:w="0" w:type="dxa"/>
          </w:tblCellMar>
        </w:tblPrEx>
        <w:trPr>
          <w:cantSplit/>
        </w:trPr>
        <w:tc>
          <w:tcPr>
            <w:tcW w:w="2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560167D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Share of dormant accounts held by intenders</w:t>
            </w:r>
          </w:p>
        </w:tc>
        <w:tc>
          <w:tcPr>
            <w:tcW w:w="17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0EFA724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Hypothesis</w:t>
            </w:r>
          </w:p>
        </w:tc>
        <w:tc>
          <w:tcPr>
            <w:tcW w:w="25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38FE3A2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Enrolment falls short</w:t>
            </w:r>
          </w:p>
        </w:tc>
        <w:tc>
          <w:tcPr>
            <w:tcW w:w="2312"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0C0A8EE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Test 1 (survey and internal data)</w:t>
            </w:r>
          </w:p>
        </w:tc>
      </w:tr>
      <w:tr w:rsidR="00CF7FD3" w:rsidRPr="00101936" w14:paraId="2C936EB6" w14:textId="77777777">
        <w:tblPrEx>
          <w:tblCellMar>
            <w:top w:w="0" w:type="dxa"/>
            <w:bottom w:w="0" w:type="dxa"/>
          </w:tblCellMar>
        </w:tblPrEx>
        <w:trPr>
          <w:cantSplit/>
        </w:trPr>
        <w:tc>
          <w:tcPr>
            <w:tcW w:w="2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478B0C5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Automation and trust features raise funding</w:t>
            </w:r>
          </w:p>
        </w:tc>
        <w:tc>
          <w:tcPr>
            <w:tcW w:w="17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3C6604B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Hypothesis supported by research abroad</w:t>
            </w:r>
          </w:p>
        </w:tc>
        <w:tc>
          <w:tcPr>
            <w:tcW w:w="25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30D0559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Concept fails the pilot</w:t>
            </w:r>
          </w:p>
        </w:tc>
        <w:tc>
          <w:tcPr>
            <w:tcW w:w="2312"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436FA17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Tests 2 to 4</w:t>
            </w:r>
          </w:p>
        </w:tc>
      </w:tr>
      <w:tr w:rsidR="00CF7FD3" w:rsidRPr="00101936" w14:paraId="47595CCD" w14:textId="77777777">
        <w:tblPrEx>
          <w:tblCellMar>
            <w:top w:w="0" w:type="dxa"/>
            <w:bottom w:w="0" w:type="dxa"/>
          </w:tblCellMar>
        </w:tblPrEx>
        <w:trPr>
          <w:cantSplit/>
        </w:trPr>
        <w:tc>
          <w:tcPr>
            <w:tcW w:w="2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2F0B135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Scenario inputs (savers, contribution, retention, fee yield)</w:t>
            </w:r>
          </w:p>
        </w:tc>
        <w:tc>
          <w:tcPr>
            <w:tcW w:w="17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56F18E3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Assumption</w:t>
            </w:r>
          </w:p>
        </w:tc>
        <w:tc>
          <w:tcPr>
            <w:tcW w:w="25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0BE9311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Outcomes change in proportion</w:t>
            </w:r>
          </w:p>
        </w:tc>
        <w:tc>
          <w:tcPr>
            <w:tcW w:w="2312"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0C0C1A4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Pilot read-out at month 6</w:t>
            </w:r>
          </w:p>
        </w:tc>
      </w:tr>
      <w:tr w:rsidR="00CF7FD3" w:rsidRPr="00101936" w14:paraId="4ACB90AA" w14:textId="77777777">
        <w:tblPrEx>
          <w:tblCellMar>
            <w:top w:w="0" w:type="dxa"/>
            <w:bottom w:w="0" w:type="dxa"/>
          </w:tblCellMar>
        </w:tblPrEx>
        <w:trPr>
          <w:cantSplit/>
        </w:trPr>
        <w:tc>
          <w:tcPr>
            <w:tcW w:w="2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4A4A0F1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Platform cost proxy</w:t>
            </w:r>
          </w:p>
        </w:tc>
        <w:tc>
          <w:tcPr>
            <w:tcW w:w="17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1631F7C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Derived proxy</w:t>
            </w:r>
          </w:p>
        </w:tc>
        <w:tc>
          <w:tcPr>
            <w:tcW w:w="25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15FAF13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Level may be over- or understated; trend reliable</w:t>
            </w:r>
          </w:p>
        </w:tc>
        <w:tc>
          <w:tcPr>
            <w:tcW w:w="2312"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5703E09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DNSE management accounts</w:t>
            </w:r>
          </w:p>
        </w:tc>
      </w:tr>
      <w:tr w:rsidR="00CF7FD3" w:rsidRPr="00101936" w14:paraId="2B48561F" w14:textId="77777777">
        <w:tblPrEx>
          <w:tblCellMar>
            <w:top w:w="0" w:type="dxa"/>
            <w:bottom w:w="0" w:type="dxa"/>
          </w:tblCellMar>
        </w:tblPrEx>
        <w:trPr>
          <w:cantSplit/>
        </w:trPr>
        <w:tc>
          <w:tcPr>
            <w:tcW w:w="2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7E79B01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Cost of funds for DNSE and peers</w:t>
            </w:r>
          </w:p>
        </w:tc>
        <w:tc>
          <w:tcPr>
            <w:tcW w:w="17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1D6600A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Derived</w:t>
            </w:r>
          </w:p>
        </w:tc>
        <w:tc>
          <w:tcPr>
            <w:tcW w:w="25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6D3408D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Line 24 may include more provisions than assumed</w:t>
            </w:r>
          </w:p>
        </w:tc>
        <w:tc>
          <w:tcPr>
            <w:tcW w:w="2312"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0043275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Notes on borrowing terms</w:t>
            </w:r>
          </w:p>
        </w:tc>
      </w:tr>
      <w:tr w:rsidR="00CF7FD3" w:rsidRPr="00101936" w14:paraId="1CA745A2" w14:textId="77777777">
        <w:tblPrEx>
          <w:tblCellMar>
            <w:top w:w="0" w:type="dxa"/>
            <w:bottom w:w="0" w:type="dxa"/>
          </w:tblCellMar>
        </w:tblPrEx>
        <w:trPr>
          <w:cantSplit/>
        </w:trPr>
        <w:tc>
          <w:tcPr>
            <w:tcW w:w="2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111CBB3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Account counts differ in date and definition</w:t>
            </w:r>
          </w:p>
        </w:tc>
        <w:tc>
          <w:tcPr>
            <w:tcW w:w="17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164791B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Measured, mixed dates</w:t>
            </w:r>
          </w:p>
        </w:tc>
        <w:tc>
          <w:tcPr>
            <w:tcW w:w="25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52AEC83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Per-account values shift by up to about 10 per cent</w:t>
            </w:r>
          </w:p>
        </w:tc>
        <w:tc>
          <w:tcPr>
            <w:tcW w:w="2312"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1642D30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Internal account register</w:t>
            </w:r>
          </w:p>
        </w:tc>
      </w:tr>
      <w:tr w:rsidR="00CF7FD3" w:rsidRPr="00101936" w14:paraId="1C445B8B" w14:textId="77777777">
        <w:tblPrEx>
          <w:tblCellMar>
            <w:top w:w="0" w:type="dxa"/>
            <w:bottom w:w="0" w:type="dxa"/>
          </w:tblCellMar>
        </w:tblPrEx>
        <w:trPr>
          <w:cantSplit/>
        </w:trPr>
        <w:tc>
          <w:tcPr>
            <w:tcW w:w="2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58271C4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App reviews are self-selected</w:t>
            </w:r>
          </w:p>
        </w:tc>
        <w:tc>
          <w:tcPr>
            <w:tcW w:w="17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6F7409F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Measured, biased sample</w:t>
            </w:r>
          </w:p>
        </w:tc>
        <w:tc>
          <w:tcPr>
            <w:tcW w:w="25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51AEF11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Levels overstate dissatisfaction; comparisons across themes and apps are more reliable</w:t>
            </w:r>
          </w:p>
        </w:tc>
        <w:tc>
          <w:tcPr>
            <w:tcW w:w="2312"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3F64E22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Complaint logs; customer survey</w:t>
            </w:r>
          </w:p>
        </w:tc>
      </w:tr>
      <w:tr w:rsidR="00CF7FD3" w:rsidRPr="00101936" w14:paraId="3AA6E029" w14:textId="77777777">
        <w:tblPrEx>
          <w:tblCellMar>
            <w:top w:w="0" w:type="dxa"/>
            <w:bottom w:w="0" w:type="dxa"/>
          </w:tblCellMar>
        </w:tblPrEx>
        <w:trPr>
          <w:cantSplit/>
        </w:trPr>
        <w:tc>
          <w:tcPr>
            <w:tcW w:w="2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05789C8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Gen Z share of DNSE accounts</w:t>
            </w:r>
          </w:p>
        </w:tc>
        <w:tc>
          <w:tcPr>
            <w:tcW w:w="17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7F19568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External estimate</w:t>
            </w:r>
          </w:p>
        </w:tc>
        <w:tc>
          <w:tcPr>
            <w:tcW w:w="25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0A1A874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Weaker or stronger mismatch</w:t>
            </w:r>
          </w:p>
        </w:tc>
        <w:tc>
          <w:tcPr>
            <w:tcW w:w="2312"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36C4E58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DNSE demographic data</w:t>
            </w:r>
          </w:p>
        </w:tc>
      </w:tr>
      <w:tr w:rsidR="00CF7FD3" w:rsidRPr="00101936" w14:paraId="74B4BF97" w14:textId="77777777">
        <w:tblPrEx>
          <w:tblCellMar>
            <w:top w:w="0" w:type="dxa"/>
            <w:bottom w:w="0" w:type="dxa"/>
          </w:tblCellMar>
        </w:tblPrEx>
        <w:trPr>
          <w:cantSplit/>
        </w:trPr>
        <w:tc>
          <w:tcPr>
            <w:tcW w:w="29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2EF2567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Regulatory feasibility</w:t>
            </w:r>
          </w:p>
        </w:tc>
        <w:tc>
          <w:tcPr>
            <w:tcW w:w="17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21ECF23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Assumption</w:t>
            </w:r>
          </w:p>
        </w:tc>
        <w:tc>
          <w:tcPr>
            <w:tcW w:w="25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1A143A8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Launch delayed</w:t>
            </w:r>
          </w:p>
        </w:tc>
        <w:tc>
          <w:tcPr>
            <w:tcW w:w="2312"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15157EF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Test 5 (compliance review and SSC notice)</w:t>
            </w:r>
          </w:p>
        </w:tc>
      </w:tr>
    </w:tbl>
    <w:p w14:paraId="5526F958" w14:textId="77777777" w:rsidR="00CF7FD3" w:rsidRPr="00101936" w:rsidRDefault="00000000" w:rsidP="001B3A39">
      <w:pPr>
        <w:spacing w:before="60" w:after="200"/>
        <w:jc w:val="right"/>
        <w:rPr>
          <w:rFonts w:asciiTheme="majorHAnsi" w:hAnsiTheme="majorHAnsi" w:cstheme="majorHAnsi"/>
        </w:rPr>
      </w:pPr>
      <w:r w:rsidRPr="00101936">
        <w:rPr>
          <w:rFonts w:asciiTheme="majorHAnsi" w:hAnsiTheme="majorHAnsi" w:cstheme="majorHAnsi"/>
          <w:sz w:val="17"/>
          <w:szCs w:val="17"/>
        </w:rPr>
        <w:t>Source: authors.</w:t>
      </w:r>
    </w:p>
    <w:p w14:paraId="5338779D" w14:textId="77777777" w:rsidR="00CF7FD3" w:rsidRPr="00101936" w:rsidRDefault="00000000" w:rsidP="001B3A39">
      <w:pPr>
        <w:keepNext/>
        <w:spacing w:before="160" w:after="80"/>
        <w:jc w:val="center"/>
        <w:rPr>
          <w:rFonts w:asciiTheme="majorHAnsi" w:hAnsiTheme="majorHAnsi" w:cstheme="majorHAnsi"/>
        </w:rPr>
      </w:pPr>
      <w:r w:rsidRPr="00101936">
        <w:rPr>
          <w:rFonts w:asciiTheme="majorHAnsi" w:hAnsiTheme="majorHAnsi" w:cstheme="majorHAnsi"/>
          <w:b/>
          <w:bCs/>
          <w:sz w:val="19"/>
          <w:szCs w:val="19"/>
        </w:rPr>
        <w:lastRenderedPageBreak/>
        <w:t xml:space="preserve">Table F2. </w:t>
      </w:r>
      <w:r w:rsidRPr="00101936">
        <w:rPr>
          <w:rFonts w:asciiTheme="majorHAnsi" w:hAnsiTheme="majorHAnsi" w:cstheme="majorHAnsi"/>
          <w:sz w:val="19"/>
          <w:szCs w:val="19"/>
        </w:rPr>
        <w:t>Alternative explanations tested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4812"/>
        <w:gridCol w:w="1800"/>
      </w:tblGrid>
      <w:tr w:rsidR="00CF7FD3" w:rsidRPr="00101936" w14:paraId="79885B44" w14:textId="77777777">
        <w:tblPrEx>
          <w:tblCellMar>
            <w:top w:w="0" w:type="dxa"/>
            <w:bottom w:w="0" w:type="dxa"/>
          </w:tblCellMar>
        </w:tblPrEx>
        <w:trPr>
          <w:cantSplit/>
          <w:tblHeader/>
        </w:trPr>
        <w:tc>
          <w:tcPr>
            <w:tcW w:w="28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60" w:type="dxa"/>
              <w:bottom w:w="45" w:type="dxa"/>
              <w:right w:w="60" w:type="dxa"/>
            </w:tcMar>
            <w:vAlign w:val="center"/>
          </w:tcPr>
          <w:p w14:paraId="3851A94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5"/>
                <w:szCs w:val="15"/>
              </w:rPr>
              <w:t>Explanation</w:t>
            </w:r>
          </w:p>
        </w:tc>
        <w:tc>
          <w:tcPr>
            <w:tcW w:w="4812" w:type="dxa"/>
            <w:tcBorders>
              <w:top w:val="single" w:sz="4" w:space="0" w:color="8C8C8C"/>
              <w:left w:val="single" w:sz="4" w:space="0" w:color="8C8C8C"/>
              <w:bottom w:val="single" w:sz="4" w:space="0" w:color="8C8C8C"/>
              <w:right w:val="single" w:sz="4" w:space="0" w:color="8C8C8C"/>
            </w:tcBorders>
            <w:shd w:val="clear" w:color="auto" w:fill="E6E6E6"/>
            <w:tcMar>
              <w:top w:w="45" w:type="dxa"/>
              <w:left w:w="60" w:type="dxa"/>
              <w:bottom w:w="45" w:type="dxa"/>
              <w:right w:w="60" w:type="dxa"/>
            </w:tcMar>
            <w:vAlign w:val="center"/>
          </w:tcPr>
          <w:p w14:paraId="2FD83AE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5"/>
                <w:szCs w:val="15"/>
              </w:rPr>
              <w:t>Evidence</w:t>
            </w:r>
          </w:p>
        </w:tc>
        <w:tc>
          <w:tcPr>
            <w:tcW w:w="18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60" w:type="dxa"/>
              <w:bottom w:w="45" w:type="dxa"/>
              <w:right w:w="60" w:type="dxa"/>
            </w:tcMar>
            <w:vAlign w:val="center"/>
          </w:tcPr>
          <w:p w14:paraId="15585A2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5"/>
                <w:szCs w:val="15"/>
              </w:rPr>
              <w:t>Verdict</w:t>
            </w:r>
          </w:p>
        </w:tc>
      </w:tr>
      <w:tr w:rsidR="00CF7FD3" w:rsidRPr="00101936" w14:paraId="5041B3AB" w14:textId="77777777">
        <w:tblPrEx>
          <w:tblCellMar>
            <w:top w:w="0" w:type="dxa"/>
            <w:bottom w:w="0" w:type="dxa"/>
          </w:tblCellMar>
        </w:tblPrEx>
        <w:trPr>
          <w:cantSplit/>
        </w:trPr>
        <w:tc>
          <w:tcPr>
            <w:tcW w:w="28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7F22479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The market cycle explains low balances</w:t>
            </w:r>
          </w:p>
        </w:tc>
        <w:tc>
          <w:tcPr>
            <w:tcW w:w="4812"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61228BC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Assets per account fell 9.5% in 2025 while the VN-Index rose 41%; the 2026 cash outflow hit all brokers in similar proportion</w:t>
            </w:r>
          </w:p>
        </w:tc>
        <w:tc>
          <w:tcPr>
            <w:tcW w:w="18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05595C9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Rejected</w:t>
            </w:r>
          </w:p>
        </w:tc>
      </w:tr>
      <w:tr w:rsidR="00CF7FD3" w:rsidRPr="00101936" w14:paraId="675659BB" w14:textId="77777777">
        <w:tblPrEx>
          <w:tblCellMar>
            <w:top w:w="0" w:type="dxa"/>
            <w:bottom w:w="0" w:type="dxa"/>
          </w:tblCellMar>
        </w:tblPrEx>
        <w:trPr>
          <w:cantSplit/>
        </w:trPr>
        <w:tc>
          <w:tcPr>
            <w:tcW w:w="28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0396846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DNSE lacks capital to lend</w:t>
            </w:r>
          </w:p>
        </w:tc>
        <w:tc>
          <w:tcPr>
            <w:tcW w:w="4812"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4062691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Loans were 116% of equity against a 200% ceiling, leaving room for about VND 4.6 trillion more</w:t>
            </w:r>
          </w:p>
        </w:tc>
        <w:tc>
          <w:tcPr>
            <w:tcW w:w="18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1A6672F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Rejected</w:t>
            </w:r>
          </w:p>
        </w:tc>
      </w:tr>
      <w:tr w:rsidR="00CF7FD3" w:rsidRPr="00101936" w14:paraId="74E5BE0C" w14:textId="77777777">
        <w:tblPrEx>
          <w:tblCellMar>
            <w:top w:w="0" w:type="dxa"/>
            <w:bottom w:w="0" w:type="dxa"/>
          </w:tblCellMar>
        </w:tblPrEx>
        <w:trPr>
          <w:cantSplit/>
        </w:trPr>
        <w:tc>
          <w:tcPr>
            <w:tcW w:w="28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76BD448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Every broker counts dormant accounts</w:t>
            </w:r>
          </w:p>
        </w:tc>
        <w:tc>
          <w:tcPr>
            <w:tcW w:w="4812"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55FA067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Peers with similar account counts lend 5 to 12 times more per account</w:t>
            </w:r>
          </w:p>
        </w:tc>
        <w:tc>
          <w:tcPr>
            <w:tcW w:w="18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73D6075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Rejected</w:t>
            </w:r>
          </w:p>
        </w:tc>
      </w:tr>
      <w:tr w:rsidR="00CF7FD3" w:rsidRPr="00101936" w14:paraId="1B797FCC" w14:textId="77777777">
        <w:tblPrEx>
          <w:tblCellMar>
            <w:top w:w="0" w:type="dxa"/>
            <w:bottom w:w="0" w:type="dxa"/>
          </w:tblCellMar>
        </w:tblPrEx>
        <w:trPr>
          <w:cantSplit/>
        </w:trPr>
        <w:tc>
          <w:tcPr>
            <w:tcW w:w="28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2CB8B9F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Reliability alone deters funding</w:t>
            </w:r>
          </w:p>
        </w:tc>
        <w:tc>
          <w:tcPr>
            <w:tcW w:w="4812"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45C3DA7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Reliability complaints are as common at VPS, which lends five times more per account</w:t>
            </w:r>
          </w:p>
        </w:tc>
        <w:tc>
          <w:tcPr>
            <w:tcW w:w="18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05A163A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Partly rejected</w:t>
            </w:r>
          </w:p>
        </w:tc>
      </w:tr>
      <w:tr w:rsidR="00CF7FD3" w:rsidRPr="00101936" w14:paraId="351314BF" w14:textId="77777777">
        <w:tblPrEx>
          <w:tblCellMar>
            <w:top w:w="0" w:type="dxa"/>
            <w:bottom w:w="0" w:type="dxa"/>
          </w:tblCellMar>
        </w:tblPrEx>
        <w:trPr>
          <w:cantSplit/>
        </w:trPr>
        <w:tc>
          <w:tcPr>
            <w:tcW w:w="28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1F28856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DNSE acquires young customers now to earn from them later</w:t>
            </w:r>
          </w:p>
        </w:tc>
        <w:tc>
          <w:tcPr>
            <w:tcW w:w="4812"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7093C25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Public data do not separate cohorts by year of account opening</w:t>
            </w:r>
          </w:p>
        </w:tc>
        <w:tc>
          <w:tcPr>
            <w:tcW w:w="1800" w:type="dxa"/>
            <w:tcBorders>
              <w:top w:val="single" w:sz="4" w:space="0" w:color="8C8C8C"/>
              <w:left w:val="single" w:sz="4" w:space="0" w:color="8C8C8C"/>
              <w:bottom w:val="single" w:sz="4" w:space="0" w:color="8C8C8C"/>
              <w:right w:val="single" w:sz="4" w:space="0" w:color="8C8C8C"/>
            </w:tcBorders>
            <w:tcMar>
              <w:top w:w="45" w:type="dxa"/>
              <w:left w:w="60" w:type="dxa"/>
              <w:bottom w:w="45" w:type="dxa"/>
              <w:right w:w="60" w:type="dxa"/>
            </w:tcMar>
            <w:vAlign w:val="center"/>
          </w:tcPr>
          <w:p w14:paraId="6F94A88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6"/>
                <w:szCs w:val="16"/>
              </w:rPr>
              <w:t>Cannot be rejected; needs cohort data</w:t>
            </w:r>
          </w:p>
        </w:tc>
      </w:tr>
    </w:tbl>
    <w:p w14:paraId="380FB00A" w14:textId="77777777" w:rsidR="00CF7FD3" w:rsidRPr="00101936" w:rsidRDefault="00000000" w:rsidP="001B3A39">
      <w:pPr>
        <w:spacing w:before="60" w:after="200"/>
        <w:jc w:val="right"/>
        <w:rPr>
          <w:rFonts w:asciiTheme="majorHAnsi" w:hAnsiTheme="majorHAnsi" w:cstheme="majorHAnsi"/>
        </w:rPr>
      </w:pPr>
      <w:r w:rsidRPr="00101936">
        <w:rPr>
          <w:rFonts w:asciiTheme="majorHAnsi" w:hAnsiTheme="majorHAnsi" w:cstheme="majorHAnsi"/>
          <w:sz w:val="17"/>
          <w:szCs w:val="17"/>
        </w:rPr>
        <w:t>Source: Sections 2 and 3; Appendix C.</w:t>
      </w:r>
    </w:p>
    <w:p w14:paraId="4CE14281" w14:textId="77777777" w:rsidR="00CF7FD3" w:rsidRPr="00101936" w:rsidRDefault="00000000" w:rsidP="001B3A39">
      <w:pPr>
        <w:keepNext/>
        <w:spacing w:before="160" w:after="80"/>
        <w:jc w:val="center"/>
        <w:rPr>
          <w:rFonts w:asciiTheme="majorHAnsi" w:hAnsiTheme="majorHAnsi" w:cstheme="majorHAnsi"/>
        </w:rPr>
      </w:pPr>
      <w:r w:rsidRPr="00101936">
        <w:rPr>
          <w:rFonts w:asciiTheme="majorHAnsi" w:hAnsiTheme="majorHAnsi" w:cstheme="majorHAnsi"/>
          <w:b/>
          <w:bCs/>
          <w:sz w:val="19"/>
          <w:szCs w:val="19"/>
        </w:rPr>
        <w:t xml:space="preserve">Table F3. </w:t>
      </w:r>
      <w:r w:rsidRPr="00101936">
        <w:rPr>
          <w:rFonts w:asciiTheme="majorHAnsi" w:hAnsiTheme="majorHAnsi" w:cstheme="majorHAnsi"/>
          <w:sz w:val="19"/>
          <w:szCs w:val="19"/>
        </w:rPr>
        <w:t>Never-Sleeping Account and Payday Portfolio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3700"/>
        <w:gridCol w:w="3712"/>
      </w:tblGrid>
      <w:tr w:rsidR="00CF7FD3" w:rsidRPr="00101936" w14:paraId="6402BC2A" w14:textId="77777777">
        <w:tblPrEx>
          <w:tblCellMar>
            <w:top w:w="0" w:type="dxa"/>
            <w:bottom w:w="0" w:type="dxa"/>
          </w:tblCellMar>
        </w:tblPrEx>
        <w:trPr>
          <w:cantSplit/>
          <w:tblHeader/>
        </w:trPr>
        <w:tc>
          <w:tcPr>
            <w:tcW w:w="20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78C124A7" w14:textId="77777777" w:rsidR="00CF7FD3" w:rsidRPr="00101936" w:rsidRDefault="00CF7FD3" w:rsidP="00101936">
            <w:pPr>
              <w:keepNext/>
              <w:jc w:val="both"/>
              <w:rPr>
                <w:rFonts w:asciiTheme="majorHAnsi" w:hAnsiTheme="majorHAnsi" w:cstheme="majorHAnsi"/>
              </w:rPr>
            </w:pPr>
          </w:p>
        </w:tc>
        <w:tc>
          <w:tcPr>
            <w:tcW w:w="37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24A81A0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Never-Sleeping Account</w:t>
            </w:r>
          </w:p>
        </w:tc>
        <w:tc>
          <w:tcPr>
            <w:tcW w:w="3712"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5FFC101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Payday Portfolio</w:t>
            </w:r>
          </w:p>
        </w:tc>
      </w:tr>
      <w:tr w:rsidR="00CF7FD3" w:rsidRPr="00101936" w14:paraId="36099653"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7F987B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Job</w:t>
            </w:r>
          </w:p>
        </w:tc>
        <w:tc>
          <w:tcPr>
            <w:tcW w:w="3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AD8B6B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Earns a return on cash already deposited</w:t>
            </w:r>
          </w:p>
        </w:tc>
        <w:tc>
          <w:tcPr>
            <w:tcW w:w="37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6E5B97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Brings new money in and invests it regularly</w:t>
            </w:r>
          </w:p>
        </w:tc>
      </w:tr>
      <w:tr w:rsidR="00CF7FD3" w:rsidRPr="00101936" w14:paraId="254B2A3C"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8D8C48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Customers</w:t>
            </w:r>
          </w:p>
        </w:tc>
        <w:tc>
          <w:tcPr>
            <w:tcW w:w="3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EF8F2E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Active traders with idle cash (E1)</w:t>
            </w:r>
          </w:p>
        </w:tc>
        <w:tc>
          <w:tcPr>
            <w:tcW w:w="37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F8B125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Salaried intenders who have not funded (E2, N1)</w:t>
            </w:r>
          </w:p>
        </w:tc>
      </w:tr>
      <w:tr w:rsidR="00CF7FD3" w:rsidRPr="00101936" w14:paraId="499EE4C7"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FA0141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Trigger</w:t>
            </w:r>
          </w:p>
        </w:tc>
        <w:tc>
          <w:tcPr>
            <w:tcW w:w="3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B2F9D7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Customer decides to deposit</w:t>
            </w:r>
          </w:p>
        </w:tc>
        <w:tc>
          <w:tcPr>
            <w:tcW w:w="37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CB868F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Payday, automatically</w:t>
            </w:r>
          </w:p>
        </w:tc>
      </w:tr>
      <w:tr w:rsidR="00CF7FD3" w:rsidRPr="00101936" w14:paraId="0A91F89E"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FBB909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Return</w:t>
            </w:r>
          </w:p>
        </w:tc>
        <w:tc>
          <w:tcPr>
            <w:tcW w:w="3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9A7CD9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1.8% base plus bonuses for large balances and trading value</w:t>
            </w:r>
          </w:p>
        </w:tc>
        <w:tc>
          <w:tcPr>
            <w:tcW w:w="37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58641A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Chosen bonds, funds and exchange-traded funds</w:t>
            </w:r>
          </w:p>
        </w:tc>
      </w:tr>
      <w:tr w:rsidR="00CF7FD3" w:rsidRPr="00101936" w14:paraId="76214F2A"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CFB816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Behavioural mechanism</w:t>
            </w:r>
          </w:p>
        </w:tc>
        <w:tc>
          <w:tcPr>
            <w:tcW w:w="3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7A0AC4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None</w:t>
            </w:r>
          </w:p>
        </w:tc>
        <w:tc>
          <w:tcPr>
            <w:tcW w:w="37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9FEFC4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Default, automation and goal tracking</w:t>
            </w:r>
          </w:p>
        </w:tc>
      </w:tr>
    </w:tbl>
    <w:p w14:paraId="76E6E582" w14:textId="77777777" w:rsidR="00CF7FD3" w:rsidRPr="00101936" w:rsidRDefault="00000000" w:rsidP="001B3A39">
      <w:pPr>
        <w:spacing w:before="60" w:after="200"/>
        <w:jc w:val="right"/>
        <w:rPr>
          <w:rFonts w:asciiTheme="majorHAnsi" w:hAnsiTheme="majorHAnsi" w:cstheme="majorHAnsi"/>
        </w:rPr>
      </w:pPr>
      <w:r w:rsidRPr="00101936">
        <w:rPr>
          <w:rFonts w:asciiTheme="majorHAnsi" w:hAnsiTheme="majorHAnsi" w:cstheme="majorHAnsi"/>
          <w:sz w:val="17"/>
          <w:szCs w:val="17"/>
        </w:rPr>
        <w:t>Source: DNSE Securities (2026b); authors' design.</w:t>
      </w:r>
    </w:p>
    <w:p w14:paraId="12FF91C2" w14:textId="77777777" w:rsidR="00CF7FD3" w:rsidRPr="00101936" w:rsidRDefault="00000000" w:rsidP="001B3A39">
      <w:pPr>
        <w:keepNext/>
        <w:spacing w:before="160" w:after="80"/>
        <w:jc w:val="center"/>
        <w:rPr>
          <w:rFonts w:asciiTheme="majorHAnsi" w:hAnsiTheme="majorHAnsi" w:cstheme="majorHAnsi"/>
        </w:rPr>
      </w:pPr>
      <w:r w:rsidRPr="00101936">
        <w:rPr>
          <w:rFonts w:asciiTheme="majorHAnsi" w:hAnsiTheme="majorHAnsi" w:cstheme="majorHAnsi"/>
          <w:b/>
          <w:bCs/>
          <w:sz w:val="19"/>
          <w:szCs w:val="19"/>
        </w:rPr>
        <w:t xml:space="preserve">Table F4. </w:t>
      </w:r>
      <w:r w:rsidRPr="00101936">
        <w:rPr>
          <w:rFonts w:asciiTheme="majorHAnsi" w:hAnsiTheme="majorHAnsi" w:cstheme="majorHAnsi"/>
          <w:sz w:val="19"/>
          <w:szCs w:val="19"/>
        </w:rPr>
        <w:t>Customer concerns, design responses and published proof</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4000"/>
        <w:gridCol w:w="2812"/>
      </w:tblGrid>
      <w:tr w:rsidR="00CF7FD3" w:rsidRPr="00101936" w14:paraId="61D6E728" w14:textId="77777777">
        <w:tblPrEx>
          <w:tblCellMar>
            <w:top w:w="0" w:type="dxa"/>
            <w:bottom w:w="0" w:type="dxa"/>
          </w:tblCellMar>
        </w:tblPrEx>
        <w:trPr>
          <w:cantSplit/>
          <w:tblHeader/>
        </w:trPr>
        <w:tc>
          <w:tcPr>
            <w:tcW w:w="26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718777B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Customer concern (from reviews)</w:t>
            </w:r>
          </w:p>
        </w:tc>
        <w:tc>
          <w:tcPr>
            <w:tcW w:w="40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7509C40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Design response</w:t>
            </w:r>
          </w:p>
        </w:tc>
        <w:tc>
          <w:tcPr>
            <w:tcW w:w="2812"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12B26B9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Published proof</w:t>
            </w:r>
          </w:p>
        </w:tc>
      </w:tr>
      <w:tr w:rsidR="00CF7FD3" w:rsidRPr="00101936" w14:paraId="5FDE7FAE"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C6EDF2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Money cannot be withdrawn</w:t>
            </w:r>
          </w:p>
        </w:tc>
        <w:tc>
          <w:tcPr>
            <w:tcW w:w="4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474553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Cash back to the linked bank 24/7; no closure fee</w:t>
            </w:r>
          </w:p>
        </w:tc>
        <w:tc>
          <w:tcPr>
            <w:tcW w:w="28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DF58AE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Median withdrawal time</w:t>
            </w:r>
          </w:p>
        </w:tc>
      </w:tr>
      <w:tr w:rsidR="00CF7FD3" w:rsidRPr="00101936" w14:paraId="3B8AFF8B"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5D5262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Customers are locked in</w:t>
            </w:r>
          </w:p>
        </w:tc>
        <w:tc>
          <w:tcPr>
            <w:tcW w:w="4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D258E3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Pause, skip or cancel in one tap, free of charge</w:t>
            </w:r>
          </w:p>
        </w:tc>
        <w:tc>
          <w:tcPr>
            <w:tcW w:w="28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4CEC5E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Cancellations completed in the app</w:t>
            </w:r>
          </w:p>
        </w:tc>
      </w:tr>
      <w:tr w:rsidR="00CF7FD3" w:rsidRPr="00101936" w14:paraId="275508B2"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E7A3C0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Conditions are hidden</w:t>
            </w:r>
          </w:p>
        </w:tc>
        <w:tc>
          <w:tcPr>
            <w:tcW w:w="4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25EC6A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All terms on one screen; rewards only on money that stays</w:t>
            </w:r>
          </w:p>
        </w:tc>
        <w:tc>
          <w:tcPr>
            <w:tcW w:w="28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8F76E7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Trust themes below 10% of negative reviews (37% since 2025)</w:t>
            </w:r>
          </w:p>
        </w:tc>
      </w:tr>
      <w:tr w:rsidR="00CF7FD3" w:rsidRPr="00101936" w14:paraId="04AE8D61"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43B631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Customers cannot see where money sits</w:t>
            </w:r>
          </w:p>
        </w:tc>
        <w:tc>
          <w:tcPr>
            <w:tcW w:w="4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556303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Screen showing the segregated client account and securities held in the customer's name</w:t>
            </w:r>
          </w:p>
        </w:tc>
        <w:tc>
          <w:tcPr>
            <w:tcW w:w="28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683ADC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Monthly statement</w:t>
            </w:r>
          </w:p>
        </w:tc>
      </w:tr>
      <w:tr w:rsidR="00CF7FD3" w:rsidRPr="00101936" w14:paraId="68BC380B"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7726CC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The app crashes</w:t>
            </w:r>
          </w:p>
        </w:tc>
        <w:tc>
          <w:tcPr>
            <w:tcW w:w="4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BC4AE8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Transfers run as scheduled back-end jobs; reliability is a launch gate</w:t>
            </w:r>
          </w:p>
        </w:tc>
        <w:tc>
          <w:tcPr>
            <w:tcW w:w="28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368DB9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Transfer success of 99.5% or more</w:t>
            </w:r>
          </w:p>
        </w:tc>
      </w:tr>
      <w:tr w:rsidR="00CF7FD3" w:rsidRPr="00101936" w14:paraId="7EDDEC91"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7BEED3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The product may not be legal</w:t>
            </w:r>
          </w:p>
        </w:tc>
        <w:tc>
          <w:tcPr>
            <w:tcW w:w="4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29E398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Product notified to the SSC before launch</w:t>
            </w:r>
          </w:p>
        </w:tc>
        <w:tc>
          <w:tcPr>
            <w:tcW w:w="28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B12E4B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Written confirmation</w:t>
            </w:r>
          </w:p>
        </w:tc>
      </w:tr>
    </w:tbl>
    <w:p w14:paraId="22C96293" w14:textId="77777777" w:rsidR="00CF7FD3" w:rsidRPr="00101936" w:rsidRDefault="00000000" w:rsidP="001B3A39">
      <w:pPr>
        <w:spacing w:before="60" w:after="200"/>
        <w:jc w:val="right"/>
        <w:rPr>
          <w:rFonts w:asciiTheme="majorHAnsi" w:hAnsiTheme="majorHAnsi" w:cstheme="majorHAnsi"/>
        </w:rPr>
      </w:pPr>
      <w:r w:rsidRPr="00101936">
        <w:rPr>
          <w:rFonts w:asciiTheme="majorHAnsi" w:hAnsiTheme="majorHAnsi" w:cstheme="majorHAnsi"/>
          <w:sz w:val="17"/>
          <w:szCs w:val="17"/>
        </w:rPr>
        <w:t>Source: Appendix D; authors' design.</w:t>
      </w:r>
    </w:p>
    <w:p w14:paraId="22D76A76" w14:textId="77777777" w:rsidR="00CF7FD3" w:rsidRPr="00101936" w:rsidRDefault="00000000" w:rsidP="001B3A39">
      <w:pPr>
        <w:keepNext/>
        <w:spacing w:before="160" w:after="80"/>
        <w:jc w:val="center"/>
        <w:rPr>
          <w:rFonts w:asciiTheme="majorHAnsi" w:hAnsiTheme="majorHAnsi" w:cstheme="majorHAnsi"/>
        </w:rPr>
      </w:pPr>
      <w:r w:rsidRPr="00101936">
        <w:rPr>
          <w:rFonts w:asciiTheme="majorHAnsi" w:hAnsiTheme="majorHAnsi" w:cstheme="majorHAnsi"/>
          <w:b/>
          <w:bCs/>
          <w:sz w:val="19"/>
          <w:szCs w:val="19"/>
        </w:rPr>
        <w:t xml:space="preserve">Table F5. </w:t>
      </w:r>
      <w:r w:rsidRPr="00101936">
        <w:rPr>
          <w:rFonts w:asciiTheme="majorHAnsi" w:hAnsiTheme="majorHAnsi" w:cstheme="majorHAnsi"/>
          <w:sz w:val="19"/>
          <w:szCs w:val="19"/>
        </w:rPr>
        <w:t>Outcomes 18 months after launch (all inputs are assumptions)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12"/>
        <w:gridCol w:w="1700"/>
        <w:gridCol w:w="1700"/>
        <w:gridCol w:w="1700"/>
      </w:tblGrid>
      <w:tr w:rsidR="00CF7FD3" w:rsidRPr="00101936" w14:paraId="06040A70" w14:textId="77777777">
        <w:tblPrEx>
          <w:tblCellMar>
            <w:top w:w="0" w:type="dxa"/>
            <w:bottom w:w="0" w:type="dxa"/>
          </w:tblCellMar>
        </w:tblPrEx>
        <w:trPr>
          <w:cantSplit/>
          <w:tblHeader/>
        </w:trPr>
        <w:tc>
          <w:tcPr>
            <w:tcW w:w="4312"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3D1BE82A" w14:textId="77777777" w:rsidR="00CF7FD3" w:rsidRPr="00101936" w:rsidRDefault="00CF7FD3" w:rsidP="00101936">
            <w:pPr>
              <w:keepNext/>
              <w:jc w:val="both"/>
              <w:rPr>
                <w:rFonts w:asciiTheme="majorHAnsi" w:hAnsiTheme="majorHAnsi" w:cstheme="majorHAnsi"/>
              </w:rPr>
            </w:pPr>
          </w:p>
        </w:tc>
        <w:tc>
          <w:tcPr>
            <w:tcW w:w="17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72A66F0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Conservative</w:t>
            </w:r>
          </w:p>
        </w:tc>
        <w:tc>
          <w:tcPr>
            <w:tcW w:w="17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75FEE66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Base</w:t>
            </w:r>
          </w:p>
        </w:tc>
        <w:tc>
          <w:tcPr>
            <w:tcW w:w="17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4ED96BA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Upside</w:t>
            </w:r>
          </w:p>
        </w:tc>
      </w:tr>
      <w:tr w:rsidR="00CF7FD3" w:rsidRPr="00101936" w14:paraId="2B4929CD" w14:textId="77777777">
        <w:tblPrEx>
          <w:tblCellMar>
            <w:top w:w="0" w:type="dxa"/>
            <w:bottom w:w="0" w:type="dxa"/>
          </w:tblCellMar>
        </w:tblPrEx>
        <w:trPr>
          <w:cantSplit/>
        </w:trPr>
        <w:tc>
          <w:tcPr>
            <w:tcW w:w="43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4112E9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Savers enrolled</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234869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60,000</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41CD3E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150,000</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0FA3ED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300,000</w:t>
            </w:r>
          </w:p>
        </w:tc>
      </w:tr>
      <w:tr w:rsidR="00CF7FD3" w:rsidRPr="00101936" w14:paraId="795B2793" w14:textId="77777777">
        <w:tblPrEx>
          <w:tblCellMar>
            <w:top w:w="0" w:type="dxa"/>
            <w:bottom w:w="0" w:type="dxa"/>
          </w:tblCellMar>
        </w:tblPrEx>
        <w:trPr>
          <w:cantSplit/>
        </w:trPr>
        <w:tc>
          <w:tcPr>
            <w:tcW w:w="43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0D56EB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Monthly contribution, VND million</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704789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1.0</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193B94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1.5</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B3708D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2.5</w:t>
            </w:r>
          </w:p>
        </w:tc>
      </w:tr>
      <w:tr w:rsidR="00CF7FD3" w:rsidRPr="00101936" w14:paraId="19308C59" w14:textId="77777777">
        <w:tblPrEx>
          <w:tblCellMar>
            <w:top w:w="0" w:type="dxa"/>
            <w:bottom w:w="0" w:type="dxa"/>
          </w:tblCellMar>
        </w:tblPrEx>
        <w:trPr>
          <w:cantSplit/>
        </w:trPr>
        <w:tc>
          <w:tcPr>
            <w:tcW w:w="43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90A1BD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Share of contributions kept</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3DA5D5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60%</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B3CD8A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70%</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8517CE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80%</w:t>
            </w:r>
          </w:p>
        </w:tc>
      </w:tr>
      <w:tr w:rsidR="00CF7FD3" w:rsidRPr="00101936" w14:paraId="7414D46D" w14:textId="77777777">
        <w:tblPrEx>
          <w:tblCellMar>
            <w:top w:w="0" w:type="dxa"/>
            <w:bottom w:w="0" w:type="dxa"/>
          </w:tblCellMar>
        </w:tblPrEx>
        <w:trPr>
          <w:cantSplit/>
        </w:trPr>
        <w:tc>
          <w:tcPr>
            <w:tcW w:w="43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684E62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Assets, VND trillion (multiple of investor cash)</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37F673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0.65 (0.3)</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9A7E0E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2.84 (1.4)</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86CE18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10.80 (5.5)</w:t>
            </w:r>
          </w:p>
        </w:tc>
      </w:tr>
      <w:tr w:rsidR="00CF7FD3" w:rsidRPr="00101936" w14:paraId="45F52BB0" w14:textId="77777777">
        <w:tblPrEx>
          <w:tblCellMar>
            <w:top w:w="0" w:type="dxa"/>
            <w:bottom w:w="0" w:type="dxa"/>
          </w:tblCellMar>
        </w:tblPrEx>
        <w:trPr>
          <w:cantSplit/>
        </w:trPr>
        <w:tc>
          <w:tcPr>
            <w:tcW w:w="43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E26586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Annual fees, VND billion</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019419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3F68BE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23</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46230C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108</w:t>
            </w:r>
          </w:p>
        </w:tc>
      </w:tr>
      <w:tr w:rsidR="00CF7FD3" w:rsidRPr="00101936" w14:paraId="161C49B7" w14:textId="77777777">
        <w:tblPrEx>
          <w:tblCellMar>
            <w:top w:w="0" w:type="dxa"/>
            <w:bottom w:w="0" w:type="dxa"/>
          </w:tblCellMar>
        </w:tblPrEx>
        <w:trPr>
          <w:cantSplit/>
        </w:trPr>
        <w:tc>
          <w:tcPr>
            <w:tcW w:w="43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999D50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Tier interest, upper bound, VND billion a year</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D8E626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1.5</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A62FD9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5.6</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2A7455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18.8</w:t>
            </w:r>
          </w:p>
        </w:tc>
      </w:tr>
      <w:tr w:rsidR="00CF7FD3" w:rsidRPr="00101936" w14:paraId="51733D71" w14:textId="77777777">
        <w:tblPrEx>
          <w:tblCellMar>
            <w:top w:w="0" w:type="dxa"/>
            <w:bottom w:w="0" w:type="dxa"/>
          </w:tblCellMar>
        </w:tblPrEx>
        <w:trPr>
          <w:cantSplit/>
        </w:trPr>
        <w:tc>
          <w:tcPr>
            <w:tcW w:w="43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644B7F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Accounts with VND 10 million or more (share of mid-2026 base)</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5533BD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87,100 (5.1%)</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52B0278"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177,100 (10.4%)</w:t>
            </w:r>
          </w:p>
        </w:tc>
        <w:tc>
          <w:tcPr>
            <w:tcW w:w="17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E0A6FE3"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327,100 (19.2%)</w:t>
            </w:r>
          </w:p>
        </w:tc>
      </w:tr>
    </w:tbl>
    <w:p w14:paraId="4D08FA0E" w14:textId="77777777" w:rsidR="00CF7FD3" w:rsidRPr="00101936" w:rsidRDefault="00000000" w:rsidP="001B3A39">
      <w:pPr>
        <w:spacing w:before="60" w:after="200"/>
        <w:jc w:val="right"/>
        <w:rPr>
          <w:rFonts w:asciiTheme="majorHAnsi" w:hAnsiTheme="majorHAnsi" w:cstheme="majorHAnsi"/>
        </w:rPr>
      </w:pPr>
      <w:r w:rsidRPr="00101936">
        <w:rPr>
          <w:rFonts w:asciiTheme="majorHAnsi" w:hAnsiTheme="majorHAnsi" w:cstheme="majorHAnsi"/>
          <w:sz w:val="17"/>
          <w:szCs w:val="17"/>
        </w:rPr>
        <w:t>Source: authors' projections (Appendix F1; Figure F1).</w:t>
      </w:r>
    </w:p>
    <w:p w14:paraId="6C6DDB67"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b/>
          <w:bCs/>
        </w:rPr>
        <w:t>F1. Scenario method for Table F5.</w:t>
      </w:r>
      <w:r w:rsidRPr="00101936">
        <w:rPr>
          <w:rFonts w:asciiTheme="majorHAnsi" w:hAnsiTheme="majorHAnsi" w:cstheme="majorHAnsi"/>
        </w:rPr>
        <w:t xml:space="preserve"> Assets per saver equal the monthly contribution times the share kept times 18 months, before investment returns (VND 10.8, 18.9 and 36.0 million). Payday Portfolio assets equal assets per saver times the number of savers. Annual fees apply a yield of 0.5, 0.8 and 1.0 per cent to assets, covering bond and fund distribution. The count of accounts holding VND 10 million or more adds </w:t>
      </w:r>
      <w:r w:rsidRPr="00101936">
        <w:rPr>
          <w:rFonts w:asciiTheme="majorHAnsi" w:hAnsiTheme="majorHAnsi" w:cstheme="majorHAnsi"/>
        </w:rPr>
        <w:lastRenderedPageBreak/>
        <w:t>the savers to the 27,100 accounts already above that level, assuming that savers start below VND 10 million and pass it within 18 months. The average conservative-case saver only just passes it, so that count is an upper bound. Shares divide by the mid-2026 base of 1.7 million accounts, so new sign-ups do not dilute them. The base case needs about one account in eleven to enrol, 1.75 times the customers active in December 2025. Costs of incentives, marketing and technology are estimated in Round 3 (test 7). The upper bound on tier interest assumes that every saver keeps one full month's contribution in the idle-cash account at 2.5 points above the base rate, the gap between 1.8 and 4.3 per cent. The comparison with sign-up rewards multiplies VND 100,000 by the 518,514 accounts opened in 2025. The investor-cash comparison in Section 3.2 divides industry investor cash of VND 86.6 trillion by 13.85 million accounts, which gives VND 6.25 million per account, against VND 1.15 million at DNSE.</w:t>
      </w:r>
    </w:p>
    <w:p w14:paraId="4D86E2F9" w14:textId="77777777" w:rsidR="00CF7FD3" w:rsidRPr="00101936" w:rsidRDefault="00000000" w:rsidP="001B3A39">
      <w:pPr>
        <w:keepNext/>
        <w:spacing w:before="120" w:after="60"/>
        <w:jc w:val="center"/>
        <w:rPr>
          <w:rFonts w:asciiTheme="majorHAnsi" w:hAnsiTheme="majorHAnsi" w:cstheme="majorHAnsi"/>
        </w:rPr>
      </w:pPr>
      <w:r w:rsidRPr="00101936">
        <w:rPr>
          <w:rFonts w:asciiTheme="majorHAnsi" w:hAnsiTheme="majorHAnsi" w:cstheme="majorHAnsi"/>
          <w:noProof/>
        </w:rPr>
        <w:drawing>
          <wp:inline distT="0" distB="0" distL="0" distR="0" wp14:anchorId="578BE4A3" wp14:editId="2CCF1E0D">
            <wp:extent cx="5124450" cy="2447925"/>
            <wp:effectExtent l="0" t="0" r="0" b="0"/>
            <wp:docPr id="779606458" name="Figure F1." descr="Payday Portfolio assets after 18 months under three scenarios" title="Figure 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124450" cy="2447925"/>
                    </a:xfrm>
                    <a:prstGeom prst="rect">
                      <a:avLst/>
                    </a:prstGeom>
                  </pic:spPr>
                </pic:pic>
              </a:graphicData>
            </a:graphic>
          </wp:inline>
        </w:drawing>
      </w:r>
    </w:p>
    <w:p w14:paraId="4ABE3B4E" w14:textId="77777777" w:rsidR="00CF7FD3" w:rsidRPr="00101936" w:rsidRDefault="00000000" w:rsidP="001B3A39">
      <w:pPr>
        <w:spacing w:after="200"/>
        <w:jc w:val="center"/>
        <w:rPr>
          <w:rFonts w:asciiTheme="majorHAnsi" w:hAnsiTheme="majorHAnsi" w:cstheme="majorHAnsi"/>
        </w:rPr>
      </w:pPr>
      <w:r w:rsidRPr="00101936">
        <w:rPr>
          <w:rFonts w:asciiTheme="majorHAnsi" w:hAnsiTheme="majorHAnsi" w:cstheme="majorHAnsi"/>
          <w:b/>
          <w:bCs/>
          <w:sz w:val="19"/>
          <w:szCs w:val="19"/>
        </w:rPr>
        <w:t xml:space="preserve">Figure F1. </w:t>
      </w:r>
      <w:r w:rsidRPr="00101936">
        <w:rPr>
          <w:rFonts w:asciiTheme="majorHAnsi" w:hAnsiTheme="majorHAnsi" w:cstheme="majorHAnsi"/>
          <w:sz w:val="19"/>
          <w:szCs w:val="19"/>
        </w:rPr>
        <w:t>Payday Portfolio assets after 18 months under three scenarios</w:t>
      </w:r>
      <w:r w:rsidRPr="00101936">
        <w:rPr>
          <w:rFonts w:asciiTheme="majorHAnsi" w:hAnsiTheme="majorHAnsi" w:cstheme="majorHAnsi"/>
        </w:rPr>
        <w:br/>
      </w:r>
      <w:r w:rsidRPr="00101936">
        <w:rPr>
          <w:rFonts w:asciiTheme="majorHAnsi" w:hAnsiTheme="majorHAnsi" w:cstheme="majorHAnsi"/>
          <w:sz w:val="17"/>
          <w:szCs w:val="17"/>
        </w:rPr>
        <w:t>Source: Table F5.</w:t>
      </w:r>
    </w:p>
    <w:p w14:paraId="7EF5F8CC"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b/>
          <w:bCs/>
        </w:rPr>
        <w:t xml:space="preserve">F2. Validation direction. </w:t>
      </w:r>
      <w:r w:rsidRPr="00101936">
        <w:rPr>
          <w:rFonts w:asciiTheme="majorHAnsi" w:hAnsiTheme="majorHAnsi" w:cstheme="majorHAnsi"/>
        </w:rPr>
        <w:t>The headline KPI is the number of accounts holding VND 10 million or more, which DNSE already reports. It was 27,100 (1.8 per cent of accounts) at the end of 2025, and the target is 85,000 within 18 months, 5 per cent of the mid-2026 base. Supporting KPIs are the share of savers reaching three and six consecutive contributions, net new money, cost per funded account (VND 7.3 million today) and the trust share of negative reviews (37 per cent since 2025). Table F6 ranks the assumptions by the damage they would cause if wrong. DNSE should scale only if tests 1 to 4 pass and both gates hold. If enrolment falls short while retention holds, the message changes, and if retention fails, the concept stops (Figure F2).</w:t>
      </w:r>
    </w:p>
    <w:p w14:paraId="3D56A5AB" w14:textId="77777777" w:rsidR="00CF7FD3" w:rsidRPr="00101936" w:rsidRDefault="00000000" w:rsidP="001B3A39">
      <w:pPr>
        <w:keepNext/>
        <w:spacing w:before="160" w:after="80"/>
        <w:jc w:val="center"/>
        <w:rPr>
          <w:rFonts w:asciiTheme="majorHAnsi" w:hAnsiTheme="majorHAnsi" w:cstheme="majorHAnsi"/>
        </w:rPr>
      </w:pPr>
      <w:r w:rsidRPr="00101936">
        <w:rPr>
          <w:rFonts w:asciiTheme="majorHAnsi" w:hAnsiTheme="majorHAnsi" w:cstheme="majorHAnsi"/>
          <w:b/>
          <w:bCs/>
          <w:sz w:val="19"/>
          <w:szCs w:val="19"/>
        </w:rPr>
        <w:t xml:space="preserve">Table F6. </w:t>
      </w:r>
      <w:r w:rsidRPr="00101936">
        <w:rPr>
          <w:rFonts w:asciiTheme="majorHAnsi" w:hAnsiTheme="majorHAnsi" w:cstheme="majorHAnsi"/>
          <w:sz w:val="19"/>
          <w:szCs w:val="19"/>
        </w:rPr>
        <w:t>Priority assumptions, tests and thresholds for Round 3</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
        <w:gridCol w:w="3200"/>
        <w:gridCol w:w="3100"/>
        <w:gridCol w:w="2712"/>
      </w:tblGrid>
      <w:tr w:rsidR="00CF7FD3" w:rsidRPr="00101936" w14:paraId="5BE70463" w14:textId="77777777">
        <w:tblPrEx>
          <w:tblCellMar>
            <w:top w:w="0" w:type="dxa"/>
            <w:bottom w:w="0" w:type="dxa"/>
          </w:tblCellMar>
        </w:tblPrEx>
        <w:trPr>
          <w:cantSplit/>
          <w:tblHeader/>
        </w:trPr>
        <w:tc>
          <w:tcPr>
            <w:tcW w:w="4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401E58D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w:t>
            </w:r>
          </w:p>
        </w:tc>
        <w:tc>
          <w:tcPr>
            <w:tcW w:w="32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6742905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Assumption</w:t>
            </w:r>
          </w:p>
        </w:tc>
        <w:tc>
          <w:tcPr>
            <w:tcW w:w="31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7FA80C7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Test</w:t>
            </w:r>
          </w:p>
        </w:tc>
        <w:tc>
          <w:tcPr>
            <w:tcW w:w="2712"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6CF3B15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Threshold to proceed</w:t>
            </w:r>
          </w:p>
        </w:tc>
      </w:tr>
      <w:tr w:rsidR="00CF7FD3" w:rsidRPr="00101936" w14:paraId="5532B0ED" w14:textId="77777777">
        <w:tblPrEx>
          <w:tblCellMar>
            <w:top w:w="0" w:type="dxa"/>
            <w:bottom w:w="0" w:type="dxa"/>
          </w:tblCellMar>
        </w:tblPrEx>
        <w:trPr>
          <w:cantSplit/>
        </w:trPr>
        <w:tc>
          <w:tcPr>
            <w:tcW w:w="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8A0233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w:t>
            </w:r>
          </w:p>
        </w:tc>
        <w:tc>
          <w:tcPr>
            <w:tcW w:w="3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273688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Many dormant accounts belong to salaried intenders</w:t>
            </w:r>
          </w:p>
        </w:tc>
        <w:tc>
          <w:tcPr>
            <w:tcW w:w="3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07E707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Internal data; survey of 2,000 customers</w:t>
            </w:r>
          </w:p>
        </w:tc>
        <w:tc>
          <w:tcPr>
            <w:tcW w:w="27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DAE5D0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30% or more intend to invest</w:t>
            </w:r>
          </w:p>
        </w:tc>
      </w:tr>
      <w:tr w:rsidR="00CF7FD3" w:rsidRPr="00101936" w14:paraId="63AE93D3" w14:textId="77777777">
        <w:tblPrEx>
          <w:tblCellMar>
            <w:top w:w="0" w:type="dxa"/>
            <w:bottom w:w="0" w:type="dxa"/>
          </w:tblCellMar>
        </w:tblPrEx>
        <w:trPr>
          <w:cantSplit/>
        </w:trPr>
        <w:tc>
          <w:tcPr>
            <w:tcW w:w="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4BA4B8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2</w:t>
            </w:r>
          </w:p>
        </w:tc>
        <w:tc>
          <w:tcPr>
            <w:tcW w:w="3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9F0C5F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Advised automation turns intention into funding</w:t>
            </w:r>
          </w:p>
        </w:tc>
        <w:tc>
          <w:tcPr>
            <w:tcW w:w="3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4E8B1D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Randomised pilot with 20,000 customers</w:t>
            </w:r>
          </w:p>
        </w:tc>
        <w:tc>
          <w:tcPr>
            <w:tcW w:w="27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DFA3AC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15% enrol in 60 days; 70% of money kept at day 90</w:t>
            </w:r>
          </w:p>
        </w:tc>
      </w:tr>
      <w:tr w:rsidR="00CF7FD3" w:rsidRPr="00101936" w14:paraId="2D3353A7" w14:textId="77777777">
        <w:tblPrEx>
          <w:tblCellMar>
            <w:top w:w="0" w:type="dxa"/>
            <w:bottom w:w="0" w:type="dxa"/>
          </w:tblCellMar>
        </w:tblPrEx>
        <w:trPr>
          <w:cantSplit/>
        </w:trPr>
        <w:tc>
          <w:tcPr>
            <w:tcW w:w="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B69FF3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3</w:t>
            </w:r>
          </w:p>
        </w:tc>
        <w:tc>
          <w:tcPr>
            <w:tcW w:w="3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C6F9FB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Tiers and the skip month raise persistence</w:t>
            </w:r>
          </w:p>
        </w:tc>
        <w:tc>
          <w:tcPr>
            <w:tcW w:w="3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150048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Pilot arms with and without tiers</w:t>
            </w:r>
          </w:p>
        </w:tc>
        <w:tc>
          <w:tcPr>
            <w:tcW w:w="27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5CB8ED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Six-contribution rate up 10 points</w:t>
            </w:r>
          </w:p>
        </w:tc>
      </w:tr>
      <w:tr w:rsidR="00CF7FD3" w:rsidRPr="00101936" w14:paraId="149C224D" w14:textId="77777777">
        <w:tblPrEx>
          <w:tblCellMar>
            <w:top w:w="0" w:type="dxa"/>
            <w:bottom w:w="0" w:type="dxa"/>
          </w:tblCellMar>
        </w:tblPrEx>
        <w:trPr>
          <w:cantSplit/>
        </w:trPr>
        <w:tc>
          <w:tcPr>
            <w:tcW w:w="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51CF21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4</w:t>
            </w:r>
          </w:p>
        </w:tc>
        <w:tc>
          <w:tcPr>
            <w:tcW w:w="3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27FBCE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Trust features raise set-up</w:t>
            </w:r>
          </w:p>
        </w:tc>
        <w:tc>
          <w:tcPr>
            <w:tcW w:w="3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97E1F3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A/B test of the trust screen</w:t>
            </w:r>
          </w:p>
        </w:tc>
        <w:tc>
          <w:tcPr>
            <w:tcW w:w="27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680572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Set-up completion up 5 points</w:t>
            </w:r>
          </w:p>
        </w:tc>
      </w:tr>
      <w:tr w:rsidR="00CF7FD3" w:rsidRPr="00101936" w14:paraId="6047BF2F" w14:textId="77777777">
        <w:tblPrEx>
          <w:tblCellMar>
            <w:top w:w="0" w:type="dxa"/>
            <w:bottom w:w="0" w:type="dxa"/>
          </w:tblCellMar>
        </w:tblPrEx>
        <w:trPr>
          <w:cantSplit/>
        </w:trPr>
        <w:tc>
          <w:tcPr>
            <w:tcW w:w="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4DCA11D"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5</w:t>
            </w:r>
          </w:p>
        </w:tc>
        <w:tc>
          <w:tcPr>
            <w:tcW w:w="3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F1DB7C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The advice flow is compliant (gate)</w:t>
            </w:r>
          </w:p>
        </w:tc>
        <w:tc>
          <w:tcPr>
            <w:tcW w:w="3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121FB91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Compliance review; SSC notice</w:t>
            </w:r>
          </w:p>
        </w:tc>
        <w:tc>
          <w:tcPr>
            <w:tcW w:w="27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60B730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Written confirmation</w:t>
            </w:r>
          </w:p>
        </w:tc>
      </w:tr>
      <w:tr w:rsidR="00CF7FD3" w:rsidRPr="00101936" w14:paraId="0CB67908" w14:textId="77777777">
        <w:tblPrEx>
          <w:tblCellMar>
            <w:top w:w="0" w:type="dxa"/>
            <w:bottom w:w="0" w:type="dxa"/>
          </w:tblCellMar>
        </w:tblPrEx>
        <w:trPr>
          <w:cantSplit/>
        </w:trPr>
        <w:tc>
          <w:tcPr>
            <w:tcW w:w="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B7E556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6</w:t>
            </w:r>
          </w:p>
        </w:tc>
        <w:tc>
          <w:tcPr>
            <w:tcW w:w="3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89F166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Transfers are reliable (gate)</w:t>
            </w:r>
          </w:p>
        </w:tc>
        <w:tc>
          <w:tcPr>
            <w:tcW w:w="3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A2B39E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Load tests; shadow payday runs</w:t>
            </w:r>
          </w:p>
        </w:tc>
        <w:tc>
          <w:tcPr>
            <w:tcW w:w="27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759D7B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99.5% transfer success</w:t>
            </w:r>
          </w:p>
        </w:tc>
      </w:tr>
      <w:tr w:rsidR="00CF7FD3" w:rsidRPr="00101936" w14:paraId="07ABC79C" w14:textId="77777777">
        <w:tblPrEx>
          <w:tblCellMar>
            <w:top w:w="0" w:type="dxa"/>
            <w:bottom w:w="0" w:type="dxa"/>
          </w:tblCellMar>
        </w:tblPrEx>
        <w:trPr>
          <w:cantSplit/>
        </w:trPr>
        <w:tc>
          <w:tcPr>
            <w:tcW w:w="4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F4DD5B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7</w:t>
            </w:r>
          </w:p>
        </w:tc>
        <w:tc>
          <w:tcPr>
            <w:tcW w:w="32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80B9A1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Inflows are new money; unit costs fall</w:t>
            </w:r>
          </w:p>
        </w:tc>
        <w:tc>
          <w:tcPr>
            <w:tcW w:w="31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023B72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Tag inflow sources; track costs</w:t>
            </w:r>
          </w:p>
        </w:tc>
        <w:tc>
          <w:tcPr>
            <w:tcW w:w="27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535452E"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80% new money; cost below VND 7.3 million per funded account</w:t>
            </w:r>
          </w:p>
        </w:tc>
      </w:tr>
    </w:tbl>
    <w:p w14:paraId="6415739A" w14:textId="77777777" w:rsidR="00CF7FD3" w:rsidRPr="00101936" w:rsidRDefault="00000000" w:rsidP="001B3A39">
      <w:pPr>
        <w:spacing w:before="60" w:after="200"/>
        <w:jc w:val="right"/>
        <w:rPr>
          <w:rFonts w:asciiTheme="majorHAnsi" w:hAnsiTheme="majorHAnsi" w:cstheme="majorHAnsi"/>
        </w:rPr>
      </w:pPr>
      <w:r w:rsidRPr="00101936">
        <w:rPr>
          <w:rFonts w:asciiTheme="majorHAnsi" w:hAnsiTheme="majorHAnsi" w:cstheme="majorHAnsi"/>
          <w:sz w:val="17"/>
          <w:szCs w:val="17"/>
        </w:rPr>
        <w:t>Source: authors' design.</w:t>
      </w:r>
    </w:p>
    <w:p w14:paraId="2600C32C" w14:textId="77777777" w:rsidR="00CF7FD3" w:rsidRPr="00101936" w:rsidRDefault="00000000" w:rsidP="001B3A39">
      <w:pPr>
        <w:keepNext/>
        <w:spacing w:before="120" w:after="60"/>
        <w:jc w:val="center"/>
        <w:rPr>
          <w:rFonts w:asciiTheme="majorHAnsi" w:hAnsiTheme="majorHAnsi" w:cstheme="majorHAnsi"/>
        </w:rPr>
      </w:pPr>
      <w:r w:rsidRPr="00101936">
        <w:rPr>
          <w:rFonts w:asciiTheme="majorHAnsi" w:hAnsiTheme="majorHAnsi" w:cstheme="majorHAnsi"/>
          <w:noProof/>
        </w:rPr>
        <w:lastRenderedPageBreak/>
        <w:drawing>
          <wp:inline distT="0" distB="0" distL="0" distR="0" wp14:anchorId="20C0B496" wp14:editId="1BDCAC7F">
            <wp:extent cx="5581650" cy="2238375"/>
            <wp:effectExtent l="0" t="0" r="0" b="0"/>
            <wp:docPr id="669738279" name="Figure 12." descr="Validation roadmap for Round 3"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581650" cy="2238375"/>
                    </a:xfrm>
                    <a:prstGeom prst="rect">
                      <a:avLst/>
                    </a:prstGeom>
                  </pic:spPr>
                </pic:pic>
              </a:graphicData>
            </a:graphic>
          </wp:inline>
        </w:drawing>
      </w:r>
    </w:p>
    <w:p w14:paraId="064C3BDD" w14:textId="77777777" w:rsidR="00CF7FD3" w:rsidRPr="00101936" w:rsidRDefault="00000000" w:rsidP="001B3A39">
      <w:pPr>
        <w:spacing w:after="200"/>
        <w:jc w:val="center"/>
        <w:rPr>
          <w:rFonts w:asciiTheme="majorHAnsi" w:hAnsiTheme="majorHAnsi" w:cstheme="majorHAnsi"/>
        </w:rPr>
      </w:pPr>
      <w:r w:rsidRPr="00101936">
        <w:rPr>
          <w:rFonts w:asciiTheme="majorHAnsi" w:hAnsiTheme="majorHAnsi" w:cstheme="majorHAnsi"/>
          <w:b/>
          <w:bCs/>
          <w:sz w:val="19"/>
          <w:szCs w:val="19"/>
        </w:rPr>
        <w:t xml:space="preserve">Figure F2. </w:t>
      </w:r>
      <w:r w:rsidRPr="00101936">
        <w:rPr>
          <w:rFonts w:asciiTheme="majorHAnsi" w:hAnsiTheme="majorHAnsi" w:cstheme="majorHAnsi"/>
          <w:sz w:val="19"/>
          <w:szCs w:val="19"/>
        </w:rPr>
        <w:t>Validation roadmap for Round 3</w:t>
      </w:r>
      <w:r w:rsidRPr="00101936">
        <w:rPr>
          <w:rFonts w:asciiTheme="majorHAnsi" w:hAnsiTheme="majorHAnsi" w:cstheme="majorHAnsi"/>
        </w:rPr>
        <w:br/>
      </w:r>
      <w:r w:rsidRPr="00101936">
        <w:rPr>
          <w:rFonts w:asciiTheme="majorHAnsi" w:hAnsiTheme="majorHAnsi" w:cstheme="majorHAnsi"/>
          <w:sz w:val="17"/>
          <w:szCs w:val="17"/>
        </w:rPr>
        <w:t>Source: authors' design.</w:t>
      </w:r>
    </w:p>
    <w:p w14:paraId="35A14EB3" w14:textId="77777777" w:rsidR="00CF7FD3" w:rsidRPr="00101936" w:rsidRDefault="00000000" w:rsidP="00101936">
      <w:pPr>
        <w:pStyle w:val="Heading2"/>
        <w:keepNext/>
        <w:keepLines/>
        <w:jc w:val="both"/>
        <w:rPr>
          <w:rFonts w:asciiTheme="majorHAnsi" w:hAnsiTheme="majorHAnsi" w:cstheme="majorHAnsi"/>
        </w:rPr>
      </w:pPr>
      <w:r w:rsidRPr="00101936">
        <w:rPr>
          <w:rFonts w:asciiTheme="majorHAnsi" w:hAnsiTheme="majorHAnsi" w:cstheme="majorHAnsi"/>
        </w:rPr>
        <w:t>Appendix G. Regulatory basis and technology proposals</w:t>
      </w:r>
    </w:p>
    <w:p w14:paraId="0854F276" w14:textId="77777777" w:rsidR="00CF7FD3" w:rsidRPr="00101936" w:rsidRDefault="00000000" w:rsidP="00101936">
      <w:pPr>
        <w:spacing w:after="120" w:line="264" w:lineRule="auto"/>
        <w:jc w:val="both"/>
        <w:rPr>
          <w:rFonts w:asciiTheme="majorHAnsi" w:hAnsiTheme="majorHAnsi" w:cstheme="majorHAnsi"/>
        </w:rPr>
      </w:pPr>
      <w:r w:rsidRPr="00101936">
        <w:rPr>
          <w:rFonts w:asciiTheme="majorHAnsi" w:hAnsiTheme="majorHAnsi" w:cstheme="majorHAnsi"/>
        </w:rPr>
        <w:t>Table G1 records how each proposal was tested against the licensing and lending rules that apply to a securities company. The decisions define the scope of the first release in Section 4.</w:t>
      </w:r>
    </w:p>
    <w:p w14:paraId="3DE64CA5" w14:textId="77777777" w:rsidR="00CF7FD3" w:rsidRPr="00101936" w:rsidRDefault="00000000" w:rsidP="001B3A39">
      <w:pPr>
        <w:keepNext/>
        <w:spacing w:before="160" w:after="80"/>
        <w:jc w:val="center"/>
        <w:rPr>
          <w:rFonts w:asciiTheme="majorHAnsi" w:hAnsiTheme="majorHAnsi" w:cstheme="majorHAnsi"/>
        </w:rPr>
      </w:pPr>
      <w:r w:rsidRPr="00101936">
        <w:rPr>
          <w:rFonts w:asciiTheme="majorHAnsi" w:hAnsiTheme="majorHAnsi" w:cstheme="majorHAnsi"/>
          <w:b/>
          <w:bCs/>
          <w:sz w:val="19"/>
          <w:szCs w:val="19"/>
        </w:rPr>
        <w:t xml:space="preserve">Table G1. </w:t>
      </w:r>
      <w:r w:rsidRPr="00101936">
        <w:rPr>
          <w:rFonts w:asciiTheme="majorHAnsi" w:hAnsiTheme="majorHAnsi" w:cstheme="majorHAnsi"/>
          <w:sz w:val="19"/>
          <w:szCs w:val="19"/>
        </w:rPr>
        <w:t>Assessment of the proposed features and technology add-ons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500"/>
        <w:gridCol w:w="3000"/>
        <w:gridCol w:w="1912"/>
      </w:tblGrid>
      <w:tr w:rsidR="00CF7FD3" w:rsidRPr="00101936" w14:paraId="290A4E1A" w14:textId="77777777">
        <w:tblPrEx>
          <w:tblCellMar>
            <w:top w:w="0" w:type="dxa"/>
            <w:bottom w:w="0" w:type="dxa"/>
          </w:tblCellMar>
        </w:tblPrEx>
        <w:trPr>
          <w:cantSplit/>
          <w:tblHeader/>
        </w:trPr>
        <w:tc>
          <w:tcPr>
            <w:tcW w:w="20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47171D2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Proposal</w:t>
            </w:r>
          </w:p>
        </w:tc>
        <w:tc>
          <w:tcPr>
            <w:tcW w:w="25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5CC51D8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What it would do</w:t>
            </w:r>
          </w:p>
        </w:tc>
        <w:tc>
          <w:tcPr>
            <w:tcW w:w="3000"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110ABA2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Main constraint</w:t>
            </w:r>
          </w:p>
        </w:tc>
        <w:tc>
          <w:tcPr>
            <w:tcW w:w="1912" w:type="dxa"/>
            <w:tcBorders>
              <w:top w:val="single" w:sz="4" w:space="0" w:color="8C8C8C"/>
              <w:left w:val="single" w:sz="4" w:space="0" w:color="8C8C8C"/>
              <w:bottom w:val="single" w:sz="4" w:space="0" w:color="8C8C8C"/>
              <w:right w:val="single" w:sz="4" w:space="0" w:color="8C8C8C"/>
            </w:tcBorders>
            <w:shd w:val="clear" w:color="auto" w:fill="E6E6E6"/>
            <w:tcMar>
              <w:top w:w="45" w:type="dxa"/>
              <w:left w:w="90" w:type="dxa"/>
              <w:bottom w:w="45" w:type="dxa"/>
              <w:right w:w="90" w:type="dxa"/>
            </w:tcMar>
            <w:vAlign w:val="center"/>
          </w:tcPr>
          <w:p w14:paraId="6393680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b/>
                <w:bCs/>
                <w:sz w:val="18"/>
                <w:szCs w:val="18"/>
              </w:rPr>
              <w:t>Decision</w:t>
            </w:r>
          </w:p>
        </w:tc>
      </w:tr>
      <w:tr w:rsidR="00CF7FD3" w:rsidRPr="00101936" w14:paraId="33A066D4"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B62FD7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Ensa suitability check and model portfolios</w:t>
            </w:r>
          </w:p>
        </w:tc>
        <w:tc>
          <w:tcPr>
            <w:tcW w:w="25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FA24C50"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Records goal, horizon, income and risk tolerance; proposes one of three model portfolios</w:t>
            </w:r>
          </w:p>
        </w:tc>
        <w:tc>
          <w:tcPr>
            <w:tcW w:w="3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0569EF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This is investment advice; Circular 121/2020, Article 24 requires this client information</w:t>
            </w:r>
          </w:p>
        </w:tc>
        <w:tc>
          <w:tcPr>
            <w:tcW w:w="19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61D0D9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Adopt inside DNSE's advisory licence; the customer confirms</w:t>
            </w:r>
          </w:p>
        </w:tc>
      </w:tr>
      <w:tr w:rsidR="00CF7FD3" w:rsidRPr="00101936" w14:paraId="2412D272"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B95933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Automatic rebalancing</w:t>
            </w:r>
          </w:p>
        </w:tc>
        <w:tc>
          <w:tcPr>
            <w:tcW w:w="25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43E0B7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Sells and buys to restore target weights</w:t>
            </w:r>
          </w:p>
        </w:tc>
        <w:tc>
          <w:tcPr>
            <w:tcW w:w="3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B4A7D3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Article 4 bars investing on a client's behalf without a mandate; each sale incurs 0.1% tax</w:t>
            </w:r>
          </w:p>
        </w:tc>
        <w:tc>
          <w:tcPr>
            <w:tcW w:w="19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3B28E8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Adopt with new money only; changes confirmed in one tap</w:t>
            </w:r>
          </w:p>
        </w:tc>
      </w:tr>
      <w:tr w:rsidR="00CF7FD3" w:rsidRPr="00101936" w14:paraId="5B00C26A"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1202D9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Paid membership tier</w:t>
            </w:r>
          </w:p>
        </w:tc>
        <w:tc>
          <w:tcPr>
            <w:tcW w:w="25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A80D87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Monthly fee for extra features</w:t>
            </w:r>
          </w:p>
        </w:tc>
        <w:tc>
          <w:tcPr>
            <w:tcW w:w="3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BFCF6F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Fees before any return repeat the terms that customers call deceptive</w:t>
            </w:r>
          </w:p>
        </w:tc>
        <w:tc>
          <w:tcPr>
            <w:tcW w:w="19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29B4DB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Replace with free tiers earned by contributions</w:t>
            </w:r>
          </w:p>
        </w:tc>
      </w:tr>
      <w:tr w:rsidR="00CF7FD3" w:rsidRPr="00101936" w14:paraId="71DCFEC0"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72F360C"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ZaloPay round-up micro-investing</w:t>
            </w:r>
          </w:p>
        </w:tc>
        <w:tc>
          <w:tcPr>
            <w:tcW w:w="25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9394685"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Rounds up wallet payments and invests the difference</w:t>
            </w:r>
          </w:p>
        </w:tc>
        <w:tc>
          <w:tcPr>
            <w:tcW w:w="3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553463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Small amounts; needs ZaloPay's product work; funding of cashback unclear</w:t>
            </w:r>
          </w:p>
        </w:tc>
        <w:tc>
          <w:tcPr>
            <w:tcW w:w="19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6B8929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Phase-2 test for young users</w:t>
            </w:r>
          </w:p>
        </w:tc>
      </w:tr>
      <w:tr w:rsidR="00CF7FD3" w:rsidRPr="00101936" w14:paraId="50F59496"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625FFA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Ensa Smart Vaults via Lightspeed API</w:t>
            </w:r>
          </w:p>
        </w:tc>
        <w:tc>
          <w:tcPr>
            <w:tcW w:w="25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3ACDF699"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Algorithmic portfolios executed automatically for an asset-based fee</w:t>
            </w:r>
          </w:p>
        </w:tc>
        <w:tc>
          <w:tcPr>
            <w:tcW w:w="3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A7A1D4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Portfolio management is outside a securities company's four licensed businesses (Law on Securities, Article 72); speed adds little for monthly savers</w:t>
            </w:r>
          </w:p>
        </w:tc>
        <w:tc>
          <w:tcPr>
            <w:tcW w:w="19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9C12002"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Set aside; possible later as funds from a licensed manager that DNSE distributes</w:t>
            </w:r>
          </w:p>
        </w:tc>
      </w:tr>
      <w:tr w:rsidR="00CF7FD3" w:rsidRPr="00101936" w14:paraId="5061C66D"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852309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Margin-on-Wealth credit line</w:t>
            </w:r>
          </w:p>
        </w:tc>
        <w:tc>
          <w:tcPr>
            <w:tcW w:w="25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41F9CA7"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Overdraft secured on Golden Egg, fund units and idle cash</w:t>
            </w:r>
          </w:p>
        </w:tc>
        <w:tc>
          <w:tcPr>
            <w:tcW w:w="3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4BC96D5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Article 27 limits lending to margin and defined purposes; fund units are not listed securities; 2026 fine on unreported advance services</w:t>
            </w:r>
          </w:p>
        </w:tc>
        <w:tc>
          <w:tcPr>
            <w:tcW w:w="19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09745EB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Reject</w:t>
            </w:r>
          </w:p>
        </w:tc>
      </w:tr>
      <w:tr w:rsidR="00CF7FD3" w:rsidRPr="00101936" w14:paraId="5D5BD20F"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20635C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Margin Deal discount as a tier reward</w:t>
            </w:r>
          </w:p>
        </w:tc>
        <w:tc>
          <w:tcPr>
            <w:tcW w:w="25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534A5954"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Cheaper leverage after twelve contributions</w:t>
            </w:r>
          </w:p>
        </w:tc>
        <w:tc>
          <w:tcPr>
            <w:tcW w:w="3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651C846"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Conflicts with a saver's goal and with the 2026 inspection findings</w:t>
            </w:r>
          </w:p>
        </w:tc>
        <w:tc>
          <w:tcPr>
            <w:tcW w:w="19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A7D20AF"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Exclude from rewards</w:t>
            </w:r>
          </w:p>
        </w:tc>
      </w:tr>
      <w:tr w:rsidR="00CF7FD3" w:rsidRPr="00101936" w14:paraId="2A72AABE"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2696664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Transparency dashboard and VNeID checks</w:t>
            </w:r>
          </w:p>
        </w:tc>
        <w:tc>
          <w:tcPr>
            <w:tcW w:w="25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72DEDA61"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Shows the segregated client account; faster identity checks</w:t>
            </w:r>
          </w:p>
        </w:tc>
        <w:tc>
          <w:tcPr>
            <w:tcW w:w="3000"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A6CAF9A"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Needs a bank data feed; VNeID integration to be confirmed</w:t>
            </w:r>
          </w:p>
        </w:tc>
        <w:tc>
          <w:tcPr>
            <w:tcW w:w="1912" w:type="dxa"/>
            <w:tcBorders>
              <w:top w:val="single" w:sz="4" w:space="0" w:color="8C8C8C"/>
              <w:left w:val="single" w:sz="4" w:space="0" w:color="8C8C8C"/>
              <w:bottom w:val="single" w:sz="4" w:space="0" w:color="8C8C8C"/>
              <w:right w:val="single" w:sz="4" w:space="0" w:color="8C8C8C"/>
            </w:tcBorders>
            <w:tcMar>
              <w:top w:w="45" w:type="dxa"/>
              <w:left w:w="90" w:type="dxa"/>
              <w:bottom w:w="45" w:type="dxa"/>
              <w:right w:w="90" w:type="dxa"/>
            </w:tcMar>
            <w:vAlign w:val="center"/>
          </w:tcPr>
          <w:p w14:paraId="6699843B" w14:textId="77777777" w:rsidR="00CF7FD3" w:rsidRPr="00101936" w:rsidRDefault="00000000" w:rsidP="00101936">
            <w:pPr>
              <w:keepNext/>
              <w:jc w:val="both"/>
              <w:rPr>
                <w:rFonts w:asciiTheme="majorHAnsi" w:hAnsiTheme="majorHAnsi" w:cstheme="majorHAnsi"/>
              </w:rPr>
            </w:pPr>
            <w:r w:rsidRPr="00101936">
              <w:rPr>
                <w:rFonts w:asciiTheme="majorHAnsi" w:hAnsiTheme="majorHAnsi" w:cstheme="majorHAnsi"/>
                <w:sz w:val="18"/>
                <w:szCs w:val="18"/>
              </w:rPr>
              <w:t>Adopt the dashboard; test VNeID</w:t>
            </w:r>
          </w:p>
        </w:tc>
      </w:tr>
    </w:tbl>
    <w:p w14:paraId="0C0D16AA" w14:textId="77777777" w:rsidR="00CF7FD3" w:rsidRPr="00101936" w:rsidRDefault="00000000" w:rsidP="001B3A39">
      <w:pPr>
        <w:spacing w:before="60" w:after="200"/>
        <w:jc w:val="right"/>
        <w:rPr>
          <w:rFonts w:asciiTheme="majorHAnsi" w:hAnsiTheme="majorHAnsi" w:cstheme="majorHAnsi"/>
        </w:rPr>
      </w:pPr>
      <w:r w:rsidRPr="00101936">
        <w:rPr>
          <w:rFonts w:asciiTheme="majorHAnsi" w:hAnsiTheme="majorHAnsi" w:cstheme="majorHAnsi"/>
          <w:sz w:val="17"/>
          <w:szCs w:val="17"/>
        </w:rPr>
        <w:t>Source: Ministry of Finance (2020); National Assembly (2019); Market Times (2026); DNSE Securities (2026d); authors' assessment.</w:t>
      </w:r>
    </w:p>
    <w:p w14:paraId="6D2B30DA" w14:textId="596F7D8C" w:rsidR="00CF7FD3" w:rsidRPr="00101936" w:rsidRDefault="001B3A39" w:rsidP="001B3A39">
      <w:pPr>
        <w:pStyle w:val="Heading1"/>
        <w:keepNext/>
        <w:keepLines/>
        <w:pageBreakBefore/>
        <w:spacing w:before="0"/>
        <w:jc w:val="center"/>
        <w:rPr>
          <w:rFonts w:asciiTheme="majorHAnsi" w:hAnsiTheme="majorHAnsi" w:cstheme="majorHAnsi"/>
        </w:rPr>
      </w:pPr>
      <w:r w:rsidRPr="00101936">
        <w:rPr>
          <w:rFonts w:asciiTheme="majorHAnsi" w:hAnsiTheme="majorHAnsi" w:cstheme="majorHAnsi"/>
        </w:rPr>
        <w:lastRenderedPageBreak/>
        <w:t>REFERENCES</w:t>
      </w:r>
    </w:p>
    <w:p w14:paraId="2CFE04C5"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Ashraf, N., Karlan, D., &amp; Yin, W. (2006). Tying Odysseus to the mast: Evidence from a commitment savings product in the Philippines. The Quarterly Journal of Economics, 121(2), 635-672. https://doi.org/10.1162/qjec.2006.121.2.635</w:t>
      </w:r>
    </w:p>
    <w:p w14:paraId="2809D0DC"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 xml:space="preserve">Bao Dau Thau. (2026, September 3). </w:t>
      </w:r>
      <w:r w:rsidRPr="00101936">
        <w:rPr>
          <w:rFonts w:asciiTheme="majorHAnsi" w:hAnsiTheme="majorHAnsi" w:cstheme="majorHAnsi"/>
          <w:i/>
          <w:iCs/>
          <w:sz w:val="20"/>
          <w:szCs w:val="20"/>
        </w:rPr>
        <w:t>CPI tháng 8/2026 tăng 0,47%</w:t>
      </w:r>
      <w:r w:rsidRPr="00101936">
        <w:rPr>
          <w:rFonts w:asciiTheme="majorHAnsi" w:hAnsiTheme="majorHAnsi" w:cstheme="majorHAnsi"/>
          <w:sz w:val="20"/>
          <w:szCs w:val="20"/>
        </w:rPr>
        <w:t xml:space="preserve"> [CPI rose 0.47% in August 2026]. https://baodauthau.vn/cpi-thang-82026-tang-047-post206275.html</w:t>
      </w:r>
    </w:p>
    <w:p w14:paraId="1B9E52DA"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 xml:space="preserve">CafeF. (2024, November 21). </w:t>
      </w:r>
      <w:r w:rsidRPr="00101936">
        <w:rPr>
          <w:rFonts w:asciiTheme="majorHAnsi" w:hAnsiTheme="majorHAnsi" w:cstheme="majorHAnsi"/>
          <w:i/>
          <w:iCs/>
          <w:sz w:val="20"/>
          <w:szCs w:val="20"/>
        </w:rPr>
        <w:t>Công ty đứng sau thương vụ IPO duy nhất của thị trường Việt Nam năm 2024</w:t>
      </w:r>
      <w:r w:rsidRPr="00101936">
        <w:rPr>
          <w:rFonts w:asciiTheme="majorHAnsi" w:hAnsiTheme="majorHAnsi" w:cstheme="majorHAnsi"/>
          <w:sz w:val="20"/>
          <w:szCs w:val="20"/>
        </w:rPr>
        <w:t xml:space="preserve"> [The company behind Vietnam's only IPO of 2024]. https://cafef.vn/cong-ty-dung-sau-thuong-vu-ipo-duy-nhat-cua-thi-truong-viet-nam-nam-2024-chu-tich-tung-la-ceo-tre-nhat-lich-su-vndirect-loi-nhuan-tang-truong-hon-100-lan-trong-4-nam-188241121113910237.chn</w:t>
      </w:r>
    </w:p>
    <w:p w14:paraId="23DD4140"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 xml:space="preserve">CafeF. (2026, July 22). </w:t>
      </w:r>
      <w:r w:rsidRPr="00101936">
        <w:rPr>
          <w:rFonts w:asciiTheme="majorHAnsi" w:hAnsiTheme="majorHAnsi" w:cstheme="majorHAnsi"/>
          <w:i/>
          <w:iCs/>
          <w:sz w:val="20"/>
          <w:szCs w:val="20"/>
        </w:rPr>
        <w:t>Soi số lợi nhuận 15.200 tỷ của ngành chứng khoán trong quý 2</w:t>
      </w:r>
      <w:r w:rsidRPr="00101936">
        <w:rPr>
          <w:rFonts w:asciiTheme="majorHAnsi" w:hAnsiTheme="majorHAnsi" w:cstheme="majorHAnsi"/>
          <w:sz w:val="20"/>
          <w:szCs w:val="20"/>
        </w:rPr>
        <w:t xml:space="preserve"> [The securities industry's VND 15,200 billion profit in Q2]. https://cafef.vn/soi-so-loi-nhuan-15200-ty-cua-nganh-chung-khoan-trong-quy-2-mot-cuoc-doi-ngoi-dang-am-tham-dien-ra-188260722020054991.chn</w:t>
      </w:r>
    </w:p>
    <w:p w14:paraId="7A1CF5BC"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 xml:space="preserve">DNSE Securities. (2025). </w:t>
      </w:r>
      <w:r w:rsidRPr="00101936">
        <w:rPr>
          <w:rFonts w:asciiTheme="majorHAnsi" w:hAnsiTheme="majorHAnsi" w:cstheme="majorHAnsi"/>
          <w:i/>
          <w:iCs/>
          <w:sz w:val="20"/>
          <w:szCs w:val="20"/>
        </w:rPr>
        <w:t>So sánh các chương trình "sinh lời tự động" từ tiền nhàn rỗi 2025</w:t>
      </w:r>
      <w:r w:rsidRPr="00101936">
        <w:rPr>
          <w:rFonts w:asciiTheme="majorHAnsi" w:hAnsiTheme="majorHAnsi" w:cstheme="majorHAnsi"/>
          <w:sz w:val="20"/>
          <w:szCs w:val="20"/>
        </w:rPr>
        <w:t xml:space="preserve"> [Comparison of automatic-earning programmes for idle cash, 2025]. https://www.dnse.com.vn/hoc/chuong-trinh-sinh-loi-tu-dong</w:t>
      </w:r>
    </w:p>
    <w:p w14:paraId="440C240F"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 xml:space="preserve">DNSE Securities. (2026a). </w:t>
      </w:r>
      <w:r w:rsidRPr="00101936">
        <w:rPr>
          <w:rFonts w:asciiTheme="majorHAnsi" w:hAnsiTheme="majorHAnsi" w:cstheme="majorHAnsi"/>
          <w:i/>
          <w:iCs/>
          <w:sz w:val="20"/>
          <w:szCs w:val="20"/>
        </w:rPr>
        <w:t>Financial statements and investor relations releases, 2019 to the second quarter of 2026</w:t>
      </w:r>
      <w:r w:rsidRPr="00101936">
        <w:rPr>
          <w:rFonts w:asciiTheme="majorHAnsi" w:hAnsiTheme="majorHAnsi" w:cstheme="majorHAnsi"/>
          <w:sz w:val="20"/>
          <w:szCs w:val="20"/>
        </w:rPr>
        <w:t>. https://ir.dnse.com.vn/vi/ctype-finance_report</w:t>
      </w:r>
    </w:p>
    <w:p w14:paraId="20D0298B"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 xml:space="preserve">DNSE Securities. (2026b). </w:t>
      </w:r>
      <w:r w:rsidRPr="00101936">
        <w:rPr>
          <w:rFonts w:asciiTheme="majorHAnsi" w:hAnsiTheme="majorHAnsi" w:cstheme="majorHAnsi"/>
          <w:i/>
          <w:iCs/>
          <w:sz w:val="20"/>
          <w:szCs w:val="20"/>
        </w:rPr>
        <w:t>Tài khoản Không Ngủ</w:t>
      </w:r>
      <w:r w:rsidRPr="00101936">
        <w:rPr>
          <w:rFonts w:asciiTheme="majorHAnsi" w:hAnsiTheme="majorHAnsi" w:cstheme="majorHAnsi"/>
          <w:sz w:val="20"/>
          <w:szCs w:val="20"/>
        </w:rPr>
        <w:t xml:space="preserve"> [Idle-cash account, product page]. Retrieved September 24, 2026, from https://www.dnse.com.vn/san-pham/tai-khoan-khong-ngu</w:t>
      </w:r>
    </w:p>
    <w:p w14:paraId="6CD68805"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 xml:space="preserve">DNSE Securities. (2026c). </w:t>
      </w:r>
      <w:r w:rsidRPr="00101936">
        <w:rPr>
          <w:rFonts w:asciiTheme="majorHAnsi" w:hAnsiTheme="majorHAnsi" w:cstheme="majorHAnsi"/>
          <w:i/>
          <w:iCs/>
          <w:sz w:val="20"/>
          <w:szCs w:val="20"/>
        </w:rPr>
        <w:t>Báo cáo thường niên 2025</w:t>
      </w:r>
      <w:r w:rsidRPr="00101936">
        <w:rPr>
          <w:rFonts w:asciiTheme="majorHAnsi" w:hAnsiTheme="majorHAnsi" w:cstheme="majorHAnsi"/>
          <w:sz w:val="20"/>
          <w:szCs w:val="20"/>
        </w:rPr>
        <w:t xml:space="preserve"> [Annual report 2025]. https://cdn.dnse.com.vn/dnse-assets/CBTT/DSE%20-%20BCTN%202025.pdf</w:t>
      </w:r>
    </w:p>
    <w:p w14:paraId="7D2D0F70"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DNSE Securities. (2026d). Điều khoản và điều kiện sản phẩm "Ý Tưởng Đầu Tư" [Terms and conditions of the Investment Ideas product]. Retrieved September 27, 2026, from https://hdsd.dnse.com.vn/die-u-khoa-n-di-ch-vu-dnse/dieu-khoan-san-pham-dich-vu/dieu-khoan-va-dieu-kien-san-pham-y-tuong-dau-tu</w:t>
      </w:r>
    </w:p>
    <w:p w14:paraId="44B643FB"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DNSE Securities. (2026e). Lightspeed API [Product page]. Retrieved September 27, 2026, from https://www.dnse.com.vn/lightspeed-api</w:t>
      </w:r>
    </w:p>
    <w:p w14:paraId="1F5ADD9C"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 xml:space="preserve">Hanoi Stock Exchange. (2026). </w:t>
      </w:r>
      <w:r w:rsidRPr="00101936">
        <w:rPr>
          <w:rFonts w:asciiTheme="majorHAnsi" w:hAnsiTheme="majorHAnsi" w:cstheme="majorHAnsi"/>
          <w:i/>
          <w:iCs/>
          <w:sz w:val="20"/>
          <w:szCs w:val="20"/>
        </w:rPr>
        <w:t>Quarterly announcements of the ten securities companies with the largest brokerage market share, Q4 2017 to Q2 2026</w:t>
      </w:r>
      <w:r w:rsidRPr="00101936">
        <w:rPr>
          <w:rFonts w:asciiTheme="majorHAnsi" w:hAnsiTheme="majorHAnsi" w:cstheme="majorHAnsi"/>
          <w:sz w:val="20"/>
          <w:szCs w:val="20"/>
        </w:rPr>
        <w:t xml:space="preserve"> [Data set]. Retrieved September 25, 2026, from https://www.hnx.vn</w:t>
      </w:r>
    </w:p>
    <w:p w14:paraId="7BF472F3"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Kahneman, D., &amp; Tversky, A. (1979). Prospect theory: An analysis of decision under risk. Econometrica, 47(2), 263-291. https://doi.org/10.2307/1914185</w:t>
      </w:r>
    </w:p>
    <w:p w14:paraId="6BEAC6D7"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 xml:space="preserve">KPMG Vietnam. (2025). </w:t>
      </w:r>
      <w:r w:rsidRPr="00101936">
        <w:rPr>
          <w:rFonts w:asciiTheme="majorHAnsi" w:hAnsiTheme="majorHAnsi" w:cstheme="majorHAnsi"/>
          <w:i/>
          <w:iCs/>
          <w:sz w:val="20"/>
          <w:szCs w:val="20"/>
        </w:rPr>
        <w:t>Vietnam 2026 outlook</w:t>
      </w:r>
      <w:r w:rsidRPr="00101936">
        <w:rPr>
          <w:rFonts w:asciiTheme="majorHAnsi" w:hAnsiTheme="majorHAnsi" w:cstheme="majorHAnsi"/>
          <w:sz w:val="20"/>
          <w:szCs w:val="20"/>
        </w:rPr>
        <w:t>. https://assets.kpmg.com/content/dam/kpmgsites/vn/pdf/2025/10/vietnam-2026-outlook.pdf</w:t>
      </w:r>
    </w:p>
    <w:p w14:paraId="28DB1BF8"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 xml:space="preserve">Madrian, B. C., &amp; Shea, D. F. (2001). The power of suggestion: Inertia in 401(k) participation and savings behavior. </w:t>
      </w:r>
      <w:r w:rsidRPr="00101936">
        <w:rPr>
          <w:rFonts w:asciiTheme="majorHAnsi" w:hAnsiTheme="majorHAnsi" w:cstheme="majorHAnsi"/>
          <w:i/>
          <w:iCs/>
          <w:sz w:val="20"/>
          <w:szCs w:val="20"/>
        </w:rPr>
        <w:t>The Quarterly Journal of Economics, 116</w:t>
      </w:r>
      <w:r w:rsidRPr="00101936">
        <w:rPr>
          <w:rFonts w:asciiTheme="majorHAnsi" w:hAnsiTheme="majorHAnsi" w:cstheme="majorHAnsi"/>
          <w:sz w:val="20"/>
          <w:szCs w:val="20"/>
        </w:rPr>
        <w:t>(4), 1149-1187. https://doi.org/10.1162/003355301753265543</w:t>
      </w:r>
    </w:p>
    <w:p w14:paraId="78CCC84A"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 xml:space="preserve">Market Times. (2026, August 17). </w:t>
      </w:r>
      <w:r w:rsidRPr="00101936">
        <w:rPr>
          <w:rFonts w:asciiTheme="majorHAnsi" w:hAnsiTheme="majorHAnsi" w:cstheme="majorHAnsi"/>
          <w:i/>
          <w:iCs/>
          <w:sz w:val="20"/>
          <w:szCs w:val="20"/>
        </w:rPr>
        <w:t>Chứng khoán DNSE (DSE) của Chủ tịch Nguyễn Hoàng Giang bị phạt hơn 800 triệu đồng vì loạt vi phạm trong hoạt động chứng khoán</w:t>
      </w:r>
      <w:r w:rsidRPr="00101936">
        <w:rPr>
          <w:rFonts w:asciiTheme="majorHAnsi" w:hAnsiTheme="majorHAnsi" w:cstheme="majorHAnsi"/>
          <w:sz w:val="20"/>
          <w:szCs w:val="20"/>
        </w:rPr>
        <w:t xml:space="preserve"> [DNSE fined more than VND 800 million for securities violations]. https://markettimes.vn/chung-khoan-dnse-dse-cua-chu-tich-nguyen-hoang-giang-bi-phat-128642.html</w:t>
      </w:r>
    </w:p>
    <w:p w14:paraId="632CBEDC"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Ministry of Finance. (2020). Circular No. 121/2020/TT-BTC on the operation of securities companies. https://thuvienphapluat.vn/van-ban/Doanh-nghiep/Thong-tu-121-2020-TT-BTC-huong-dan-hoat-dong-cua-cong-ty-chung-khoan-453690.aspx</w:t>
      </w:r>
    </w:p>
    <w:p w14:paraId="46A2E10D"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National Assembly of Vietnam. (2019). Law on Securities No. 54/2019/QH14. https://thuvienphapluat.vn/van-ban/Chung-khoan/Luat-Chung-khoan-nam-2019-399763.aspx</w:t>
      </w:r>
    </w:p>
    <w:p w14:paraId="71A09579"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 xml:space="preserve">Nhan Dan. (2025, July 8). </w:t>
      </w:r>
      <w:r w:rsidRPr="00101936">
        <w:rPr>
          <w:rFonts w:asciiTheme="majorHAnsi" w:hAnsiTheme="majorHAnsi" w:cstheme="majorHAnsi"/>
          <w:i/>
          <w:iCs/>
          <w:sz w:val="20"/>
          <w:szCs w:val="20"/>
        </w:rPr>
        <w:t>Công bố khảo sát 2025 về nhu cầu quản lý tài sản và đầu tư của người Việt</w:t>
      </w:r>
      <w:r w:rsidRPr="00101936">
        <w:rPr>
          <w:rFonts w:asciiTheme="majorHAnsi" w:hAnsiTheme="majorHAnsi" w:cstheme="majorHAnsi"/>
          <w:sz w:val="20"/>
          <w:szCs w:val="20"/>
        </w:rPr>
        <w:t xml:space="preserve"> [2025 survey of Vietnamese wealth management and investment needs]. https://nhandan.vn/cong-bo-khao-sat-2025-ve-nhu-cau-quan-ly-tai-san-va-dau-tu-cua-nguoi-viet-post892406.html</w:t>
      </w:r>
    </w:p>
    <w:p w14:paraId="3893366C"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 xml:space="preserve">O'Donoghue, T., &amp; Rabin, M. (1999). Doing it now or later. </w:t>
      </w:r>
      <w:r w:rsidRPr="00101936">
        <w:rPr>
          <w:rFonts w:asciiTheme="majorHAnsi" w:hAnsiTheme="majorHAnsi" w:cstheme="majorHAnsi"/>
          <w:i/>
          <w:iCs/>
          <w:sz w:val="20"/>
          <w:szCs w:val="20"/>
        </w:rPr>
        <w:t>American Economic Review, 89</w:t>
      </w:r>
      <w:r w:rsidRPr="00101936">
        <w:rPr>
          <w:rFonts w:asciiTheme="majorHAnsi" w:hAnsiTheme="majorHAnsi" w:cstheme="majorHAnsi"/>
          <w:sz w:val="20"/>
          <w:szCs w:val="20"/>
        </w:rPr>
        <w:t>(1), 103-124. https://doi.org/10.1257/aer.89.1.103</w:t>
      </w:r>
    </w:p>
    <w:p w14:paraId="029BA3A1"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 xml:space="preserve">Phu Nu Viet Nam. (2026, August 19). </w:t>
      </w:r>
      <w:r w:rsidRPr="00101936">
        <w:rPr>
          <w:rFonts w:asciiTheme="majorHAnsi" w:hAnsiTheme="majorHAnsi" w:cstheme="majorHAnsi"/>
          <w:i/>
          <w:iCs/>
          <w:sz w:val="20"/>
          <w:szCs w:val="20"/>
        </w:rPr>
        <w:t>Công ty Chứng khoán DNSE bị buộc dừng cung cấp dịch vụ tài chính</w:t>
      </w:r>
      <w:r w:rsidRPr="00101936">
        <w:rPr>
          <w:rFonts w:asciiTheme="majorHAnsi" w:hAnsiTheme="majorHAnsi" w:cstheme="majorHAnsi"/>
          <w:sz w:val="20"/>
          <w:szCs w:val="20"/>
        </w:rPr>
        <w:t xml:space="preserve"> [DNSE ordered to stop providing financial services]. https://phunuvietnam.vn/cong-ty-chung-khoan-dnse-bi-buoc-dung-cung-cap-dich-vu-tai-chinh-238260818165854342.htm</w:t>
      </w:r>
    </w:p>
    <w:p w14:paraId="27E11B86"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lastRenderedPageBreak/>
        <w:t xml:space="preserve">State Bank of Vietnam. (2024). </w:t>
      </w:r>
      <w:r w:rsidRPr="00101936">
        <w:rPr>
          <w:rFonts w:asciiTheme="majorHAnsi" w:hAnsiTheme="majorHAnsi" w:cstheme="majorHAnsi"/>
          <w:i/>
          <w:iCs/>
          <w:sz w:val="20"/>
          <w:szCs w:val="20"/>
        </w:rPr>
        <w:t>Circular No. 64/2024/TT-NHNN on the implementation of open application programming interfaces in the banking sector</w:t>
      </w:r>
      <w:r w:rsidRPr="00101936">
        <w:rPr>
          <w:rFonts w:asciiTheme="majorHAnsi" w:hAnsiTheme="majorHAnsi" w:cstheme="majorHAnsi"/>
          <w:sz w:val="20"/>
          <w:szCs w:val="20"/>
        </w:rPr>
        <w:t>.</w:t>
      </w:r>
    </w:p>
    <w:p w14:paraId="01E9BAD4"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 xml:space="preserve">TCBS. (2026). </w:t>
      </w:r>
      <w:r w:rsidRPr="00101936">
        <w:rPr>
          <w:rFonts w:asciiTheme="majorHAnsi" w:hAnsiTheme="majorHAnsi" w:cstheme="majorHAnsi"/>
          <w:i/>
          <w:iCs/>
          <w:sz w:val="20"/>
          <w:szCs w:val="20"/>
        </w:rPr>
        <w:t>iPower</w:t>
      </w:r>
      <w:r w:rsidRPr="00101936">
        <w:rPr>
          <w:rFonts w:asciiTheme="majorHAnsi" w:hAnsiTheme="majorHAnsi" w:cstheme="majorHAnsi"/>
          <w:sz w:val="20"/>
          <w:szCs w:val="20"/>
        </w:rPr>
        <w:t xml:space="preserve"> [Product page]. Retrieved September 24, 2026, from https://www.tcbs.com.vn/ca-nhan/san-pham/ipower/</w:t>
      </w:r>
    </w:p>
    <w:p w14:paraId="7EB104A5"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 xml:space="preserve">Thaler, R. H., &amp; Benartzi, S. (2004). Save More Tomorrow: Using behavioral economics to increase employee saving. </w:t>
      </w:r>
      <w:r w:rsidRPr="00101936">
        <w:rPr>
          <w:rFonts w:asciiTheme="majorHAnsi" w:hAnsiTheme="majorHAnsi" w:cstheme="majorHAnsi"/>
          <w:i/>
          <w:iCs/>
          <w:sz w:val="20"/>
          <w:szCs w:val="20"/>
        </w:rPr>
        <w:t>Journal of Political Economy, 112</w:t>
      </w:r>
      <w:r w:rsidRPr="00101936">
        <w:rPr>
          <w:rFonts w:asciiTheme="majorHAnsi" w:hAnsiTheme="majorHAnsi" w:cstheme="majorHAnsi"/>
          <w:sz w:val="20"/>
          <w:szCs w:val="20"/>
        </w:rPr>
        <w:t>(S1), S164-S187. https://doi.org/10.1086/380085</w:t>
      </w:r>
    </w:p>
    <w:p w14:paraId="680C1F88"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 xml:space="preserve">Thanh Nien. (2023, July 17). </w:t>
      </w:r>
      <w:r w:rsidRPr="00101936">
        <w:rPr>
          <w:rFonts w:asciiTheme="majorHAnsi" w:hAnsiTheme="majorHAnsi" w:cstheme="majorHAnsi"/>
          <w:i/>
          <w:iCs/>
          <w:sz w:val="20"/>
          <w:szCs w:val="20"/>
        </w:rPr>
        <w:t>ZaloPay hợp tác DNSE để trở thành ví điện tử hỗ trợ đầu tư chứng khoán</w:t>
      </w:r>
      <w:r w:rsidRPr="00101936">
        <w:rPr>
          <w:rFonts w:asciiTheme="majorHAnsi" w:hAnsiTheme="majorHAnsi" w:cstheme="majorHAnsi"/>
          <w:sz w:val="20"/>
          <w:szCs w:val="20"/>
        </w:rPr>
        <w:t xml:space="preserve"> [ZaloPay partners with DNSE to support securities investment]. https://thanhnien.vn/zalopay-hop-tac-dnse-de-tro-thanh-vi-dien-tu-ho-tro-dau-tu-chung-khoan-185230717103958115.htm</w:t>
      </w:r>
    </w:p>
    <w:p w14:paraId="3422A369"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 xml:space="preserve">Thanh Nien. (2025, December 31). </w:t>
      </w:r>
      <w:r w:rsidRPr="00101936">
        <w:rPr>
          <w:rFonts w:asciiTheme="majorHAnsi" w:hAnsiTheme="majorHAnsi" w:cstheme="majorHAnsi"/>
          <w:i/>
          <w:iCs/>
          <w:sz w:val="20"/>
          <w:szCs w:val="20"/>
        </w:rPr>
        <w:t>VN-Index kết thúc năm 2025 với mức tăng khủng gần 41%</w:t>
      </w:r>
      <w:r w:rsidRPr="00101936">
        <w:rPr>
          <w:rFonts w:asciiTheme="majorHAnsi" w:hAnsiTheme="majorHAnsi" w:cstheme="majorHAnsi"/>
          <w:sz w:val="20"/>
          <w:szCs w:val="20"/>
        </w:rPr>
        <w:t xml:space="preserve"> [The VN-Index ends 2025 up almost 41%]. https://thanhnien.vn/vn-index-ket-thuc-nam-2025-voi-muc-tang-khung-gan-41-185251231154434459.htm</w:t>
      </w:r>
    </w:p>
    <w:p w14:paraId="2FE3C86A"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 xml:space="preserve">Thuong Hieu &amp; Cong Luan. (2024). </w:t>
      </w:r>
      <w:r w:rsidRPr="00101936">
        <w:rPr>
          <w:rFonts w:asciiTheme="majorHAnsi" w:hAnsiTheme="majorHAnsi" w:cstheme="majorHAnsi"/>
          <w:i/>
          <w:iCs/>
          <w:sz w:val="20"/>
          <w:szCs w:val="20"/>
        </w:rPr>
        <w:t>Công ty Cổ phần Chứng khoán DNSE bị xử phạt 125 triệu đồng</w:t>
      </w:r>
      <w:r w:rsidRPr="00101936">
        <w:rPr>
          <w:rFonts w:asciiTheme="majorHAnsi" w:hAnsiTheme="majorHAnsi" w:cstheme="majorHAnsi"/>
          <w:sz w:val="20"/>
          <w:szCs w:val="20"/>
        </w:rPr>
        <w:t xml:space="preserve"> [DNSE fined VND 125 million]. https://thuonghieucongluan.com.vn/cong-ty-co-phan-chung-khoan-dnse-bi-xu-phat-125-trieu-dong-a243582.html</w:t>
      </w:r>
    </w:p>
    <w:p w14:paraId="508C591B"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 xml:space="preserve">Vietcap Securities. (2026). </w:t>
      </w:r>
      <w:r w:rsidRPr="00101936">
        <w:rPr>
          <w:rFonts w:asciiTheme="majorHAnsi" w:hAnsiTheme="majorHAnsi" w:cstheme="majorHAnsi"/>
          <w:i/>
          <w:iCs/>
          <w:sz w:val="20"/>
          <w:szCs w:val="20"/>
        </w:rPr>
        <w:t>Financial statements of DSE and other securities companies, Q1 2018 to Q2 2026</w:t>
      </w:r>
      <w:r w:rsidRPr="00101936">
        <w:rPr>
          <w:rFonts w:asciiTheme="majorHAnsi" w:hAnsiTheme="majorHAnsi" w:cstheme="majorHAnsi"/>
          <w:sz w:val="20"/>
          <w:szCs w:val="20"/>
        </w:rPr>
        <w:t xml:space="preserve"> [Data set]. Vietcap IQ. Retrieved September 24, 2026, from https://iq.vietcap.com.vn</w:t>
      </w:r>
    </w:p>
    <w:p w14:paraId="33434F67"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 xml:space="preserve">VietnamNet. (2026, September 9). </w:t>
      </w:r>
      <w:r w:rsidRPr="00101936">
        <w:rPr>
          <w:rFonts w:asciiTheme="majorHAnsi" w:hAnsiTheme="majorHAnsi" w:cstheme="majorHAnsi"/>
          <w:i/>
          <w:iCs/>
          <w:sz w:val="20"/>
          <w:szCs w:val="20"/>
        </w:rPr>
        <w:t>Lãi suất ngân hàng hôm nay 9/9/2026</w:t>
      </w:r>
      <w:r w:rsidRPr="00101936">
        <w:rPr>
          <w:rFonts w:asciiTheme="majorHAnsi" w:hAnsiTheme="majorHAnsi" w:cstheme="majorHAnsi"/>
          <w:sz w:val="20"/>
          <w:szCs w:val="20"/>
        </w:rPr>
        <w:t xml:space="preserve"> [Bank interest rates on 9 September 2026]. https://vietnamnet.vn/lai-suat-ngan-hang-hom-nay-9-9-2026-lai-suat-ngan-hang-big4-len-den-8-nam-2553329.html</w:t>
      </w:r>
    </w:p>
    <w:p w14:paraId="384A0027"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 xml:space="preserve">Vietstock. (2026a, March 26). </w:t>
      </w:r>
      <w:r w:rsidRPr="00101936">
        <w:rPr>
          <w:rFonts w:asciiTheme="majorHAnsi" w:hAnsiTheme="majorHAnsi" w:cstheme="majorHAnsi"/>
          <w:i/>
          <w:iCs/>
          <w:sz w:val="20"/>
          <w:szCs w:val="20"/>
        </w:rPr>
        <w:t>Những nội dung đáng chú ý ở ĐHĐCĐ thường niên DNSE 2026</w:t>
      </w:r>
      <w:r w:rsidRPr="00101936">
        <w:rPr>
          <w:rFonts w:asciiTheme="majorHAnsi" w:hAnsiTheme="majorHAnsi" w:cstheme="majorHAnsi"/>
          <w:sz w:val="20"/>
          <w:szCs w:val="20"/>
        </w:rPr>
        <w:t xml:space="preserve"> [Highlights of DNSE's 2026 AGM]. https://vietstock.vn/2026/03/nhung-noi-dung-dang-chu-y-o-dhdcd-thuong-nien-dnse-2026-737-1415846.htm</w:t>
      </w:r>
    </w:p>
    <w:p w14:paraId="09F4BAED"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 xml:space="preserve">Vietstock. (2026b, June 2). </w:t>
      </w:r>
      <w:r w:rsidRPr="00101936">
        <w:rPr>
          <w:rFonts w:asciiTheme="majorHAnsi" w:hAnsiTheme="majorHAnsi" w:cstheme="majorHAnsi"/>
          <w:i/>
          <w:iCs/>
          <w:sz w:val="20"/>
          <w:szCs w:val="20"/>
        </w:rPr>
        <w:t>Sự trỗi dậy của các công ty chứng khoán thuộc ngân hàng</w:t>
      </w:r>
      <w:r w:rsidRPr="00101936">
        <w:rPr>
          <w:rFonts w:asciiTheme="majorHAnsi" w:hAnsiTheme="majorHAnsi" w:cstheme="majorHAnsi"/>
          <w:sz w:val="20"/>
          <w:szCs w:val="20"/>
        </w:rPr>
        <w:t xml:space="preserve"> [The rise of bank-owned securities companies]. https://vietstock.vn/2026/06/su-troi-day-cua-cac-cong-ty-chung-khoan-thuoc-ngan-hang-757-1449465.htm</w:t>
      </w:r>
    </w:p>
    <w:p w14:paraId="0CB3D903"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 xml:space="preserve">Vietstock. (2026c, July 21). </w:t>
      </w:r>
      <w:r w:rsidRPr="00101936">
        <w:rPr>
          <w:rFonts w:asciiTheme="majorHAnsi" w:hAnsiTheme="majorHAnsi" w:cstheme="majorHAnsi"/>
          <w:i/>
          <w:iCs/>
          <w:sz w:val="20"/>
          <w:szCs w:val="20"/>
        </w:rPr>
        <w:t>Dư nợ margin lập kỷ lục 454 ngàn tỷ đồng, cuộc đua có sự phân hóa</w:t>
      </w:r>
      <w:r w:rsidRPr="00101936">
        <w:rPr>
          <w:rFonts w:asciiTheme="majorHAnsi" w:hAnsiTheme="majorHAnsi" w:cstheme="majorHAnsi"/>
          <w:sz w:val="20"/>
          <w:szCs w:val="20"/>
        </w:rPr>
        <w:t xml:space="preserve"> [Margin lending reaches a record VND 454 trillion]. https://vietstock.vn/2026/07/du-no-margin-lap-ky-luc-454-ngan-ty-dong-cuoc-dua-co-su-phan-hoa-830-1468883.htm</w:t>
      </w:r>
    </w:p>
    <w:p w14:paraId="6A99036E"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 xml:space="preserve">VnEconomy. (2025, July 8). </w:t>
      </w:r>
      <w:r w:rsidRPr="00101936">
        <w:rPr>
          <w:rFonts w:asciiTheme="majorHAnsi" w:hAnsiTheme="majorHAnsi" w:cstheme="majorHAnsi"/>
          <w:i/>
          <w:iCs/>
          <w:sz w:val="20"/>
          <w:szCs w:val="20"/>
        </w:rPr>
        <w:t>Lời giải nào cho nghịch lý giữa kỳ vọng sinh lời và tâm lý e ngại của nhà đầu tư Việt?</w:t>
      </w:r>
      <w:r w:rsidRPr="00101936">
        <w:rPr>
          <w:rFonts w:asciiTheme="majorHAnsi" w:hAnsiTheme="majorHAnsi" w:cstheme="majorHAnsi"/>
          <w:sz w:val="20"/>
          <w:szCs w:val="20"/>
        </w:rPr>
        <w:t xml:space="preserve"> [Resolving the paradox between Vietnamese investors' return expectations and caution]. https://vneconomy.vn/loi-giai-nao-cho-nghich-ly-giua-ky-vong-sinh-loi-va-tam-ly-e-ngai-cua-nha-dau-tu-viet.htm</w:t>
      </w:r>
    </w:p>
    <w:p w14:paraId="0B258DC6"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 xml:space="preserve">VnEconomy. (2026, July 22). </w:t>
      </w:r>
      <w:r w:rsidRPr="00101936">
        <w:rPr>
          <w:rFonts w:asciiTheme="majorHAnsi" w:hAnsiTheme="majorHAnsi" w:cstheme="majorHAnsi"/>
          <w:i/>
          <w:iCs/>
          <w:sz w:val="20"/>
          <w:szCs w:val="20"/>
        </w:rPr>
        <w:t>Lãi suất cao khiến số dư tiền gửi của nhà đầu tư tại công ty chứng khoán giảm về mức thấp nhất 1 năm?</w:t>
      </w:r>
      <w:r w:rsidRPr="00101936">
        <w:rPr>
          <w:rFonts w:asciiTheme="majorHAnsi" w:hAnsiTheme="majorHAnsi" w:cstheme="majorHAnsi"/>
          <w:sz w:val="20"/>
          <w:szCs w:val="20"/>
        </w:rPr>
        <w:t xml:space="preserve"> [High interest rates push investor deposits at brokers to a one-year low]. https://vneconomy.vn/lai-suat-cao-khien-so-du-tien-gui-cua-nha-dau-tu-tai-cong-ty-chung-khoan-giam-ve-muc-thap-nhat-1-nam.htm</w:t>
      </w:r>
    </w:p>
    <w:p w14:paraId="3ABC8D3E"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 xml:space="preserve">VnExpress. (2025, July 21). </w:t>
      </w:r>
      <w:r w:rsidRPr="00101936">
        <w:rPr>
          <w:rFonts w:asciiTheme="majorHAnsi" w:hAnsiTheme="majorHAnsi" w:cstheme="majorHAnsi"/>
          <w:i/>
          <w:iCs/>
          <w:sz w:val="20"/>
          <w:szCs w:val="20"/>
        </w:rPr>
        <w:t>Cách DNSE thu hút khách hàng gen Z</w:t>
      </w:r>
      <w:r w:rsidRPr="00101936">
        <w:rPr>
          <w:rFonts w:asciiTheme="majorHAnsi" w:hAnsiTheme="majorHAnsi" w:cstheme="majorHAnsi"/>
          <w:sz w:val="20"/>
          <w:szCs w:val="20"/>
        </w:rPr>
        <w:t xml:space="preserve"> [How DNSE attracts Gen Z customers]. https://vnexpress.net/cach-dnse-thu-hut-khach-hang-gen-z-4916725.html</w:t>
      </w:r>
    </w:p>
    <w:p w14:paraId="6E8352B8"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 xml:space="preserve">VnExpress. (2026a, September 10). </w:t>
      </w:r>
      <w:r w:rsidRPr="00101936">
        <w:rPr>
          <w:rFonts w:asciiTheme="majorHAnsi" w:hAnsiTheme="majorHAnsi" w:cstheme="majorHAnsi"/>
          <w:i/>
          <w:iCs/>
          <w:sz w:val="20"/>
          <w:szCs w:val="20"/>
        </w:rPr>
        <w:t>Người Việt mở thêm 2 triệu tài khoản chứng khoán sau 8 tháng</w:t>
      </w:r>
      <w:r w:rsidRPr="00101936">
        <w:rPr>
          <w:rFonts w:asciiTheme="majorHAnsi" w:hAnsiTheme="majorHAnsi" w:cstheme="majorHAnsi"/>
          <w:sz w:val="20"/>
          <w:szCs w:val="20"/>
        </w:rPr>
        <w:t xml:space="preserve"> [Vietnamese open 2 million more securities accounts in eight months]. https://vnexpress.net/nguoi-viet-mo-them-2-trieu-tai-khoan-chung-khoan-sau-8-thang-5118477.html</w:t>
      </w:r>
    </w:p>
    <w:p w14:paraId="3F095CD2"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 xml:space="preserve">VnExpress. (2026b, September 23). </w:t>
      </w:r>
      <w:r w:rsidRPr="00101936">
        <w:rPr>
          <w:rFonts w:asciiTheme="majorHAnsi" w:hAnsiTheme="majorHAnsi" w:cstheme="majorHAnsi"/>
          <w:i/>
          <w:iCs/>
          <w:sz w:val="20"/>
          <w:szCs w:val="20"/>
        </w:rPr>
        <w:t>Thêm nhiều ngân hàng trả lãi tiết kiệm trên 9%</w:t>
      </w:r>
      <w:r w:rsidRPr="00101936">
        <w:rPr>
          <w:rFonts w:asciiTheme="majorHAnsi" w:hAnsiTheme="majorHAnsi" w:cstheme="majorHAnsi"/>
          <w:sz w:val="20"/>
          <w:szCs w:val="20"/>
        </w:rPr>
        <w:t xml:space="preserve"> [More banks pay savings rates above 9%]. https://vnexpress.net/them-nhieu-ngan-hang-tra-lai-tiet-kiem-tren-9-5123534.html</w:t>
      </w:r>
    </w:p>
    <w:p w14:paraId="653AC76B" w14:textId="77777777" w:rsidR="00CF7FD3" w:rsidRPr="00101936" w:rsidRDefault="00000000" w:rsidP="00101936">
      <w:pPr>
        <w:spacing w:after="100" w:line="252" w:lineRule="auto"/>
        <w:ind w:left="540" w:hanging="540"/>
        <w:jc w:val="both"/>
        <w:rPr>
          <w:rFonts w:asciiTheme="majorHAnsi" w:hAnsiTheme="majorHAnsi" w:cstheme="majorHAnsi"/>
        </w:rPr>
      </w:pPr>
      <w:r w:rsidRPr="00101936">
        <w:rPr>
          <w:rFonts w:asciiTheme="majorHAnsi" w:hAnsiTheme="majorHAnsi" w:cstheme="majorHAnsi"/>
          <w:sz w:val="20"/>
          <w:szCs w:val="20"/>
        </w:rPr>
        <w:t xml:space="preserve">World Bank. (2025). </w:t>
      </w:r>
      <w:r w:rsidRPr="00101936">
        <w:rPr>
          <w:rFonts w:asciiTheme="majorHAnsi" w:hAnsiTheme="majorHAnsi" w:cstheme="majorHAnsi"/>
          <w:i/>
          <w:iCs/>
          <w:sz w:val="20"/>
          <w:szCs w:val="20"/>
        </w:rPr>
        <w:t>Global Financial Inclusion (Global Findex) database 2025, Vietnam</w:t>
      </w:r>
      <w:r w:rsidRPr="00101936">
        <w:rPr>
          <w:rFonts w:asciiTheme="majorHAnsi" w:hAnsiTheme="majorHAnsi" w:cstheme="majorHAnsi"/>
          <w:sz w:val="20"/>
          <w:szCs w:val="20"/>
        </w:rPr>
        <w:t xml:space="preserve"> [Data set]. World Bank Open Data. Retrieved September 20, 2026, from https://api.worldbank.org/v2/sources/28/country/VNM/series/all/data?format=json</w:t>
      </w:r>
    </w:p>
    <w:sectPr w:rsidR="00CF7FD3" w:rsidRPr="00101936">
      <w:headerReference w:type="default" r:id="rId32"/>
      <w:footerReference w:type="default" r:id="rId33"/>
      <w:headerReference w:type="first" r:id="rId34"/>
      <w:footerReference w:type="first" r:id="rId35"/>
      <w:pgSz w:w="11906" w:h="16838"/>
      <w:pgMar w:top="1134" w:right="1247" w:bottom="1134" w:left="1247"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DEEBA" w14:textId="77777777" w:rsidR="00A03251" w:rsidRDefault="00A03251">
      <w:r>
        <w:separator/>
      </w:r>
    </w:p>
  </w:endnote>
  <w:endnote w:type="continuationSeparator" w:id="0">
    <w:p w14:paraId="26D7734C" w14:textId="77777777" w:rsidR="00A03251" w:rsidRDefault="00A03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C0BCC" w14:textId="77777777" w:rsidR="00CF7FD3" w:rsidRDefault="00000000">
    <w:pPr>
      <w:jc w:val="center"/>
    </w:pPr>
    <w:r>
      <w:rPr>
        <w:sz w:val="18"/>
        <w:szCs w:val="18"/>
      </w:rPr>
      <w:fldChar w:fldCharType="begin"/>
    </w:r>
    <w:r>
      <w:rPr>
        <w:sz w:val="18"/>
        <w:szCs w:val="18"/>
      </w:rPr>
      <w:instrText>PAGE</w:instrText>
    </w:r>
    <w:r>
      <w:rPr>
        <w:sz w:val="18"/>
        <w:szCs w:val="18"/>
      </w:rPr>
      <w:fldChar w:fldCharType="separate"/>
    </w:r>
    <w:r w:rsidR="00101936">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92D83" w14:textId="77777777" w:rsidR="00CF7FD3" w:rsidRDefault="00CF7F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B4589" w14:textId="77777777" w:rsidR="00A03251" w:rsidRDefault="00A03251">
      <w:r>
        <w:separator/>
      </w:r>
    </w:p>
  </w:footnote>
  <w:footnote w:type="continuationSeparator" w:id="0">
    <w:p w14:paraId="51816133" w14:textId="77777777" w:rsidR="00A03251" w:rsidRDefault="00A03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A52A8" w14:textId="77777777" w:rsidR="00CF7FD3" w:rsidRDefault="00000000">
    <w:pPr>
      <w:jc w:val="right"/>
    </w:pPr>
    <w:r>
      <w:rPr>
        <w:sz w:val="16"/>
        <w:szCs w:val="16"/>
      </w:rPr>
      <w:t>KTQT FTUers | FBA Season 6, Round 2 | DNSE Securities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E64BF" w14:textId="77777777" w:rsidR="00CF7FD3" w:rsidRDefault="00CF7FD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F6125"/>
    <w:multiLevelType w:val="hybridMultilevel"/>
    <w:tmpl w:val="1AF21EC2"/>
    <w:lvl w:ilvl="0" w:tplc="5AAA9DCE">
      <w:start w:val="1"/>
      <w:numFmt w:val="bullet"/>
      <w:lvlText w:val="●"/>
      <w:lvlJc w:val="left"/>
      <w:pPr>
        <w:ind w:left="720" w:hanging="360"/>
      </w:pPr>
    </w:lvl>
    <w:lvl w:ilvl="1" w:tplc="98801306">
      <w:start w:val="1"/>
      <w:numFmt w:val="bullet"/>
      <w:lvlText w:val="○"/>
      <w:lvlJc w:val="left"/>
      <w:pPr>
        <w:ind w:left="1440" w:hanging="360"/>
      </w:pPr>
    </w:lvl>
    <w:lvl w:ilvl="2" w:tplc="22B004B4">
      <w:start w:val="1"/>
      <w:numFmt w:val="bullet"/>
      <w:lvlText w:val="■"/>
      <w:lvlJc w:val="left"/>
      <w:pPr>
        <w:ind w:left="2160" w:hanging="360"/>
      </w:pPr>
    </w:lvl>
    <w:lvl w:ilvl="3" w:tplc="B8566EDE">
      <w:start w:val="1"/>
      <w:numFmt w:val="bullet"/>
      <w:lvlText w:val="●"/>
      <w:lvlJc w:val="left"/>
      <w:pPr>
        <w:ind w:left="2880" w:hanging="360"/>
      </w:pPr>
    </w:lvl>
    <w:lvl w:ilvl="4" w:tplc="CD76D4E6">
      <w:start w:val="1"/>
      <w:numFmt w:val="bullet"/>
      <w:lvlText w:val="○"/>
      <w:lvlJc w:val="left"/>
      <w:pPr>
        <w:ind w:left="3600" w:hanging="360"/>
      </w:pPr>
    </w:lvl>
    <w:lvl w:ilvl="5" w:tplc="1576CC3C">
      <w:start w:val="1"/>
      <w:numFmt w:val="bullet"/>
      <w:lvlText w:val="■"/>
      <w:lvlJc w:val="left"/>
      <w:pPr>
        <w:ind w:left="4320" w:hanging="360"/>
      </w:pPr>
    </w:lvl>
    <w:lvl w:ilvl="6" w:tplc="9828E080">
      <w:start w:val="1"/>
      <w:numFmt w:val="bullet"/>
      <w:lvlText w:val="●"/>
      <w:lvlJc w:val="left"/>
      <w:pPr>
        <w:ind w:left="5040" w:hanging="360"/>
      </w:pPr>
    </w:lvl>
    <w:lvl w:ilvl="7" w:tplc="39A4AE1E">
      <w:start w:val="1"/>
      <w:numFmt w:val="bullet"/>
      <w:lvlText w:val="●"/>
      <w:lvlJc w:val="left"/>
      <w:pPr>
        <w:ind w:left="5760" w:hanging="360"/>
      </w:pPr>
    </w:lvl>
    <w:lvl w:ilvl="8" w:tplc="572ED73C">
      <w:start w:val="1"/>
      <w:numFmt w:val="bullet"/>
      <w:lvlText w:val="●"/>
      <w:lvlJc w:val="left"/>
      <w:pPr>
        <w:ind w:left="6480" w:hanging="360"/>
      </w:pPr>
    </w:lvl>
  </w:abstractNum>
  <w:num w:numId="1" w16cid:durableId="9899401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FD3"/>
    <w:rsid w:val="00101936"/>
    <w:rsid w:val="001B3A39"/>
    <w:rsid w:val="00A03251"/>
    <w:rsid w:val="00CF7FD3"/>
    <w:rsid w:val="00D87D0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65E46"/>
  <w15:docId w15:val="{4458829D-3DED-4688-B6C5-3470F2D78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0"/>
      <w:szCs w:val="30"/>
    </w:rPr>
  </w:style>
  <w:style w:type="paragraph" w:styleId="Heading2">
    <w:name w:val="heading 2"/>
    <w:uiPriority w:val="9"/>
    <w:unhideWhenUsed/>
    <w:qFormat/>
    <w:pPr>
      <w:spacing w:before="24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eader" Target="header2.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30</Pages>
  <Words>9683</Words>
  <Characters>55199</Characters>
  <Application>Microsoft Office Word</Application>
  <DocSecurity>0</DocSecurity>
  <Lines>459</Lines>
  <Paragraphs>129</Paragraphs>
  <ScaleCrop>false</ScaleCrop>
  <Company/>
  <LinksUpToDate>false</LinksUpToDate>
  <CharactersWithSpaces>64753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accounts to assets: DNSE Securities</dc:title>
  <dc:creator>KTQT FTUers</dc:creator>
  <cp:lastModifiedBy>Pham Quang Truc</cp:lastModifiedBy>
  <cp:revision>3</cp:revision>
  <dcterms:created xsi:type="dcterms:W3CDTF">2026-09-27T04:08:00Z</dcterms:created>
  <dcterms:modified xsi:type="dcterms:W3CDTF">2026-09-27T13:39:00Z</dcterms:modified>
</cp:coreProperties>
</file>