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color w:val="8E1B2C"/>
          <w:sz w:val="56"/>
        </w:rPr>
        <w:t>Round 3A content: Payday Portfolio</w:t>
      </w:r>
    </w:p>
    <w:p>
      <w:r>
        <w:rPr>
          <w:sz w:val="28"/>
        </w:rPr>
        <w:t>KTQT FTUers · Future Business Analyst Season 6 · DNSE Securities</w:t>
      </w:r>
    </w:p>
    <w:p>
      <w:r>
        <w:rPr>
          <w:sz w:val="24"/>
        </w:rPr>
        <w:t>Content for team review before slide design (Phase 3), 17 October 2026</w:t>
      </w:r>
    </w:p>
    <w:p>
      <w:r>
        <w:rPr>
          <w:sz w:val="22"/>
        </w:rPr>
        <w:t>Main slides 1 to 15, then Appendix A to I and References. On-slide text and speaker notes are in English; designer notes are in Vietnamese.</w:t>
      </w:r>
    </w:p>
    <w:p>
      <w:r>
        <w:br w:type="page"/>
      </w:r>
    </w:p>
    <w:p>
      <w:pPr>
        <w:pStyle w:val="Heading1"/>
      </w:pPr>
      <w:r>
        <w:t>Round 3A deck content: Payday Portfolio (bản 2)</w:t>
      </w:r>
    </w:p>
    <w:p>
      <w:r>
        <w:rPr>
          <w:i/>
        </w:rPr>
        <w:t>Bản 1 (16/10/2026) đã được user duyệt câu chuyện ở checkpoint 3.1. Bản 2 (17/10/2026): đủ hình, mọi bảng sinh từ CSV, appendix và references nằm ở `deck_appendix.md`.</w:t>
      </w:r>
    </w:p>
    <w:p>
      <w:r>
        <w:rPr>
          <w:b/>
        </w:rPr>
        <w:t>Đọc file này thế nào</w:t>
      </w:r>
    </w:p>
    <w:p>
      <w:pPr>
        <w:pStyle w:val="ListBullet"/>
      </w:pPr>
      <w:r>
        <w:t>Mỗi slide theo đúng khung của prompt: action title, on-slide text, bảng, hình, designer notes, speaker notes, sources.</w:t>
      </w:r>
    </w:p>
    <w:p>
      <w:pPr>
        <w:pStyle w:val="ListBullet"/>
      </w:pPr>
      <w:r>
        <w:t>Chữ trên slide và speaker notes viết bằng tiếng Anh, cho giám khảo đóng vai Board. Designer notes viết bằng tiếng Việt, cho người dựng slide.</w:t>
      </w:r>
    </w:p>
    <w:p>
      <w:pPr>
        <w:pStyle w:val="ListBullet"/>
      </w:pPr>
      <w:r>
        <w:rPr>
          <w:b/>
        </w:rPr>
        <w:t>Bảng không sửa trực tiếp ở đây.</w:t>
      </w:r>
      <w:r>
        <w:t xml:space="preserve"> Mỗi bảng nằm giữa hai dòng </w:t>
      </w:r>
      <w:r>
        <w:rPr>
          <w:rFonts w:ascii="Consolas" w:hAnsi="Consolas"/>
          <w:color w:val="6B6B6B"/>
          <w:sz w:val="18"/>
        </w:rPr>
        <w:t>&lt;!-- table: ... --&gt;</w:t>
      </w:r>
      <w:r>
        <w:t xml:space="preserve"> và được ghi từ CSV bằng </w:t>
      </w:r>
      <w:r>
        <w:rPr>
          <w:rFonts w:ascii="Consolas" w:hAnsi="Consolas"/>
          <w:color w:val="6B6B6B"/>
          <w:sz w:val="18"/>
        </w:rPr>
        <w:t>python src/round3/deck_tables.py</w:t>
      </w:r>
      <w:r>
        <w:t xml:space="preserve">. Muốn đổi chữ thì sửa CSV mẫu trong </w:t>
      </w:r>
      <w:r>
        <w:rPr>
          <w:rFonts w:ascii="Consolas" w:hAnsi="Consolas"/>
          <w:color w:val="6B6B6B"/>
          <w:sz w:val="18"/>
        </w:rPr>
        <w:t>data/round3/deck_tables/</w:t>
      </w:r>
      <w:r>
        <w:t>; số thì lấy từ mô hình.</w:t>
      </w:r>
    </w:p>
    <w:p>
      <w:pPr>
        <w:pStyle w:val="ListBullet"/>
      </w:pPr>
      <w:r>
        <w:t xml:space="preserve">Hình nằm trong </w:t>
      </w:r>
      <w:r>
        <w:rPr>
          <w:rFonts w:ascii="Consolas" w:hAnsi="Consolas"/>
          <w:color w:val="6B6B6B"/>
          <w:sz w:val="18"/>
        </w:rPr>
        <w:t>outputs/round3/figures/</w:t>
      </w:r>
      <w:r>
        <w:t xml:space="preserve">, vẽ bằng </w:t>
      </w:r>
      <w:r>
        <w:rPr>
          <w:rFonts w:ascii="Consolas" w:hAnsi="Consolas"/>
          <w:color w:val="6B6B6B"/>
          <w:sz w:val="18"/>
        </w:rPr>
        <w:t>figures_round3.py</w:t>
      </w:r>
      <w:r>
        <w:t xml:space="preserve"> và </w:t>
      </w:r>
      <w:r>
        <w:rPr>
          <w:rFonts w:ascii="Consolas" w:hAnsi="Consolas"/>
          <w:color w:val="6B6B6B"/>
          <w:sz w:val="18"/>
        </w:rPr>
        <w:t>diagrams_round3.py</w:t>
      </w:r>
      <w:r>
        <w:t>; dữ liệu của từng hình ghi ở dòng "Data".</w:t>
      </w:r>
    </w:p>
    <w:p>
      <w:pPr>
        <w:pStyle w:val="ListBullet"/>
      </w:pPr>
      <w:r>
        <w:t xml:space="preserve">Số lấy từ </w:t>
      </w:r>
      <w:r>
        <w:rPr>
          <w:rFonts w:ascii="Consolas" w:hAnsi="Consolas"/>
          <w:color w:val="6B6B6B"/>
          <w:sz w:val="18"/>
        </w:rPr>
        <w:t>outputs/round3/tables/</w:t>
      </w:r>
      <w:r>
        <w:t xml:space="preserve"> (kịch bản base, trừ khi ghi khác) và từ các nguồn trong </w:t>
      </w:r>
      <w:r>
        <w:rPr>
          <w:rFonts w:ascii="Consolas" w:hAnsi="Consolas"/>
          <w:color w:val="6B6B6B"/>
          <w:sz w:val="18"/>
        </w:rPr>
        <w:t>data/round3/sources_round3.csv</w:t>
      </w:r>
      <w:r>
        <w:t>.</w:t>
      </w:r>
    </w:p>
    <w:p>
      <w:pPr>
        <w:pStyle w:val="ListBullet"/>
      </w:pPr>
      <w:r>
        <w:t xml:space="preserve">Kiểm bằng </w:t>
      </w:r>
      <w:r>
        <w:rPr>
          <w:rFonts w:ascii="Consolas" w:hAnsi="Consolas"/>
          <w:color w:val="6B6B6B"/>
          <w:sz w:val="18"/>
        </w:rPr>
        <w:t>python src/round3/check_deck_content.py</w:t>
      </w:r>
      <w:r>
        <w:t>:</w:t>
      </w:r>
    </w:p>
    <w:p>
      <w:pPr>
        <w:pStyle w:val="ListBullet2"/>
      </w:pPr>
      <w:r>
        <w:t>action title ≤15 từ; chữ trên slide ≤60 từ; Executive Summary ≤150 từ;</w:t>
      </w:r>
    </w:p>
    <w:p>
      <w:pPr>
        <w:pStyle w:val="ListBullet2"/>
      </w:pPr>
      <w:r>
        <w:t>bảng ≤6 dòng × 5 cột; speaker notes khoảng 120 từ;</w:t>
      </w:r>
    </w:p>
    <w:p>
      <w:pPr>
        <w:pStyle w:val="ListBullet2"/>
      </w:pPr>
      <w:r>
        <w:t>mỗi bảng khớp CSV của nó.</w:t>
      </w:r>
    </w:p>
    <w:p>
      <w:r>
        <w:rPr>
          <w:b/>
        </w:rPr>
        <w:t>Quy ước làm tròn trên slide</w:t>
      </w:r>
      <w:r>
        <w:t xml:space="preserve"> (số gốc nằm trong CSV):</w:t>
      </w:r>
    </w:p>
    <w:p>
      <w:pPr>
        <w:pStyle w:val="ListBullet"/>
      </w:pPr>
      <w:r>
        <w:t>Trần CAC VND 128,000 (127,512); trần khi miễn phí VA VND 199,000 (198,876).</w:t>
      </w:r>
    </w:p>
    <w:p>
      <w:pPr>
        <w:pStyle w:val="ListBullet"/>
      </w:pPr>
      <w:r>
        <w:t>Ngưỡng phí VA VND 6,200 (6,191); ngưỡng mức góp VND 717,000 (716,502).</w:t>
      </w:r>
    </w:p>
    <w:p>
      <w:pPr>
        <w:pStyle w:val="ListBullet"/>
      </w:pPr>
      <w:r>
        <w:t>Chi phí ròng/TK mới ≥10 triệu: "about VND 1.3 million" trong câu, 1.29 trong bảng.</w:t>
      </w:r>
    </w:p>
    <w:p>
      <w:pPr>
        <w:pStyle w:val="ListBullet"/>
      </w:pPr>
      <w:r>
        <w:t>Tỷ lệ từ review đọc tay làm tròn đến số nguyên (83%, 45%, 17%).</w:t>
      </w:r>
    </w:p>
    <w:p>
      <w:r>
        <w:br w:type="page"/>
      </w:r>
    </w:p>
    <w:p>
      <w:pPr>
        <w:pStyle w:val="Heading2"/>
      </w:pPr>
      <w:r>
        <w:t>Câu chuyện của deck</w:t>
      </w:r>
    </w:p>
    <w:p>
      <w:r>
        <w:rPr>
          <w:b/>
        </w:rPr>
        <w:t>Một câu (thay cho câu ở `plan_payday.md` §1):</w:t>
      </w:r>
    </w:p>
    <w:p>
      <w:pPr>
        <w:ind w:left="454"/>
      </w:pPr>
      <w:r>
        <w:rPr>
          <w:i/>
        </w:rPr>
        <w:t>DNSE has won accounts; Payday Portfolio sets out to win balances. It turns part of each salary into a goal-based plan the customer controls, and asks the Board for VND 6.6 billion it can stop at month 6.</w:t>
      </w:r>
    </w:p>
    <w:p>
      <w:r>
        <w:rPr>
          <w:b/>
        </w:rPr>
        <w:t>Mạch 15 slide:</w:t>
      </w:r>
    </w:p>
    <w:p>
      <w:pPr>
        <w:pStyle w:val="ListNumber"/>
      </w:pPr>
      <w:r>
        <w:rPr>
          <w:b/>
        </w:rPr>
        <w:t>Vấn đề (slide 2–5):</w:t>
      </w:r>
    </w:p>
    <w:p>
      <w:pPr>
        <w:pStyle w:val="ListBullet2"/>
      </w:pPr>
      <w:r>
        <w:t>DNSE có tài khoản nhưng không có tiền.</w:t>
      </w:r>
    </w:p>
    <w:p>
      <w:pPr>
        <w:pStyle w:val="ListBullet2"/>
      </w:pPr>
      <w:r>
        <w:t>Năm 2026 tiền rời CTCK và đối thủ đã vào cuộc đua tích lũy.</w:t>
      </w:r>
    </w:p>
    <w:p>
      <w:pPr>
        <w:pStyle w:val="ListBullet2"/>
      </w:pPr>
      <w:r>
        <w:t>Mỗi insight dẫn tới một lựa chọn thiết kế.</w:t>
      </w:r>
    </w:p>
    <w:p>
      <w:pPr>
        <w:pStyle w:val="ListBullet2"/>
      </w:pPr>
      <w:r>
        <w:t>Những gì đã đổi so với Round 2.</w:t>
      </w:r>
    </w:p>
    <w:p>
      <w:pPr>
        <w:pStyle w:val="ListNumber"/>
      </w:pPr>
      <w:r>
        <w:rPr>
          <w:b/>
        </w:rPr>
        <w:t>Giải pháp (slide 6–10):</w:t>
      </w:r>
      <w:r>
        <w:t xml:space="preserve"> cho ai; sản phẩm là gì; khách thấy gì; phía sau vận hành ra sao; đứng ở đâu so với đối thủ.</w:t>
      </w:r>
    </w:p>
    <w:p>
      <w:pPr>
        <w:pStyle w:val="ListNumber"/>
      </w:pPr>
      <w:r>
        <w:rPr>
          <w:b/>
        </w:rPr>
        <w:t>Kế hoạch (slide 11–15):</w:t>
      </w:r>
    </w:p>
    <w:p>
      <w:pPr>
        <w:pStyle w:val="ListBullet2"/>
      </w:pPr>
      <w:r>
        <w:t>Business case trung thực: base không tự hoàn vốn, nên mua TK có tiền với giá khoảng 1,3 triệu.</w:t>
      </w:r>
    </w:p>
    <w:p>
      <w:pPr>
        <w:pStyle w:val="ListBullet2"/>
      </w:pPr>
      <w:r>
        <w:t>GTM năm 1, lộ trình 5 phase, cổng quyết định có số.</w:t>
      </w:r>
    </w:p>
    <w:p>
      <w:pPr>
        <w:pStyle w:val="ListBullet2"/>
      </w:pPr>
      <w:r>
        <w:t>Rủi ro và đề nghị cụ thể với Board.</w:t>
      </w:r>
    </w:p>
    <w:p>
      <w:r>
        <w:rPr>
          <w:b/>
        </w:rPr>
        <w:t>Ba điều giám khảo cần nhớ:</w:t>
      </w:r>
    </w:p>
    <w:p>
      <w:pPr>
        <w:pStyle w:val="ListBullet"/>
      </w:pPr>
      <w:r>
        <w:t>VND 6,6 tỷ, dừng được ở tháng 6.</w:t>
      </w:r>
    </w:p>
    <w:p>
      <w:pPr>
        <w:pStyle w:val="ListBullet"/>
      </w:pPr>
      <w:r>
        <w:t>+14.871 TK mới ≥10 triệu ở tháng 36 (base).</w:t>
      </w:r>
    </w:p>
    <w:p>
      <w:pPr>
        <w:pStyle w:val="ListBullet"/>
      </w:pPr>
      <w:r>
        <w:t>Khoảng 1,3 triệu đồng cho mỗi TK có tiền.</w:t>
      </w:r>
    </w:p>
    <w:p>
      <w:r>
        <w:br w:type="page"/>
      </w:r>
    </w:p>
    <w:p>
      <w:pPr>
        <w:pStyle w:val="Heading2"/>
      </w:pPr>
      <w:r>
        <w:t>Slide 1: Executive summary</w:t>
      </w:r>
    </w:p>
    <w:p>
      <w:r>
        <w:rPr>
          <w:rStyle w:val="FieldLabel"/>
        </w:rPr>
        <w:t>Action title:</w:t>
      </w:r>
      <w:r>
        <w:t xml:space="preserve"> </w:t>
      </w:r>
      <w:r>
        <w:t>Approve VND 6.6 billion to test whether payday plans can fund DNSE's accounts</w:t>
      </w:r>
    </w:p>
    <w:p>
      <w:r>
        <w:rPr>
          <w:rStyle w:val="FieldLabel"/>
        </w:rPr>
        <w:t>On-slide text:</w:t>
      </w:r>
    </w:p>
    <w:p>
      <w:r>
        <w:rPr>
          <w:b/>
        </w:rPr>
        <w:t>Problem.</w:t>
      </w:r>
      <w:r>
        <w:t xml:space="preserve"> DNSE opens one in five new accounts in Vietnam, yet only 1.8% of its 1.51 million accounts hold VND 10 million or more, and brokerage has lost money for 16 quarters.</w:t>
      </w:r>
    </w:p>
    <w:p>
      <w:r>
        <w:rPr>
          <w:b/>
        </w:rPr>
        <w:t>Solution.</w:t>
      </w:r>
      <w:r>
        <w:t xml:space="preserve"> Payday Portfolio is a goal-based monthly plan from VND 500,000. A standing order from the salary bank funds a personal virtual account. The customer confirms an adviser-signed plan of bank bonds, funds and an ETF. No platform fee; delivery metrics published monthly.</w:t>
      </w:r>
    </w:p>
    <w:p>
      <w:r>
        <w:rPr>
          <w:b/>
        </w:rPr>
        <w:t>Business case.</w:t>
      </w:r>
      <w:r>
        <w:t xml:space="preserve"> Base case: no payback within five years (NPV −VND 25 billion). Upside: payback in month 44.</w:t>
      </w:r>
    </w:p>
    <w:p>
      <w:r>
        <w:rPr>
          <w:b/>
        </w:rPr>
        <w:t>Ask.</w:t>
      </w:r>
      <w:r>
        <w:t xml:space="preserve"> Fund build and a 45,000-account pilot; stop or scale at month 6.</w:t>
      </w:r>
    </w:p>
    <w:p>
      <w:r>
        <w:rPr>
          <w:rStyle w:val="FieldLabel"/>
        </w:rPr>
        <w:t>Table:</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3363"/>
            <w:shd w:val="clear" w:color="auto" w:fill="F3F3F3"/>
          </w:tcPr>
          <w:p>
            <w:pPr>
              <w:spacing w:after="0"/>
            </w:pPr>
            <w:r>
              <w:rPr>
                <w:b/>
                <w:sz w:val="18"/>
              </w:rPr>
              <w:t>Key figure</w:t>
            </w:r>
          </w:p>
        </w:tc>
        <w:tc>
          <w:tcPr>
            <w:tcW w:type="dxa" w:w="11660"/>
            <w:shd w:val="clear" w:color="auto" w:fill="F3F3F3"/>
          </w:tcPr>
          <w:p>
            <w:pPr>
              <w:spacing w:after="0"/>
            </w:pPr>
            <w:r>
              <w:rPr>
                <w:b/>
                <w:sz w:val="18"/>
              </w:rPr>
              <w:t>What it means</w:t>
            </w:r>
          </w:p>
        </w:tc>
      </w:tr>
      <w:tr>
        <w:tc>
          <w:tcPr>
            <w:tcW w:type="dxa" w:w="3363"/>
          </w:tcPr>
          <w:p>
            <w:pPr>
              <w:spacing w:after="0"/>
            </w:pPr>
            <w:r>
              <w:rPr>
                <w:sz w:val="18"/>
              </w:rPr>
              <w:t>VND 6.6 billion</w:t>
            </w:r>
          </w:p>
        </w:tc>
        <w:tc>
          <w:tcPr>
            <w:tcW w:type="dxa" w:w="11660"/>
          </w:tcPr>
          <w:p>
            <w:pPr>
              <w:spacing w:after="0"/>
            </w:pPr>
            <w:r>
              <w:rPr>
                <w:sz w:val="18"/>
              </w:rPr>
              <w:t>Board ask for months 1 to 6</w:t>
            </w:r>
          </w:p>
        </w:tc>
      </w:tr>
      <w:tr>
        <w:tc>
          <w:tcPr>
            <w:tcW w:type="dxa" w:w="3363"/>
          </w:tcPr>
          <w:p>
            <w:pPr>
              <w:spacing w:after="0"/>
            </w:pPr>
            <w:r>
              <w:rPr>
                <w:sz w:val="18"/>
              </w:rPr>
              <w:t>+14,871</w:t>
            </w:r>
          </w:p>
        </w:tc>
        <w:tc>
          <w:tcPr>
            <w:tcW w:type="dxa" w:w="11660"/>
          </w:tcPr>
          <w:p>
            <w:pPr>
              <w:spacing w:after="0"/>
            </w:pPr>
            <w:r>
              <w:rPr>
                <w:sz w:val="18"/>
              </w:rPr>
              <w:t>New accounts above VND 10 million by month 36 (base)</w:t>
            </w:r>
          </w:p>
        </w:tc>
      </w:tr>
      <w:tr>
        <w:tc>
          <w:tcPr>
            <w:tcW w:type="dxa" w:w="3363"/>
          </w:tcPr>
          <w:p>
            <w:pPr>
              <w:spacing w:after="0"/>
            </w:pPr>
            <w:r>
              <w:rPr>
                <w:sz w:val="18"/>
              </w:rPr>
              <w:t>VND 1.3 million</w:t>
            </w:r>
          </w:p>
        </w:tc>
        <w:tc>
          <w:tcPr>
            <w:tcW w:type="dxa" w:w="11660"/>
          </w:tcPr>
          <w:p>
            <w:pPr>
              <w:spacing w:after="0"/>
            </w:pPr>
            <w:r>
              <w:rPr>
                <w:sz w:val="18"/>
              </w:rPr>
              <w:t>Net cost per new funded account (base)</w:t>
            </w:r>
          </w:p>
        </w:tc>
      </w:tr>
    </w:tbl>
    <w:p/>
    <w:p>
      <w:pPr>
        <w:pStyle w:val="SourceLine"/>
      </w:pPr>
      <w:r>
        <w:t xml:space="preserve">CSV: </w:t>
      </w:r>
      <w:r>
        <w:rPr>
          <w:rFonts w:ascii="Consolas" w:hAnsi="Consolas"/>
          <w:color w:val="6B6B6B"/>
          <w:sz w:val="18"/>
        </w:rPr>
        <w:t>outputs/round3/tables/slide01_key_figures.csv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cohort model; DNSE Securities (2026c).</w:t>
      </w:r>
    </w:p>
    <w:p>
      <w:r>
        <w:rPr>
          <w:rStyle w:val="FieldLabel"/>
        </w:rPr>
        <w:t>Figure:</w:t>
      </w:r>
      <w:r>
        <w:t xml:space="preserve"> </w:t>
      </w:r>
      <w:r>
        <w:t>không có (3 con số lớn thay cho hình).</w:t>
      </w:r>
    </w:p>
    <w:p>
      <w:r>
        <w:rPr>
          <w:rStyle w:val="FieldLabel"/>
        </w:rPr>
        <w:t>Designer notes (tiếng Việt):</w:t>
      </w:r>
    </w:p>
    <w:p>
      <w:pPr>
        <w:pStyle w:val="DesignerNote"/>
      </w:pPr>
      <w:r>
        <w:t>Cỡ chữ 14–15 theo booklet. Ba con số đặt thành 3 ô lớn ở hàng trên, màu RED; bốn đoạn Problem / Solution / Business case / Ask ở dưới, mỗi đoạn một dòng nhãn đậm.</w:t>
      </w:r>
    </w:p>
    <w:p>
      <w:pPr>
        <w:pStyle w:val="DesignerNote"/>
      </w:pPr>
      <w:r>
        <w:t>Tổng số từ của slide (kể cả 3 ô số) phải ≤150; script kiểm đã tính cả bảng.</w:t>
      </w:r>
    </w:p>
    <w:p>
      <w:pPr>
        <w:pStyle w:val="DesignerNote"/>
      </w:pPr>
      <w:r>
        <w:t>Không thêm hình, logo hay câu nào khác vào slide này.</w:t>
      </w:r>
    </w:p>
    <w:p>
      <w:r>
        <w:rPr>
          <w:rStyle w:val="FieldLabel"/>
        </w:rPr>
        <w:t>Speaker notes:</w:t>
      </w:r>
    </w:p>
    <w:p>
      <w:pPr>
        <w:pStyle w:val="SpeakerNote"/>
      </w:pPr>
      <w:r>
        <w:t>Good afternoon. DNSE has done the hard part of growth: it opens one in five new securities accounts in Vietnam. But accounts are not money. Only 1.8 per cent of its 1.5 million accounts hold ten million dong or more, and the free-trading model has not paid for itself. Payday Portfolio is our answer: a monthly plan, set up once, that moves part of each salary towards a goal the customer chooses, through bank bonds, funds and an ETF. We will be direct about the economics. In the base case Payday is not a profit centre; it buys funded accounts at about 1.3 million dong each. So we ask for only 6.6 billion dong now, with a clear stop-or-scale decision at month six.</w:t>
      </w:r>
    </w:p>
    <w:p>
      <w:pPr>
        <w:pStyle w:val="SourceLine"/>
      </w:pPr>
      <w:r>
        <w:rPr>
          <w:rStyle w:val="FieldLabel"/>
        </w:rPr>
        <w:t>Sources:</w:t>
      </w:r>
      <w:r>
        <w:t xml:space="preserve"> </w:t>
      </w:r>
      <w:r>
        <w:t>DNSE Securities (2026c); authors' cohort model.</w:t>
      </w:r>
    </w:p>
    <w:p>
      <w:r>
        <w:br w:type="page"/>
      </w:r>
    </w:p>
    <w:p>
      <w:pPr>
        <w:pStyle w:val="Heading2"/>
      </w:pPr>
      <w:r>
        <w:t>Slide 2: Problem recap: accounts, not money</w:t>
      </w:r>
    </w:p>
    <w:p>
      <w:r>
        <w:rPr>
          <w:rStyle w:val="FieldLabel"/>
        </w:rPr>
        <w:t>Action title:</w:t>
      </w:r>
      <w:r>
        <w:t xml:space="preserve"> </w:t>
      </w:r>
      <w:r>
        <w:t>DNSE has 12.3% of Vietnam's accounts but only 2.3% of investor cash</w:t>
      </w:r>
    </w:p>
    <w:p>
      <w:r>
        <w:rPr>
          <w:rStyle w:val="FieldLabel"/>
        </w:rPr>
        <w:t>On-slide text:</w:t>
      </w:r>
    </w:p>
    <w:p>
      <w:pPr>
        <w:pStyle w:val="ListBullet"/>
      </w:pPr>
      <w:r>
        <w:t>Only 1.8% of DNSE's 1.51 million accounts held VND 10 million or more (December 2025).</w:t>
      </w:r>
    </w:p>
    <w:p>
      <w:pPr>
        <w:pStyle w:val="ListBullet"/>
      </w:pPr>
      <w:r>
        <w:t>The closer to money, the smaller DNSE gets: 1.4% of margin loans, 0.6% of profit.</w:t>
      </w:r>
    </w:p>
    <w:p>
      <w:pPr>
        <w:pStyle w:val="ListBullet"/>
      </w:pPr>
      <w:r>
        <w:t>Brokerage revenue trailed its direct cost for 16 straight quarters (−VND 190 billion).</w:t>
      </w:r>
    </w:p>
    <w:p>
      <w:pPr>
        <w:pStyle w:val="ListBullet"/>
      </w:pPr>
      <w:r>
        <w:t>The platform costs VND 7.3 million a year per funded account.</w:t>
      </w:r>
    </w:p>
    <w:p>
      <w:r>
        <w:rPr>
          <w:rStyle w:val="FieldLabel"/>
        </w:rPr>
        <w:t>Figure:</w:t>
      </w:r>
      <w:r>
        <w:t xml:space="preserve"> </w:t>
      </w:r>
      <w:r>
        <w:rPr>
          <w:rFonts w:ascii="Consolas" w:hAnsi="Consolas"/>
          <w:color w:val="6B6B6B"/>
          <w:sz w:val="18"/>
        </w:rPr>
        <w:t>outputs/figures/fig04_market_position.png</w:t>
      </w:r>
      <w:r>
        <w:t xml:space="preserve"> (dùng lại Figure 4 của Round 2).</w:t>
      </w:r>
    </w:p>
    <w:p>
      <w:r>
        <w:drawing>
          <wp:inline xmlns:a="http://schemas.openxmlformats.org/drawingml/2006/main" xmlns:pic="http://schemas.openxmlformats.org/drawingml/2006/picture">
            <wp:extent cx="9000000" cy="3241935"/>
            <wp:docPr id="1" name="Picture 1"/>
            <wp:cNvGraphicFramePr>
              <a:graphicFrameLocks noChangeAspect="1"/>
            </wp:cNvGraphicFramePr>
            <a:graphic>
              <a:graphicData uri="http://schemas.openxmlformats.org/drawingml/2006/picture">
                <pic:pic>
                  <pic:nvPicPr>
                    <pic:cNvPr id="0" name="fig04_market_position.png"/>
                    <pic:cNvPicPr/>
                  </pic:nvPicPr>
                  <pic:blipFill>
                    <a:blip r:embed="rId9"/>
                    <a:stretch>
                      <a:fillRect/>
                    </a:stretch>
                  </pic:blipFill>
                  <pic:spPr>
                    <a:xfrm>
                      <a:off x="0" y="0"/>
                      <a:ext cx="9000000" cy="3241935"/>
                    </a:xfrm>
                    <a:prstGeom prst="rect"/>
                  </pic:spPr>
                </pic:pic>
              </a:graphicData>
            </a:graphic>
          </wp:inline>
        </w:drawing>
      </w:r>
    </w:p>
    <w:p>
      <w:pPr>
        <w:pStyle w:val="SourceLine"/>
      </w:pPr>
      <w:r>
        <w:t>Caption: DNSE's share of each market, per cent; the dashed line is its 12.3% share of accounts.</w:t>
      </w:r>
    </w:p>
    <w:p>
      <w:pPr>
        <w:pStyle w:val="SourceLine"/>
      </w:pPr>
      <w:r>
        <w:t>Source: VnExpress (2026a); DNSE Securities (2026c); Vietstock (2026b); CafeF (2026); VnEconomy (2026); Hanoi Stock Exchange (2026); DNSE filings; authors' calculations (Round 2, Figure 4).</w:t>
      </w:r>
    </w:p>
    <w:p>
      <w:r>
        <w:rPr>
          <w:rStyle w:val="FieldLabel"/>
        </w:rPr>
        <w:t>Designer notes (tiếng Việt):</w:t>
      </w:r>
    </w:p>
    <w:p>
      <w:pPr>
        <w:pStyle w:val="DesignerNote"/>
      </w:pPr>
      <w:r>
        <w:t>Hình Figure 4 chiếm 2/3 slide, bên trái; 4 ý ở cột phải.</w:t>
      </w:r>
    </w:p>
    <w:p>
      <w:pPr>
        <w:pStyle w:val="DesignerNote"/>
      </w:pPr>
      <w:r>
        <w:t>Nhấn mạnh hai thanh "Customer accounts 12.3" và "Investor cash 2.3" (đã có màu khác nhau trong hình).</w:t>
      </w:r>
    </w:p>
    <w:p>
      <w:pPr>
        <w:pStyle w:val="DesignerNote"/>
      </w:pPr>
      <w:r>
        <w:t>Ghi nhỏ ở góc: "Round 2 finding, unchanged".</w:t>
      </w:r>
    </w:p>
    <w:p>
      <w:pPr>
        <w:pStyle w:val="DesignerNote"/>
      </w:pPr>
      <w:r>
        <w:t>Nếu cần chỗ, bỏ ý thứ 4 lên speaker notes.</w:t>
      </w:r>
    </w:p>
    <w:p>
      <w:r>
        <w:rPr>
          <w:rStyle w:val="FieldLabel"/>
        </w:rPr>
        <w:t>Speaker notes:</w:t>
      </w:r>
    </w:p>
    <w:p>
      <w:pPr>
        <w:pStyle w:val="SpeakerNote"/>
      </w:pPr>
      <w:r>
        <w:t>In Round 2 we showed one fact that frames everything today. DNSE is very good at opening accounts: one in five new accounts in Vietnam last year, and 12.3 per cent of all accounts by mid-2026. But the closer a measure sits to money, the smaller DNSE becomes: 2.3 per cent of investor cash, 1.4 per cent of margin loans and 0.6 per cent of industry profit. Only 1.8 per cent of DNSE's accounts hold ten million dong or more. This matters because free trading does not pay for itself: brokerage revenue has been below its direct cost for sixteen quarters in a row. Every funded account also carries about 7.3 million dong a year of platform cost. Funding the accounts DNSE already has is the cheapest fix.</w:t>
      </w:r>
    </w:p>
    <w:p>
      <w:pPr>
        <w:pStyle w:val="SourceLine"/>
      </w:pPr>
      <w:r>
        <w:rPr>
          <w:rStyle w:val="FieldLabel"/>
        </w:rPr>
        <w:t>Sources:</w:t>
      </w:r>
      <w:r>
        <w:t xml:space="preserve"> </w:t>
      </w:r>
      <w:r>
        <w:t>DNSE Securities (2026a, 2026c); Hanoi Stock Exchange (2026); VnEconomy (2026); Vietstock (2026b); CafeF (2026); VnExpress (2026a); Vietcap Securities (2026).</w:t>
      </w:r>
    </w:p>
    <w:p>
      <w:r>
        <w:br w:type="page"/>
      </w:r>
    </w:p>
    <w:p>
      <w:pPr>
        <w:pStyle w:val="Heading2"/>
      </w:pPr>
      <w:r>
        <w:t>Slide 3: Why now</w:t>
      </w:r>
    </w:p>
    <w:p>
      <w:r>
        <w:rPr>
          <w:rStyle w:val="FieldLabel"/>
        </w:rPr>
        <w:t>Action title:</w:t>
      </w:r>
      <w:r>
        <w:t xml:space="preserve"> </w:t>
      </w:r>
      <w:r>
        <w:t>The 2026 accumulation race has started, and DNSE has no entry yet</w:t>
      </w:r>
    </w:p>
    <w:p>
      <w:r>
        <w:rPr>
          <w:rStyle w:val="FieldLabel"/>
        </w:rPr>
        <w:t>On-slide text:</w:t>
      </w:r>
    </w:p>
    <w:p>
      <w:pPr>
        <w:pStyle w:val="ListBullet"/>
      </w:pPr>
      <w:r>
        <w:t>Investor cash at brokers fell 38% in three quarters, to VND 86.6 trillion (June 2026).</w:t>
      </w:r>
    </w:p>
    <w:p>
      <w:pPr>
        <w:pStyle w:val="ListBullet"/>
      </w:pPr>
      <w:r>
        <w:t>Banks pay 5.9% for 12 months; certificates of deposit pay 7.4%.</w:t>
      </w:r>
    </w:p>
    <w:p>
      <w:pPr>
        <w:pStyle w:val="ListBullet"/>
      </w:pPr>
      <w:r>
        <w:t>SSI, TCBS, VPS and VPBank launched recurring or goal-based plans in 2026.</w:t>
      </w:r>
    </w:p>
    <w:p>
      <w:pPr>
        <w:pStyle w:val="ListBullet"/>
      </w:pPr>
      <w:r>
        <w:t>Banks must open their APIs by 1 March 2027.</w:t>
      </w:r>
    </w:p>
    <w:p>
      <w:pPr>
        <w:pStyle w:val="ListBullet"/>
      </w:pPr>
      <w:r>
        <w:t>DNSE made about 20% of its 2026 profit target in H1.</w:t>
      </w:r>
    </w:p>
    <w:p>
      <w:r>
        <w:rPr>
          <w:rStyle w:val="FieldLabel"/>
        </w:rPr>
        <w:t>Figure:</w:t>
      </w:r>
      <w:r>
        <w:t xml:space="preserve"> </w:t>
      </w:r>
      <w:r>
        <w:rPr>
          <w:rFonts w:ascii="Consolas" w:hAnsi="Consolas"/>
          <w:color w:val="6B6B6B"/>
          <w:sz w:val="18"/>
        </w:rPr>
        <w:t>outputs/round3/figures/why_now_timeline.png</w:t>
      </w:r>
      <w:r>
        <w:t>.</w:t>
      </w:r>
    </w:p>
    <w:p>
      <w:r>
        <w:drawing>
          <wp:inline xmlns:a="http://schemas.openxmlformats.org/drawingml/2006/main" xmlns:pic="http://schemas.openxmlformats.org/drawingml/2006/picture">
            <wp:extent cx="9000000" cy="2700000"/>
            <wp:docPr id="2" name="Picture 2"/>
            <wp:cNvGraphicFramePr>
              <a:graphicFrameLocks noChangeAspect="1"/>
            </wp:cNvGraphicFramePr>
            <a:graphic>
              <a:graphicData uri="http://schemas.openxmlformats.org/drawingml/2006/picture">
                <pic:pic>
                  <pic:nvPicPr>
                    <pic:cNvPr id="0" name="why_now_timeline.png"/>
                    <pic:cNvPicPr/>
                  </pic:nvPicPr>
                  <pic:blipFill>
                    <a:blip r:embed="rId10"/>
                    <a:stretch>
                      <a:fillRect/>
                    </a:stretch>
                  </pic:blipFill>
                  <pic:spPr>
                    <a:xfrm>
                      <a:off x="0" y="0"/>
                      <a:ext cx="9000000" cy="2700000"/>
                    </a:xfrm>
                    <a:prstGeom prst="rect"/>
                  </pic:spPr>
                </pic:pic>
              </a:graphicData>
            </a:graphic>
          </wp:inline>
        </w:drawing>
      </w:r>
    </w:p>
    <w:p>
      <w:pPr>
        <w:pStyle w:val="SourceLine"/>
      </w:pPr>
      <w:r>
        <w:t>Caption: Left, 2026 launches of recurring and goal-based plans and the banks' Open API deadline. Right, investor cash at Vietnamese brokers, VND trillion (Q4 2025 not reported).</w:t>
      </w:r>
    </w:p>
    <w:p>
      <w:pPr>
        <w:pStyle w:val="SourceLine"/>
      </w:pPr>
      <w:r>
        <w:t>Source: SSI Securities (2026); TCBS (2026); Tin nhanh Chung khoan (2026); Tuoi Tre (2026); VPBank (2026); State Bank of Vietnam (2024); VnEconomy (2026).</w:t>
      </w:r>
    </w:p>
    <w:p>
      <w:pPr>
        <w:pStyle w:val="SourceLine"/>
      </w:pPr>
      <w:r>
        <w:t xml:space="preserve">Data: </w:t>
      </w:r>
      <w:r>
        <w:rPr>
          <w:rFonts w:ascii="Consolas" w:hAnsi="Consolas"/>
          <w:color w:val="6B6B6B"/>
          <w:sz w:val="18"/>
        </w:rPr>
        <w:t>outputs/round3/tables/why_now_events.csv</w:t>
      </w:r>
      <w:r>
        <w:t xml:space="preserve">, </w:t>
      </w:r>
      <w:r>
        <w:rPr>
          <w:rFonts w:ascii="Consolas" w:hAnsi="Consolas"/>
          <w:color w:val="6B6B6B"/>
          <w:sz w:val="18"/>
        </w:rPr>
        <w:t>why_now_investor_cash.csv</w:t>
      </w:r>
      <w:r>
        <w:t>.</w:t>
      </w:r>
    </w:p>
    <w:p>
      <w:r>
        <w:rPr>
          <w:rStyle w:val="FieldLabel"/>
        </w:rPr>
        <w:t>Designer notes (tiếng Việt):</w:t>
      </w:r>
    </w:p>
    <w:p>
      <w:pPr>
        <w:pStyle w:val="DesignerNote"/>
      </w:pPr>
      <w:r>
        <w:t>Hình đã gồm cả timeline và cột tiền NĐT, đặt nửa trên slide, toàn chiều ngang. Mốc đối thủ màu xám; "DNSE today" màu RED; mốc Open API màu DARK_RED.</w:t>
      </w:r>
    </w:p>
    <w:p>
      <w:pPr>
        <w:pStyle w:val="DesignerNote"/>
      </w:pPr>
      <w:r>
        <w:t>5 ý chữ đặt nửa dưới, chia 2 cột: "Money is leaving" (ý 1–2) và "Rivals are moving" (ý 3–5).</w:t>
      </w:r>
    </w:p>
    <w:p>
      <w:pPr>
        <w:pStyle w:val="DesignerNote"/>
      </w:pPr>
      <w:r>
        <w:t>Q4/2025 không có số liệu công bố nên để trống trong hình; không nối cột.</w:t>
      </w:r>
    </w:p>
    <w:p>
      <w:r>
        <w:rPr>
          <w:rStyle w:val="FieldLabel"/>
        </w:rPr>
        <w:t>Speaker notes:</w:t>
      </w:r>
    </w:p>
    <w:p>
      <w:pPr>
        <w:pStyle w:val="SpeakerNote"/>
      </w:pPr>
      <w:r>
        <w:t>Why act now? Three things changed this year. First, money is leaving brokers. Investor cash at Vietnamese brokers fell 38 per cent in three quarters, while banks pay 5.9 per cent for twelve months and certificates of deposit 7.4. Second, competitors have started an accumulation race. SSI ran a recurring-fund campaign from April, TCBS turned TCWealth into goal-based portfolios, VPS launched Smart Indexing in August and VPBank launched goal jars in September. DNSE has no entry. Third, banks must open their APIs by March 2027, which makes salary-linked investing easier for whoever has a product ready. Meanwhile DNSE made only about a fifth of its 2026 profit target in the first half. A product that builds balances is now urgent.</w:t>
      </w:r>
    </w:p>
    <w:p>
      <w:pPr>
        <w:pStyle w:val="SourceLine"/>
      </w:pPr>
      <w:r>
        <w:rPr>
          <w:rStyle w:val="FieldLabel"/>
        </w:rPr>
        <w:t>Sources:</w:t>
      </w:r>
      <w:r>
        <w:t xml:space="preserve"> </w:t>
      </w:r>
      <w:r>
        <w:t>VnEconomy (2026); Thi truong Tai chinh Tien te (2026b); SSI Securities (2026); TCBS (2026); Tin nhanh Chung khoan (2026); VPBank (2026); State Bank of Vietnam (2024); Vietstock (2026a); DNSE Securities (2026a).</w:t>
      </w:r>
    </w:p>
    <w:p>
      <w:r>
        <w:br w:type="page"/>
      </w:r>
    </w:p>
    <w:p>
      <w:pPr>
        <w:pStyle w:val="Heading2"/>
      </w:pPr>
      <w:r>
        <w:t>Slide 4: Insight, design decision, impact</w:t>
      </w:r>
    </w:p>
    <w:p>
      <w:r>
        <w:rPr>
          <w:rStyle w:val="FieldLabel"/>
        </w:rPr>
        <w:t>Action title:</w:t>
      </w:r>
      <w:r>
        <w:t xml:space="preserve"> </w:t>
      </w:r>
      <w:r>
        <w:t>Every design choice traces to evidence and to one KPI the pilot measures</w:t>
      </w:r>
    </w:p>
    <w:p>
      <w:r>
        <w:rPr>
          <w:rStyle w:val="FieldLabel"/>
        </w:rPr>
        <w:t>On-slide text:</w:t>
      </w:r>
    </w:p>
    <w:p>
      <w:pPr>
        <w:pStyle w:val="ListBullet"/>
      </w:pPr>
      <w:r>
        <w:t>Round 2's root causes still hold; 2026 data adds reliability as the first barrier.</w:t>
      </w:r>
    </w:p>
    <w:p>
      <w:pPr>
        <w:pStyle w:val="ListBullet"/>
      </w:pPr>
      <w:r>
        <w:t>Each KPI has a stop line in the pilot (slide 14).</w:t>
      </w:r>
    </w:p>
    <w:p>
      <w:r>
        <w:rPr>
          <w:rStyle w:val="FieldLabel"/>
        </w:rPr>
        <w:t>Table:</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693"/>
            <w:shd w:val="clear" w:color="auto" w:fill="F3F3F3"/>
          </w:tcPr>
          <w:p>
            <w:pPr>
              <w:spacing w:after="0"/>
            </w:pPr>
            <w:r>
              <w:rPr>
                <w:b/>
                <w:sz w:val="18"/>
              </w:rPr>
              <w:t>Insight</w:t>
            </w:r>
          </w:p>
        </w:tc>
        <w:tc>
          <w:tcPr>
            <w:tcW w:type="dxa" w:w="4252"/>
            <w:shd w:val="clear" w:color="auto" w:fill="F3F3F3"/>
          </w:tcPr>
          <w:p>
            <w:pPr>
              <w:spacing w:after="0"/>
            </w:pPr>
            <w:r>
              <w:rPr>
                <w:b/>
                <w:sz w:val="18"/>
              </w:rPr>
              <w:t>Evidence</w:t>
            </w:r>
          </w:p>
        </w:tc>
        <w:tc>
          <w:tcPr>
            <w:tcW w:type="dxa" w:w="4252"/>
            <w:shd w:val="clear" w:color="auto" w:fill="F3F3F3"/>
          </w:tcPr>
          <w:p>
            <w:pPr>
              <w:spacing w:after="0"/>
            </w:pPr>
            <w:r>
              <w:rPr>
                <w:b/>
                <w:sz w:val="18"/>
              </w:rPr>
              <w:t>Design decision</w:t>
            </w:r>
          </w:p>
        </w:tc>
        <w:tc>
          <w:tcPr>
            <w:tcW w:type="dxa" w:w="3827"/>
            <w:shd w:val="clear" w:color="auto" w:fill="F3F3F3"/>
          </w:tcPr>
          <w:p>
            <w:pPr>
              <w:spacing w:after="0"/>
            </w:pPr>
            <w:r>
              <w:rPr>
                <w:b/>
                <w:sz w:val="18"/>
              </w:rPr>
              <w:t>KPI it moves</w:t>
            </w:r>
          </w:p>
        </w:tc>
      </w:tr>
      <w:tr>
        <w:tc>
          <w:tcPr>
            <w:tcW w:type="dxa" w:w="2693"/>
          </w:tcPr>
          <w:p>
            <w:pPr>
              <w:spacing w:after="0"/>
            </w:pPr>
            <w:r>
              <w:rPr>
                <w:sz w:val="18"/>
              </w:rPr>
              <w:t>Accounts are opened but not funded</w:t>
            </w:r>
          </w:p>
        </w:tc>
        <w:tc>
          <w:tcPr>
            <w:tcW w:type="dxa" w:w="4252"/>
          </w:tcPr>
          <w:p>
            <w:pPr>
              <w:spacing w:after="0"/>
            </w:pPr>
            <w:r>
              <w:rPr>
                <w:sz w:val="18"/>
              </w:rPr>
              <w:t>98% of accounts hold under VND 10 million</w:t>
            </w:r>
          </w:p>
        </w:tc>
        <w:tc>
          <w:tcPr>
            <w:tcW w:type="dxa" w:w="4252"/>
          </w:tcPr>
          <w:p>
            <w:pPr>
              <w:spacing w:after="0"/>
            </w:pPr>
            <w:r>
              <w:rPr>
                <w:sz w:val="18"/>
              </w:rPr>
              <w:t>A monthly plan funded by a standing order from the salary bank</w:t>
            </w:r>
          </w:p>
        </w:tc>
        <w:tc>
          <w:tcPr>
            <w:tcW w:type="dxa" w:w="3827"/>
          </w:tcPr>
          <w:p>
            <w:pPr>
              <w:spacing w:after="0"/>
            </w:pPr>
            <w:r>
              <w:rPr>
                <w:sz w:val="18"/>
              </w:rPr>
              <w:t>New accounts above VND 10 million: +14,871 by month 36</w:t>
            </w:r>
          </w:p>
        </w:tc>
      </w:tr>
      <w:tr>
        <w:tc>
          <w:tcPr>
            <w:tcW w:type="dxa" w:w="2693"/>
          </w:tcPr>
          <w:p>
            <w:pPr>
              <w:spacing w:after="0"/>
            </w:pPr>
            <w:r>
              <w:rPr>
                <w:sz w:val="18"/>
              </w:rPr>
              <w:t>Intention stalls without a plan</w:t>
            </w:r>
          </w:p>
        </w:tc>
        <w:tc>
          <w:tcPr>
            <w:tcW w:type="dxa" w:w="4252"/>
          </w:tcPr>
          <w:p>
            <w:pPr>
              <w:spacing w:after="0"/>
            </w:pPr>
            <w:r>
              <w:rPr>
                <w:sz w:val="18"/>
              </w:rPr>
              <w:t>77% of investors find managing a portfolio hard</w:t>
            </w:r>
          </w:p>
        </w:tc>
        <w:tc>
          <w:tcPr>
            <w:tcW w:type="dxa" w:w="4252"/>
          </w:tcPr>
          <w:p>
            <w:pPr>
              <w:spacing w:after="0"/>
            </w:pPr>
            <w:r>
              <w:rPr>
                <w:sz w:val="18"/>
              </w:rPr>
              <w:t>A plan by goal horizon, signed by a licensed adviser and confirmed by the customer</w:t>
            </w:r>
          </w:p>
        </w:tc>
        <w:tc>
          <w:tcPr>
            <w:tcW w:type="dxa" w:w="3827"/>
          </w:tcPr>
          <w:p>
            <w:pPr>
              <w:spacing w:after="0"/>
            </w:pPr>
            <w:r>
              <w:rPr>
                <w:sz w:val="18"/>
              </w:rPr>
              <w:t>Three contributions in a row: 81% (stop below 60%)</w:t>
            </w:r>
          </w:p>
        </w:tc>
      </w:tr>
      <w:tr>
        <w:tc>
          <w:tcPr>
            <w:tcW w:type="dxa" w:w="2693"/>
          </w:tcPr>
          <w:p>
            <w:pPr>
              <w:spacing w:after="0"/>
            </w:pPr>
            <w:r>
              <w:rPr>
                <w:sz w:val="18"/>
              </w:rPr>
              <w:t>Conditional rewards broke trust</w:t>
            </w:r>
          </w:p>
        </w:tc>
        <w:tc>
          <w:tcPr>
            <w:tcW w:type="dxa" w:w="4252"/>
          </w:tcPr>
          <w:p>
            <w:pPr>
              <w:spacing w:after="0"/>
            </w:pPr>
            <w:r>
              <w:rPr>
                <w:sz w:val="18"/>
              </w:rPr>
              <w:t>Trust themes: 55% of negative Google Play reviews, H1 2025</w:t>
            </w:r>
          </w:p>
        </w:tc>
        <w:tc>
          <w:tcPr>
            <w:tcW w:type="dxa" w:w="4252"/>
          </w:tcPr>
          <w:p>
            <w:pPr>
              <w:spacing w:after="0"/>
            </w:pPr>
            <w:r>
              <w:rPr>
                <w:sz w:val="18"/>
              </w:rPr>
              <w:t>No cash rewards; all terms on one screen; free withdrawal</w:t>
            </w:r>
          </w:p>
        </w:tc>
        <w:tc>
          <w:tcPr>
            <w:tcW w:type="dxa" w:w="3827"/>
          </w:tcPr>
          <w:p>
            <w:pPr>
              <w:spacing w:after="0"/>
            </w:pPr>
            <w:r>
              <w:rPr>
                <w:sz w:val="18"/>
              </w:rPr>
              <w:t>Trust themes below 10% of Payday reviews</w:t>
            </w:r>
          </w:p>
        </w:tc>
      </w:tr>
      <w:tr>
        <w:tc>
          <w:tcPr>
            <w:tcW w:type="dxa" w:w="2693"/>
          </w:tcPr>
          <w:p>
            <w:pPr>
              <w:spacing w:after="0"/>
            </w:pPr>
            <w:r>
              <w:rPr>
                <w:sz w:val="18"/>
              </w:rPr>
              <w:t>2026 update: reliability now dominates</w:t>
            </w:r>
          </w:p>
        </w:tc>
        <w:tc>
          <w:tcPr>
            <w:tcW w:type="dxa" w:w="4252"/>
          </w:tcPr>
          <w:p>
            <w:pPr>
              <w:spacing w:after="0"/>
            </w:pPr>
            <w:r>
              <w:rPr>
                <w:sz w:val="18"/>
              </w:rPr>
              <w:t>83% of 2026 negative reviews describe something that broke</w:t>
            </w:r>
          </w:p>
        </w:tc>
        <w:tc>
          <w:tcPr>
            <w:tcW w:type="dxa" w:w="4252"/>
          </w:tcPr>
          <w:p>
            <w:pPr>
              <w:spacing w:after="0"/>
            </w:pPr>
            <w:r>
              <w:rPr>
                <w:sz w:val="18"/>
              </w:rPr>
              <w:t>Payday scheduler kept apart from the pre-trade check; 99.5% launch gate</w:t>
            </w:r>
          </w:p>
        </w:tc>
        <w:tc>
          <w:tcPr>
            <w:tcW w:type="dxa" w:w="3827"/>
          </w:tcPr>
          <w:p>
            <w:pPr>
              <w:spacing w:after="0"/>
            </w:pPr>
            <w:r>
              <w:rPr>
                <w:sz w:val="18"/>
              </w:rPr>
              <w:t>99.5% credited on the same banking day</w:t>
            </w:r>
          </w:p>
        </w:tc>
      </w:tr>
      <w:tr>
        <w:tc>
          <w:tcPr>
            <w:tcW w:type="dxa" w:w="2693"/>
          </w:tcPr>
          <w:p>
            <w:pPr>
              <w:spacing w:after="0"/>
            </w:pPr>
            <w:r>
              <w:rPr>
                <w:sz w:val="18"/>
              </w:rPr>
              <w:t>Small tickets carry heavy unit costs</w:t>
            </w:r>
          </w:p>
        </w:tc>
        <w:tc>
          <w:tcPr>
            <w:tcW w:type="dxa" w:w="4252"/>
          </w:tcPr>
          <w:p>
            <w:pPr>
              <w:spacing w:after="0"/>
            </w:pPr>
            <w:r>
              <w:rPr>
                <w:sz w:val="18"/>
              </w:rPr>
              <w:t>A VND 1 million contribution pays a VND 3,300 bank fee and earns VND 368 a month</w:t>
            </w:r>
          </w:p>
        </w:tc>
        <w:tc>
          <w:tcPr>
            <w:tcW w:type="dxa" w:w="4252"/>
          </w:tcPr>
          <w:p>
            <w:pPr>
              <w:spacing w:after="0"/>
            </w:pPr>
            <w:r>
              <w:rPr>
                <w:sz w:val="18"/>
              </w:rPr>
              <w:t>Gate 0: collection fee target VND 0</w:t>
            </w:r>
          </w:p>
        </w:tc>
        <w:tc>
          <w:tcPr>
            <w:tcW w:type="dxa" w:w="3827"/>
          </w:tcPr>
          <w:p>
            <w:pPr>
              <w:spacing w:after="0"/>
            </w:pPr>
            <w:r>
              <w:rPr>
                <w:sz w:val="18"/>
              </w:rPr>
              <w:t>CAC ceiling rises from VND 128,000 to 199,000</w:t>
            </w:r>
          </w:p>
        </w:tc>
      </w:tr>
    </w:tbl>
    <w:p/>
    <w:p>
      <w:pPr>
        <w:pStyle w:val="SourceLine"/>
      </w:pPr>
      <w:r>
        <w:t xml:space="preserve">CSV: </w:t>
      </w:r>
      <w:r>
        <w:rPr>
          <w:rFonts w:ascii="Consolas" w:hAnsi="Consolas"/>
          <w:color w:val="6B6B6B"/>
          <w:sz w:val="18"/>
        </w:rPr>
        <w:t>outputs/round3/tables/slide04_insight_design.csv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DNSE Securities (2026c); Nhan Dan (2025); Google Play and App Store reviews, authors' coding; VPBank (2024); authors' cohort model.</w:t>
      </w:r>
    </w:p>
    <w:p>
      <w:r>
        <w:rPr>
          <w:rStyle w:val="FieldLabel"/>
        </w:rPr>
        <w:t>Figure:</w:t>
      </w:r>
      <w:r>
        <w:t xml:space="preserve"> </w:t>
      </w:r>
      <w:r>
        <w:rPr>
          <w:rFonts w:ascii="Consolas" w:hAnsi="Consolas"/>
          <w:color w:val="6B6B6B"/>
          <w:sz w:val="18"/>
        </w:rPr>
        <w:t>outputs/round3/figures/reviews_2026_causes.png</w:t>
      </w:r>
      <w:r>
        <w:t xml:space="preserve"> (nửa slide, tùy chọn; có thể chuyển xuống appendix D nếu chật).</w:t>
      </w:r>
    </w:p>
    <w:p>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reviews_2026_causes.png"/>
                    <pic:cNvPicPr/>
                  </pic:nvPicPr>
                  <pic:blipFill>
                    <a:blip r:embed="rId11"/>
                    <a:stretch>
                      <a:fillRect/>
                    </a:stretch>
                  </pic:blipFill>
                  <pic:spPr>
                    <a:xfrm>
                      <a:off x="0" y="0"/>
                      <a:ext cx="4680000" cy="3510000"/>
                    </a:xfrm>
                    <a:prstGeom prst="rect"/>
                  </pic:spPr>
                </pic:pic>
              </a:graphicData>
            </a:graphic>
          </wp:inline>
        </w:drawing>
      </w:r>
    </w:p>
    <w:p>
      <w:pPr>
        <w:pStyle w:val="SourceLine"/>
      </w:pPr>
      <w:r>
        <w:t>Caption: Causes in 58 negative reviews of DNSE's app, January to September 2026; a review can carry several causes.</w:t>
      </w:r>
    </w:p>
    <w:p>
      <w:pPr>
        <w:pStyle w:val="SourceLine"/>
      </w:pPr>
      <w:r>
        <w:t>Source: Google Play; App Store; authors' coding of each review.</w:t>
      </w:r>
    </w:p>
    <w:p>
      <w:r>
        <w:rPr>
          <w:rStyle w:val="FieldLabel"/>
        </w:rPr>
        <w:t>Designer notes (tiếng Việt):</w:t>
      </w:r>
    </w:p>
    <w:p>
      <w:pPr>
        <w:pStyle w:val="DesignerNote"/>
      </w:pPr>
      <w:r>
        <w:t>Đây là slide ăn điểm "evidence-to-solution linkage" (25 điểm). Bảng 5 dòng là trung tâm, có mũi tên giữa các cột Insight → Decision → KPI.</w:t>
      </w:r>
    </w:p>
    <w:p>
      <w:pPr>
        <w:pStyle w:val="DesignerNote"/>
      </w:pPr>
      <w:r>
        <w:t>Dòng "2026 update" tô nền LIGHT_RED để thấy đây là cập nhật mới.</w:t>
      </w:r>
    </w:p>
    <w:p>
      <w:pPr>
        <w:pStyle w:val="DesignerNote"/>
      </w:pPr>
      <w:r>
        <w:t>Nếu đặt hình nguyên nhân review: thu nhỏ ở góc phải, nối bằng đường mảnh tới dòng 4.</w:t>
      </w:r>
    </w:p>
    <w:p>
      <w:r>
        <w:rPr>
          <w:rStyle w:val="FieldLabel"/>
        </w:rPr>
        <w:t>Speaker notes:</w:t>
      </w:r>
    </w:p>
    <w:p>
      <w:pPr>
        <w:pStyle w:val="SpeakerNote"/>
      </w:pPr>
      <w:r>
        <w:t>This slide links each insight to a design choice and to the KPI that tests it. Accounts are opened but not funded, so a standing order from the salary bank funds the plan; we count new accounts above ten million dong. Intention stalls without a plan: 77 per cent of investors find portfolios hard, so a licensed adviser signs a plan by goal horizon and the customer confirms it. Conditional rewards broke trust in 2025, so there is no cash reward and every term sits on one screen. The 2026 update is reliability: 83 per cent of this year's negative reviews describe something that broke. So the payday scheduler runs apart from the trading check, and 99.5 per cent on-time crediting is a launch gate.</w:t>
      </w:r>
    </w:p>
    <w:p>
      <w:pPr>
        <w:pStyle w:val="SourceLine"/>
      </w:pPr>
      <w:r>
        <w:rPr>
          <w:rStyle w:val="FieldLabel"/>
        </w:rPr>
        <w:t>Sources:</w:t>
      </w:r>
      <w:r>
        <w:t xml:space="preserve"> </w:t>
      </w:r>
      <w:r>
        <w:t>DNSE Securities (2026c); Nhan Dan (2025); Google Play and App Store reviews (authors' coding); VPBank (2024); authors' cohort model.</w:t>
      </w:r>
    </w:p>
    <w:p>
      <w:r>
        <w:br w:type="page"/>
      </w:r>
    </w:p>
    <w:p>
      <w:pPr>
        <w:pStyle w:val="Heading2"/>
      </w:pPr>
      <w:r>
        <w:t>Slide 5: What changed since Round 2</w:t>
      </w:r>
    </w:p>
    <w:p>
      <w:r>
        <w:rPr>
          <w:rStyle w:val="FieldLabel"/>
        </w:rPr>
        <w:t>Action title:</w:t>
      </w:r>
      <w:r>
        <w:t xml:space="preserve"> </w:t>
      </w:r>
      <w:r>
        <w:t>We kept the mechanism and rebuilt the numbers, rewards and positioning</w:t>
      </w:r>
    </w:p>
    <w:p>
      <w:r>
        <w:rPr>
          <w:rStyle w:val="FieldLabel"/>
        </w:rPr>
        <w:t>On-slide text:</w:t>
      </w:r>
    </w:p>
    <w:p>
      <w:pPr>
        <w:pStyle w:val="ListBullet"/>
      </w:pPr>
      <w:r>
        <w:t>Kept: the dormant salaried target, personal virtual account, adviser-signed plan the customer confirms, rebalancing with new money, SSC notice and a randomised pilot.</w:t>
      </w:r>
    </w:p>
    <w:p>
      <w:r>
        <w:rPr>
          <w:rStyle w:val="FieldLabel"/>
        </w:rPr>
        <w:t>Table:</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1570"/>
            <w:shd w:val="clear" w:color="auto" w:fill="F3F3F3"/>
          </w:tcPr>
          <w:p>
            <w:pPr>
              <w:spacing w:after="0"/>
            </w:pPr>
            <w:r>
              <w:rPr>
                <w:b/>
                <w:sz w:val="18"/>
              </w:rPr>
              <w:t>Area</w:t>
            </w:r>
          </w:p>
        </w:tc>
        <w:tc>
          <w:tcPr>
            <w:tcW w:type="dxa" w:w="6727"/>
            <w:shd w:val="clear" w:color="auto" w:fill="F3F3F3"/>
          </w:tcPr>
          <w:p>
            <w:pPr>
              <w:spacing w:after="0"/>
            </w:pPr>
            <w:r>
              <w:rPr>
                <w:b/>
                <w:sz w:val="18"/>
              </w:rPr>
              <w:t>Round 2</w:t>
            </w:r>
          </w:p>
        </w:tc>
        <w:tc>
          <w:tcPr>
            <w:tcW w:type="dxa" w:w="6727"/>
            <w:shd w:val="clear" w:color="auto" w:fill="F3F3F3"/>
          </w:tcPr>
          <w:p>
            <w:pPr>
              <w:spacing w:after="0"/>
            </w:pPr>
            <w:r>
              <w:rPr>
                <w:b/>
                <w:sz w:val="18"/>
              </w:rPr>
              <w:t>Round 3A, and why</w:t>
            </w:r>
          </w:p>
        </w:tc>
      </w:tr>
      <w:tr>
        <w:tc>
          <w:tcPr>
            <w:tcW w:type="dxa" w:w="1570"/>
          </w:tcPr>
          <w:p>
            <w:pPr>
              <w:spacing w:after="0"/>
            </w:pPr>
            <w:r>
              <w:rPr>
                <w:sz w:val="18"/>
              </w:rPr>
              <w:t>Main barrier</w:t>
            </w:r>
          </w:p>
        </w:tc>
        <w:tc>
          <w:tcPr>
            <w:tcW w:type="dxa" w:w="6727"/>
          </w:tcPr>
          <w:p>
            <w:pPr>
              <w:spacing w:after="0"/>
            </w:pPr>
            <w:r>
              <w:rPr>
                <w:sz w:val="18"/>
              </w:rPr>
              <w:t>Trust</w:t>
            </w:r>
          </w:p>
        </w:tc>
        <w:tc>
          <w:tcPr>
            <w:tcW w:type="dxa" w:w="6727"/>
          </w:tcPr>
          <w:p>
            <w:pPr>
              <w:spacing w:after="0"/>
            </w:pPr>
            <w:r>
              <w:rPr>
                <w:sz w:val="18"/>
              </w:rPr>
              <w:t>Reliability: 83% of 2026 negative reviews describe a failure; trust 19%</w:t>
            </w:r>
          </w:p>
        </w:tc>
      </w:tr>
      <w:tr>
        <w:tc>
          <w:tcPr>
            <w:tcW w:type="dxa" w:w="1570"/>
          </w:tcPr>
          <w:p>
            <w:pPr>
              <w:spacing w:after="0"/>
            </w:pPr>
            <w:r>
              <w:rPr>
                <w:sz w:val="18"/>
              </w:rPr>
              <w:t>Business case</w:t>
            </w:r>
          </w:p>
        </w:tc>
        <w:tc>
          <w:tcPr>
            <w:tcW w:type="dxa" w:w="6727"/>
          </w:tcPr>
          <w:p>
            <w:pPr>
              <w:spacing w:after="0"/>
            </w:pPr>
            <w:r>
              <w:rPr>
                <w:sz w:val="18"/>
              </w:rPr>
              <w:t>Static: 150,000 savers for 18 months; target of 85,000 accounts above VND 10 million</w:t>
            </w:r>
          </w:p>
        </w:tc>
        <w:tc>
          <w:tcPr>
            <w:tcW w:type="dxa" w:w="6727"/>
          </w:tcPr>
          <w:p>
            <w:pPr>
              <w:spacing w:after="0"/>
            </w:pPr>
            <w:r>
              <w:rPr>
                <w:sz w:val="18"/>
              </w:rPr>
              <w:t>Monthly cohorts over 60 months: about 42,000 accounts above VND 10 million by month 36 (27,100 + 14,871), because a saver needs 11 contributions to pass VND 10 million</w:t>
            </w:r>
          </w:p>
        </w:tc>
      </w:tr>
      <w:tr>
        <w:tc>
          <w:tcPr>
            <w:tcW w:type="dxa" w:w="1570"/>
          </w:tcPr>
          <w:p>
            <w:pPr>
              <w:spacing w:after="0"/>
            </w:pPr>
            <w:r>
              <w:rPr>
                <w:sz w:val="18"/>
              </w:rPr>
              <w:t>Pilot</w:t>
            </w:r>
          </w:p>
        </w:tc>
        <w:tc>
          <w:tcPr>
            <w:tcW w:type="dxa" w:w="6727"/>
          </w:tcPr>
          <w:p>
            <w:pPr>
              <w:spacing w:after="0"/>
            </w:pPr>
            <w:r>
              <w:rPr>
                <w:sz w:val="18"/>
              </w:rPr>
              <w:t>20,000 accounts; go ahead at 15% enrolment</w:t>
            </w:r>
          </w:p>
        </w:tc>
        <w:tc>
          <w:tcPr>
            <w:tcW w:type="dxa" w:w="6727"/>
          </w:tcPr>
          <w:p>
            <w:pPr>
              <w:spacing w:after="0"/>
            </w:pPr>
            <w:r>
              <w:rPr>
                <w:sz w:val="18"/>
              </w:rPr>
              <w:t>45,000 accounts; scale at 1.5%, stop below 1.0% (break-even 1.0%)</w:t>
            </w:r>
          </w:p>
        </w:tc>
      </w:tr>
      <w:tr>
        <w:tc>
          <w:tcPr>
            <w:tcW w:type="dxa" w:w="1570"/>
          </w:tcPr>
          <w:p>
            <w:pPr>
              <w:spacing w:after="0"/>
            </w:pPr>
            <w:r>
              <w:rPr>
                <w:sz w:val="18"/>
              </w:rPr>
              <w:t>Rewards</w:t>
            </w:r>
          </w:p>
        </w:tc>
        <w:tc>
          <w:tcPr>
            <w:tcW w:type="dxa" w:w="6727"/>
          </w:tcPr>
          <w:p>
            <w:pPr>
              <w:spacing w:after="0"/>
            </w:pPr>
            <w:r>
              <w:rPr>
                <w:sz w:val="18"/>
              </w:rPr>
              <w:t>Cash tiers, including a 4.3% idle-cash rate</w:t>
            </w:r>
          </w:p>
        </w:tc>
        <w:tc>
          <w:tcPr>
            <w:tcW w:type="dxa" w:w="6727"/>
          </w:tcPr>
          <w:p>
            <w:pPr>
              <w:spacing w:after="0"/>
            </w:pPr>
            <w:r>
              <w:rPr>
                <w:sz w:val="18"/>
              </w:rPr>
              <w:t>Non-cash persistence package; cash tiers would cost 41% of revenue per saver</w:t>
            </w:r>
          </w:p>
        </w:tc>
      </w:tr>
      <w:tr>
        <w:tc>
          <w:tcPr>
            <w:tcW w:type="dxa" w:w="1570"/>
          </w:tcPr>
          <w:p>
            <w:pPr>
              <w:spacing w:after="0"/>
            </w:pPr>
            <w:r>
              <w:rPr>
                <w:sz w:val="18"/>
              </w:rPr>
              <w:t>Bond core</w:t>
            </w:r>
          </w:p>
        </w:tc>
        <w:tc>
          <w:tcPr>
            <w:tcW w:type="dxa" w:w="6727"/>
          </w:tcPr>
          <w:p>
            <w:pPr>
              <w:spacing w:after="0"/>
            </w:pPr>
            <w:r>
              <w:rPr>
                <w:sz w:val="18"/>
              </w:rPr>
              <w:t>Golden Egg, which also holds DNSE's own bonds</w:t>
            </w:r>
          </w:p>
        </w:tc>
        <w:tc>
          <w:tcPr>
            <w:tcW w:type="dxa" w:w="6727"/>
          </w:tcPr>
          <w:p>
            <w:pPr>
              <w:spacing w:after="0"/>
            </w:pPr>
            <w:r>
              <w:rPr>
                <w:sz w:val="18"/>
              </w:rPr>
              <w:t>Bank-issued bonds only, to avoid a conflict of interest</w:t>
            </w:r>
          </w:p>
        </w:tc>
      </w:tr>
      <w:tr>
        <w:tc>
          <w:tcPr>
            <w:tcW w:type="dxa" w:w="1570"/>
          </w:tcPr>
          <w:p>
            <w:pPr>
              <w:spacing w:after="0"/>
            </w:pPr>
            <w:r>
              <w:rPr>
                <w:sz w:val="18"/>
              </w:rPr>
              <w:t>Differentiator</w:t>
            </w:r>
          </w:p>
        </w:tc>
        <w:tc>
          <w:tcPr>
            <w:tcW w:type="dxa" w:w="6727"/>
          </w:tcPr>
          <w:p>
            <w:pPr>
              <w:spacing w:after="0"/>
            </w:pPr>
            <w:r>
              <w:rPr>
                <w:sz w:val="18"/>
              </w:rPr>
              <w:t>The salary-day trigger</w:t>
            </w:r>
          </w:p>
        </w:tc>
        <w:tc>
          <w:tcPr>
            <w:tcW w:type="dxa" w:w="6727"/>
          </w:tcPr>
          <w:p>
            <w:pPr>
              <w:spacing w:after="0"/>
            </w:pPr>
            <w:r>
              <w:rPr>
                <w:sz w:val="18"/>
              </w:rPr>
              <w:t>Recurring transfers are standard (VinaSIP since 2021); we compete on asset range and published delivery metrics</w:t>
            </w:r>
          </w:p>
        </w:tc>
      </w:tr>
    </w:tbl>
    <w:p/>
    <w:p>
      <w:pPr>
        <w:pStyle w:val="SourceLine"/>
      </w:pPr>
      <w:r>
        <w:t xml:space="preserve">CSV: </w:t>
      </w:r>
      <w:r>
        <w:rPr>
          <w:rFonts w:ascii="Consolas" w:hAnsi="Consolas"/>
          <w:color w:val="6B6B6B"/>
          <w:sz w:val="18"/>
        </w:rPr>
        <w:t>outputs/round3/tables/slide05_what_changed.csv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KTQT FTUers (2026); authors' cohort model; Thi truong Tai chinh Tien te (2021); DNSE Securities (2026c).</w:t>
      </w:r>
    </w:p>
    <w:p>
      <w:r>
        <w:rPr>
          <w:rStyle w:val="FieldLabel"/>
        </w:rPr>
        <w:t>Figure:</w:t>
      </w:r>
      <w:r>
        <w:t xml:space="preserve"> </w:t>
      </w:r>
      <w:r>
        <w:t>không có (bảng là nội dung chính).</w:t>
      </w:r>
    </w:p>
    <w:p>
      <w:r>
        <w:rPr>
          <w:rStyle w:val="FieldLabel"/>
        </w:rPr>
        <w:t>Designer notes (tiếng Việt):</w:t>
      </w:r>
    </w:p>
    <w:p>
      <w:pPr>
        <w:pStyle w:val="DesignerNote"/>
      </w:pPr>
      <w:r>
        <w:t>Bảng 3 cột; cột "Round 2" chữ xám, cột "Round 3A" chữ đen, phần "why" in nghiêng.</w:t>
      </w:r>
    </w:p>
    <w:p>
      <w:pPr>
        <w:pStyle w:val="DesignerNote"/>
      </w:pPr>
      <w:r>
        <w:t>Dòng "Kept" đặt trên cùng thành dải màu nhạt có dấu ✓. Rubric khen việc giải thích vì sao giữ.</w:t>
      </w:r>
    </w:p>
    <w:p>
      <w:pPr>
        <w:pStyle w:val="DesignerNote"/>
      </w:pPr>
      <w:r>
        <w:t>Nếu ban tổ chức gửi feedback Round 2, thêm cột "Feedback" (</w:t>
      </w:r>
      <w:r>
        <w:rPr>
          <w:rFonts w:ascii="Consolas" w:hAnsi="Consolas"/>
          <w:color w:val="6B6B6B"/>
          <w:sz w:val="18"/>
        </w:rPr>
        <w:t>plan_payday.md</w:t>
      </w:r>
      <w:r>
        <w:t xml:space="preserve"> §2).</w:t>
      </w:r>
    </w:p>
    <w:p>
      <w:r>
        <w:rPr>
          <w:rStyle w:val="FieldLabel"/>
        </w:rPr>
        <w:t>Speaker notes:</w:t>
      </w:r>
    </w:p>
    <w:p>
      <w:pPr>
        <w:pStyle w:val="SpeakerNote"/>
      </w:pPr>
      <w:r>
        <w:t>What changed since Round 2, and why. We kept the core: the target segment, the personal virtual account, the adviser-signed plan the customer confirms, rebalancing with new money, the regulator notice and a randomised pilot. Five things changed. Our Round 2 model assumed every saver contributed for eighteen months. With monthly cohorts and sourced costs, the base case reaches about 42,000 accounts above ten million dong by month 36, against a Round 2 target of 85,000 in eighteen months. The pilot grows to 45,000 accounts so it can detect a ten-point effect, with thresholds derived from unit economics. Cash tiers would cost 41 per cent of revenue, so rewards are non-cash. DNSE's own bonds leave the default plan. And recurring transfers are now standard, so we compete on asset range and proof.</w:t>
      </w:r>
    </w:p>
    <w:p>
      <w:pPr>
        <w:pStyle w:val="SourceLine"/>
      </w:pPr>
      <w:r>
        <w:rPr>
          <w:rStyle w:val="FieldLabel"/>
        </w:rPr>
        <w:t>Sources:</w:t>
      </w:r>
      <w:r>
        <w:t xml:space="preserve"> </w:t>
      </w:r>
      <w:r>
        <w:t>KTQT FTUers (2026); authors' cohort model; Thi truong Tai chinh Tien te (2021); DNSE Securities (2026c).</w:t>
      </w:r>
    </w:p>
    <w:p>
      <w:r>
        <w:br w:type="page"/>
      </w:r>
    </w:p>
    <w:p>
      <w:pPr>
        <w:pStyle w:val="Heading2"/>
      </w:pPr>
      <w:r>
        <w:t>Slide 6: Target users and sizing</w:t>
      </w:r>
    </w:p>
    <w:p>
      <w:r>
        <w:rPr>
          <w:rStyle w:val="FieldLabel"/>
        </w:rPr>
        <w:t>Action title:</w:t>
      </w:r>
      <w:r>
        <w:t xml:space="preserve"> </w:t>
      </w:r>
      <w:r>
        <w:t>Launch with dormant salaried accounts; most savers later arrive at account opening</w:t>
      </w:r>
    </w:p>
    <w:p>
      <w:r>
        <w:rPr>
          <w:rStyle w:val="FieldLabel"/>
        </w:rPr>
        <w:t>On-slide text:</w:t>
      </w:r>
    </w:p>
    <w:p>
      <w:pPr>
        <w:pStyle w:val="ListBullet"/>
      </w:pPr>
      <w:r>
        <w:t>Salaried dormant holders test the offer first: 45,000 accounts in the pilot.</w:t>
      </w:r>
    </w:p>
    <w:p>
      <w:pPr>
        <w:pStyle w:val="ListBullet"/>
      </w:pPr>
      <w:r>
        <w:t>By month 36, 60% of the 31,133 savers come from the account-opening step.</w:t>
      </w:r>
    </w:p>
    <w:p>
      <w:pPr>
        <w:pStyle w:val="ListBullet"/>
      </w:pPr>
      <w:r>
        <w:t>Employers are tested from Q4 and pay back only above 39% participation.</w:t>
      </w:r>
    </w:p>
    <w:p>
      <w:r>
        <w:rPr>
          <w:rStyle w:val="FieldLabel"/>
        </w:rPr>
        <w:t>Table:</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279"/>
            <w:shd w:val="clear" w:color="auto" w:fill="F3F3F3"/>
          </w:tcPr>
          <w:p>
            <w:pPr>
              <w:spacing w:after="0"/>
            </w:pPr>
          </w:p>
        </w:tc>
        <w:tc>
          <w:tcPr>
            <w:tcW w:type="dxa" w:w="4558"/>
            <w:shd w:val="clear" w:color="auto" w:fill="F3F3F3"/>
          </w:tcPr>
          <w:p>
            <w:pPr>
              <w:spacing w:after="0"/>
            </w:pPr>
            <w:r>
              <w:rPr>
                <w:b/>
                <w:sz w:val="18"/>
              </w:rPr>
              <w:t>P1 Salaried dormant holder (launch)</w:t>
            </w:r>
          </w:p>
        </w:tc>
        <w:tc>
          <w:tcPr>
            <w:tcW w:type="dxa" w:w="3123"/>
            <w:shd w:val="clear" w:color="auto" w:fill="F3F3F3"/>
          </w:tcPr>
          <w:p>
            <w:pPr>
              <w:spacing w:after="0"/>
            </w:pPr>
            <w:r>
              <w:rPr>
                <w:b/>
                <w:sz w:val="18"/>
              </w:rPr>
              <w:t>P2 Active trader adding a core</w:t>
            </w:r>
          </w:p>
        </w:tc>
        <w:tc>
          <w:tcPr>
            <w:tcW w:type="dxa" w:w="5064"/>
            <w:shd w:val="clear" w:color="auto" w:fill="F3F3F3"/>
          </w:tcPr>
          <w:p>
            <w:pPr>
              <w:spacing w:after="0"/>
            </w:pPr>
            <w:r>
              <w:rPr>
                <w:b/>
                <w:sz w:val="18"/>
              </w:rPr>
              <w:t>P3 New account holder</w:t>
            </w:r>
          </w:p>
        </w:tc>
      </w:tr>
      <w:tr>
        <w:tc>
          <w:tcPr>
            <w:tcW w:type="dxa" w:w="2279"/>
          </w:tcPr>
          <w:p>
            <w:pPr>
              <w:spacing w:after="0"/>
            </w:pPr>
            <w:r>
              <w:rPr>
                <w:sz w:val="18"/>
              </w:rPr>
              <w:t>Size</w:t>
            </w:r>
          </w:p>
        </w:tc>
        <w:tc>
          <w:tcPr>
            <w:tcW w:type="dxa" w:w="4558"/>
          </w:tcPr>
          <w:p>
            <w:pPr>
              <w:spacing w:after="0"/>
            </w:pPr>
            <w:r>
              <w:rPr>
                <w:sz w:val="18"/>
              </w:rPr>
              <w:t>1.43 million accounts used no product in December 2025</w:t>
            </w:r>
          </w:p>
        </w:tc>
        <w:tc>
          <w:tcPr>
            <w:tcW w:type="dxa" w:w="3123"/>
          </w:tcPr>
          <w:p>
            <w:pPr>
              <w:spacing w:after="0"/>
            </w:pPr>
            <w:r>
              <w:rPr>
                <w:sz w:val="18"/>
              </w:rPr>
              <w:t>85,739 active customers</w:t>
            </w:r>
          </w:p>
        </w:tc>
        <w:tc>
          <w:tcPr>
            <w:tcW w:type="dxa" w:w="5064"/>
          </w:tcPr>
          <w:p>
            <w:pPr>
              <w:spacing w:after="0"/>
            </w:pPr>
            <w:r>
              <w:rPr>
                <w:sz w:val="18"/>
              </w:rPr>
              <w:t>About 31,180 new accounts a month (H1 2026)</w:t>
            </w:r>
          </w:p>
        </w:tc>
      </w:tr>
      <w:tr>
        <w:tc>
          <w:tcPr>
            <w:tcW w:type="dxa" w:w="2279"/>
          </w:tcPr>
          <w:p>
            <w:pPr>
              <w:spacing w:after="0"/>
            </w:pPr>
            <w:r>
              <w:rPr>
                <w:sz w:val="18"/>
              </w:rPr>
              <w:t>Job to be done (hypothesis)</w:t>
            </w:r>
          </w:p>
        </w:tc>
        <w:tc>
          <w:tcPr>
            <w:tcW w:type="dxa" w:w="4558"/>
          </w:tcPr>
          <w:p>
            <w:pPr>
              <w:spacing w:after="0"/>
            </w:pPr>
            <w:r>
              <w:rPr>
                <w:sz w:val="18"/>
              </w:rPr>
              <w:t>"Invest part of my salary without deciding each month"</w:t>
            </w:r>
          </w:p>
        </w:tc>
        <w:tc>
          <w:tcPr>
            <w:tcW w:type="dxa" w:w="3123"/>
          </w:tcPr>
          <w:p>
            <w:pPr>
              <w:spacing w:after="0"/>
            </w:pPr>
            <w:r>
              <w:rPr>
                <w:sz w:val="18"/>
              </w:rPr>
              <w:t>"Grow a long-term core while I trade"</w:t>
            </w:r>
          </w:p>
        </w:tc>
        <w:tc>
          <w:tcPr>
            <w:tcW w:type="dxa" w:w="5064"/>
          </w:tcPr>
          <w:p>
            <w:pPr>
              <w:spacing w:after="0"/>
            </w:pPr>
            <w:r>
              <w:rPr>
                <w:sz w:val="18"/>
              </w:rPr>
              <w:t>"Start small and see it work"</w:t>
            </w:r>
          </w:p>
        </w:tc>
      </w:tr>
      <w:tr>
        <w:tc>
          <w:tcPr>
            <w:tcW w:type="dxa" w:w="2279"/>
          </w:tcPr>
          <w:p>
            <w:pPr>
              <w:spacing w:after="0"/>
            </w:pPr>
            <w:r>
              <w:rPr>
                <w:sz w:val="18"/>
              </w:rPr>
              <w:t>Barrier (evidence)</w:t>
            </w:r>
          </w:p>
        </w:tc>
        <w:tc>
          <w:tcPr>
            <w:tcW w:type="dxa" w:w="4558"/>
          </w:tcPr>
          <w:p>
            <w:pPr>
              <w:spacing w:after="0"/>
            </w:pPr>
            <w:r>
              <w:rPr>
                <w:sz w:val="18"/>
              </w:rPr>
              <w:t>Procrastination; distrust after the 2025 rewards</w:t>
            </w:r>
          </w:p>
        </w:tc>
        <w:tc>
          <w:tcPr>
            <w:tcW w:type="dxa" w:w="3123"/>
          </w:tcPr>
          <w:p>
            <w:pPr>
              <w:spacing w:after="0"/>
            </w:pPr>
            <w:r>
              <w:rPr>
                <w:sz w:val="18"/>
              </w:rPr>
              <w:t>Plan money drifting back to trading</w:t>
            </w:r>
          </w:p>
        </w:tc>
        <w:tc>
          <w:tcPr>
            <w:tcW w:type="dxa" w:w="5064"/>
          </w:tcPr>
          <w:p>
            <w:pPr>
              <w:spacing w:after="0"/>
            </w:pPr>
            <w:r>
              <w:rPr>
                <w:sz w:val="18"/>
              </w:rPr>
              <w:t>Reward-seeking; eKYC failures (17% of 2026 negative reviews)</w:t>
            </w:r>
          </w:p>
        </w:tc>
      </w:tr>
      <w:tr>
        <w:tc>
          <w:tcPr>
            <w:tcW w:type="dxa" w:w="2279"/>
          </w:tcPr>
          <w:p>
            <w:pPr>
              <w:spacing w:after="0"/>
            </w:pPr>
            <w:r>
              <w:rPr>
                <w:sz w:val="18"/>
              </w:rPr>
              <w:t>Model input (assumption)</w:t>
            </w:r>
          </w:p>
        </w:tc>
        <w:tc>
          <w:tcPr>
            <w:tcW w:type="dxa" w:w="4558"/>
          </w:tcPr>
          <w:p>
            <w:pPr>
              <w:spacing w:after="0"/>
            </w:pPr>
            <w:r>
              <w:rPr>
                <w:sz w:val="18"/>
              </w:rPr>
              <w:t>25% salaried and reachable; 2% enrol</w:t>
            </w:r>
          </w:p>
        </w:tc>
        <w:tc>
          <w:tcPr>
            <w:tcW w:type="dxa" w:w="3123"/>
          </w:tcPr>
          <w:p>
            <w:pPr>
              <w:spacing w:after="0"/>
            </w:pPr>
            <w:r>
              <w:rPr>
                <w:sz w:val="18"/>
              </w:rPr>
              <w:t>4% enrol over 12 months</w:t>
            </w:r>
          </w:p>
        </w:tc>
        <w:tc>
          <w:tcPr>
            <w:tcW w:type="dxa" w:w="5064"/>
          </w:tcPr>
          <w:p>
            <w:pPr>
              <w:spacing w:after="0"/>
            </w:pPr>
            <w:r>
              <w:rPr>
                <w:sz w:val="18"/>
              </w:rPr>
              <w:t>2% set up within 60 days</w:t>
            </w:r>
          </w:p>
        </w:tc>
      </w:tr>
      <w:tr>
        <w:tc>
          <w:tcPr>
            <w:tcW w:type="dxa" w:w="2279"/>
          </w:tcPr>
          <w:p>
            <w:pPr>
              <w:spacing w:after="0"/>
            </w:pPr>
            <w:r>
              <w:rPr>
                <w:sz w:val="18"/>
              </w:rPr>
              <w:t>Savers by month 36 (base)</w:t>
            </w:r>
          </w:p>
        </w:tc>
        <w:tc>
          <w:tcPr>
            <w:tcW w:type="dxa" w:w="4558"/>
          </w:tcPr>
          <w:p>
            <w:pPr>
              <w:spacing w:after="0"/>
            </w:pPr>
            <w:r>
              <w:rPr>
                <w:sz w:val="18"/>
              </w:rPr>
              <w:t>6,836</w:t>
            </w:r>
          </w:p>
        </w:tc>
        <w:tc>
          <w:tcPr>
            <w:tcW w:type="dxa" w:w="3123"/>
          </w:tcPr>
          <w:p>
            <w:pPr>
              <w:spacing w:after="0"/>
            </w:pPr>
            <w:r>
              <w:rPr>
                <w:sz w:val="18"/>
              </w:rPr>
              <w:t>3,430</w:t>
            </w:r>
          </w:p>
        </w:tc>
        <w:tc>
          <w:tcPr>
            <w:tcW w:type="dxa" w:w="5064"/>
          </w:tcPr>
          <w:p>
            <w:pPr>
              <w:spacing w:after="0"/>
            </w:pPr>
            <w:r>
              <w:rPr>
                <w:sz w:val="18"/>
              </w:rPr>
              <w:t>18,708</w:t>
            </w:r>
          </w:p>
        </w:tc>
      </w:tr>
    </w:tbl>
    <w:p/>
    <w:p>
      <w:pPr>
        <w:pStyle w:val="SourceLine"/>
      </w:pPr>
      <w:r>
        <w:t xml:space="preserve">CSV: </w:t>
      </w:r>
      <w:r>
        <w:rPr>
          <w:rFonts w:ascii="Consolas" w:hAnsi="Consolas"/>
          <w:color w:val="6B6B6B"/>
          <w:sz w:val="18"/>
        </w:rPr>
        <w:t>outputs/round3/tables/slide06_personas.csv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DNSE Securities (2026c); VnExpress (2026a); authors' cohort model.</w:t>
      </w:r>
    </w:p>
    <w:p>
      <w:r>
        <w:rPr>
          <w:rStyle w:val="FieldLabel"/>
        </w:rPr>
        <w:t>Figure:</w:t>
      </w:r>
      <w:r>
        <w:t xml:space="preserve"> </w:t>
      </w:r>
      <w:r>
        <w:rPr>
          <w:rFonts w:ascii="Consolas" w:hAnsi="Consolas"/>
          <w:color w:val="6B6B6B"/>
          <w:sz w:val="18"/>
        </w:rPr>
        <w:t>outputs/round3/figures/sizing_funnel.png</w:t>
      </w:r>
      <w:r>
        <w:t>.</w:t>
      </w:r>
    </w:p>
    <w:p>
      <w:r>
        <w:drawing>
          <wp:inline xmlns:a="http://schemas.openxmlformats.org/drawingml/2006/main" xmlns:pic="http://schemas.openxmlformats.org/drawingml/2006/picture">
            <wp:extent cx="4680000" cy="3510000"/>
            <wp:docPr id="4" name="Picture 4"/>
            <wp:cNvGraphicFramePr>
              <a:graphicFrameLocks noChangeAspect="1"/>
            </wp:cNvGraphicFramePr>
            <a:graphic>
              <a:graphicData uri="http://schemas.openxmlformats.org/drawingml/2006/picture">
                <pic:pic>
                  <pic:nvPicPr>
                    <pic:cNvPr id="0" name="sizing_funnel.png"/>
                    <pic:cNvPicPr/>
                  </pic:nvPicPr>
                  <pic:blipFill>
                    <a:blip r:embed="rId12"/>
                    <a:stretch>
                      <a:fillRect/>
                    </a:stretch>
                  </pic:blipFill>
                  <pic:spPr>
                    <a:xfrm>
                      <a:off x="0" y="0"/>
                      <a:ext cx="4680000" cy="3510000"/>
                    </a:xfrm>
                    <a:prstGeom prst="rect"/>
                  </pic:spPr>
                </pic:pic>
              </a:graphicData>
            </a:graphic>
          </wp:inline>
        </w:drawing>
      </w:r>
    </w:p>
    <w:p>
      <w:pPr>
        <w:pStyle w:val="SourceLine"/>
      </w:pPr>
      <w:r>
        <w:t>Caption: Left, from DNSE's 1.51 million accounts to dormant savers by month 36. Right, all 31,133 savers by month 36, by channel (base case).</w:t>
      </w:r>
    </w:p>
    <w:p>
      <w:pPr>
        <w:pStyle w:val="SourceLine"/>
      </w:pPr>
      <w:r>
        <w:t>Source: DNSE Securities (2026c); authors' cohort model (assumptions labelled).</w:t>
      </w:r>
    </w:p>
    <w:p>
      <w:pPr>
        <w:pStyle w:val="SourceLine"/>
      </w:pPr>
      <w:r>
        <w:t xml:space="preserve">Data: </w:t>
      </w:r>
      <w:r>
        <w:rPr>
          <w:rFonts w:ascii="Consolas" w:hAnsi="Consolas"/>
          <w:color w:val="6B6B6B"/>
          <w:sz w:val="18"/>
        </w:rPr>
        <w:t>outputs/round3/tables/sizing_funnel.csv</w:t>
      </w:r>
      <w:r>
        <w:t xml:space="preserve">, </w:t>
      </w:r>
      <w:r>
        <w:rPr>
          <w:rFonts w:ascii="Consolas" w:hAnsi="Consolas"/>
          <w:color w:val="6B6B6B"/>
          <w:sz w:val="18"/>
        </w:rPr>
        <w:t>savers_by_channel.csv</w:t>
      </w:r>
      <w:r>
        <w:t>.</w:t>
      </w:r>
    </w:p>
    <w:p>
      <w:r>
        <w:rPr>
          <w:rStyle w:val="FieldLabel"/>
        </w:rPr>
        <w:t>Designer notes (tiếng Việt):</w:t>
      </w:r>
    </w:p>
    <w:p>
      <w:pPr>
        <w:pStyle w:val="DesignerNote"/>
      </w:pPr>
      <w:r>
        <w:t>Trái: hình funnel và thanh saver theo kênh (nửa slide). Phải: bảng persona (P1 viền RED vì là khách ra mắt).</w:t>
      </w:r>
    </w:p>
    <w:p>
      <w:pPr>
        <w:pStyle w:val="DesignerNote"/>
      </w:pPr>
      <w:r>
        <w:t>Mỗi persona ghi rõ "assumption" ở dòng thông số mô hình. Không thêm ảnh người, tên hay tuổi cụ thể: persona dựng từ data, không bịa đời tư.</w:t>
      </w:r>
    </w:p>
    <w:p>
      <w:pPr>
        <w:pStyle w:val="DesignerNote"/>
      </w:pPr>
      <w:r>
        <w:t>Phần account opening (60%) đã tô RED trong hình để khớp với ý thứ hai.</w:t>
      </w:r>
    </w:p>
    <w:p>
      <w:r>
        <w:rPr>
          <w:rStyle w:val="FieldLabel"/>
        </w:rPr>
        <w:t>Speaker notes:</w:t>
      </w:r>
    </w:p>
    <w:p>
      <w:pPr>
        <w:pStyle w:val="SpeakerNote"/>
      </w:pPr>
      <w:r>
        <w:t>Who is it for? We launch with salaried holders of dormant accounts: 1.43 million DNSE accounts used no product in December 2025, and nearly half of working adults in Vietnam are paid into an account. We assume a quarter of dormant accounts are salaried and reachable, and that two per cent of those contacted enrol; the pilot will measure both. Active traders are a second group: they want a long-term core next to trading. The third group matters most for scale. About 31,000 accounts are opened each month, and a plan step at opening brings in 60 per cent of all savers by month 36. Employers come later and pay back only if at least 39 per cent of staff join.</w:t>
      </w:r>
    </w:p>
    <w:p>
      <w:pPr>
        <w:pStyle w:val="SourceLine"/>
      </w:pPr>
      <w:r>
        <w:rPr>
          <w:rStyle w:val="FieldLabel"/>
        </w:rPr>
        <w:t>Sources:</w:t>
      </w:r>
      <w:r>
        <w:t xml:space="preserve"> </w:t>
      </w:r>
      <w:r>
        <w:t>DNSE Securities (2026c); World Bank (2025); VnExpress (2026a); authors' cohort model.</w:t>
      </w:r>
    </w:p>
    <w:p>
      <w:r>
        <w:br w:type="page"/>
      </w:r>
    </w:p>
    <w:p>
      <w:pPr>
        <w:pStyle w:val="Heading2"/>
      </w:pPr>
      <w:r>
        <w:t>Slide 7: The solution</w:t>
      </w:r>
    </w:p>
    <w:p>
      <w:r>
        <w:rPr>
          <w:rStyle w:val="FieldLabel"/>
        </w:rPr>
        <w:t>Action title:</w:t>
      </w:r>
      <w:r>
        <w:t xml:space="preserve"> </w:t>
      </w:r>
      <w:r>
        <w:t>A goal-based monthly plan from VND 500,000 that the customer always controls</w:t>
      </w:r>
    </w:p>
    <w:p>
      <w:r>
        <w:rPr>
          <w:rStyle w:val="FieldLabel"/>
        </w:rPr>
        <w:t>On-slide text:</w:t>
      </w:r>
    </w:p>
    <w:p>
      <w:pPr>
        <w:pStyle w:val="ListBullet"/>
      </w:pPr>
      <w:r>
        <w:t>Customer: one plan per goal; cash waits in the Never-Sleeping Account (Tài khoản Không Ngủ); withdraw free in one tap.</w:t>
      </w:r>
    </w:p>
    <w:p>
      <w:pPr>
        <w:pStyle w:val="ListBullet"/>
      </w:pPr>
      <w:r>
        <w:t>DNSE: funded accounts, on payment rails that also tackle deposit-crediting failures.</w:t>
      </w:r>
    </w:p>
    <w:p>
      <w:pPr>
        <w:pStyle w:val="ListBullet"/>
      </w:pPr>
      <w:r>
        <w:t>No platform fee; fund fees of 0.8–1.95% a year sit inside fund prices.</w:t>
      </w:r>
    </w:p>
    <w:p>
      <w:pPr>
        <w:pStyle w:val="ListBullet"/>
      </w:pPr>
      <w:r>
        <w:t>Excluded: margin, single stocks, derivatives, DNSE's own bonds, sign-up cash.</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4462"/>
            <w:shd w:val="clear" w:color="auto" w:fill="F3F3F3"/>
          </w:tcPr>
          <w:p>
            <w:pPr>
              <w:spacing w:after="0"/>
            </w:pPr>
            <w:r>
              <w:rPr>
                <w:b/>
                <w:sz w:val="18"/>
              </w:rPr>
              <w:t>Goal horizon</w:t>
            </w:r>
          </w:p>
        </w:tc>
        <w:tc>
          <w:tcPr>
            <w:tcW w:type="dxa" w:w="5206"/>
            <w:shd w:val="clear" w:color="auto" w:fill="F3F3F3"/>
          </w:tcPr>
          <w:p>
            <w:pPr>
              <w:spacing w:after="0"/>
            </w:pPr>
            <w:r>
              <w:rPr>
                <w:b/>
                <w:sz w:val="18"/>
              </w:rPr>
              <w:t>Golden Egg (Trứng Vàng), bank bonds</w:t>
            </w:r>
          </w:p>
        </w:tc>
        <w:tc>
          <w:tcPr>
            <w:tcW w:type="dxa" w:w="1785"/>
            <w:shd w:val="clear" w:color="auto" w:fill="F3F3F3"/>
          </w:tcPr>
          <w:p>
            <w:pPr>
              <w:spacing w:after="0"/>
            </w:pPr>
            <w:r>
              <w:rPr>
                <w:b/>
                <w:sz w:val="18"/>
              </w:rPr>
              <w:t>Bond funds</w:t>
            </w:r>
          </w:p>
        </w:tc>
        <w:tc>
          <w:tcPr>
            <w:tcW w:type="dxa" w:w="1785"/>
            <w:shd w:val="clear" w:color="auto" w:fill="F3F3F3"/>
          </w:tcPr>
          <w:p>
            <w:pPr>
              <w:spacing w:after="0"/>
            </w:pPr>
            <w:r>
              <w:rPr>
                <w:b/>
                <w:sz w:val="18"/>
              </w:rPr>
              <w:t>Equity funds</w:t>
            </w:r>
          </w:p>
        </w:tc>
        <w:tc>
          <w:tcPr>
            <w:tcW w:type="dxa" w:w="1785"/>
            <w:shd w:val="clear" w:color="auto" w:fill="F3F3F3"/>
          </w:tcPr>
          <w:p>
            <w:pPr>
              <w:spacing w:after="0"/>
            </w:pPr>
            <w:r>
              <w:rPr>
                <w:b/>
                <w:sz w:val="18"/>
              </w:rPr>
              <w:t>VN30 ETF</w:t>
            </w:r>
          </w:p>
        </w:tc>
      </w:tr>
      <w:tr>
        <w:tc>
          <w:tcPr>
            <w:tcW w:type="dxa" w:w="4462"/>
          </w:tcPr>
          <w:p>
            <w:pPr>
              <w:spacing w:after="0"/>
            </w:pPr>
            <w:r>
              <w:rPr>
                <w:sz w:val="18"/>
              </w:rPr>
              <w:t>Under 1 year</w:t>
            </w:r>
          </w:p>
        </w:tc>
        <w:tc>
          <w:tcPr>
            <w:tcW w:type="dxa" w:w="5206"/>
          </w:tcPr>
          <w:p>
            <w:pPr>
              <w:spacing w:after="0"/>
            </w:pPr>
            <w:r>
              <w:rPr>
                <w:sz w:val="18"/>
              </w:rPr>
              <w:t>100%</w:t>
            </w:r>
          </w:p>
        </w:tc>
        <w:tc>
          <w:tcPr>
            <w:tcW w:type="dxa" w:w="1785"/>
          </w:tcPr>
          <w:p>
            <w:pPr>
              <w:spacing w:after="0"/>
            </w:pPr>
            <w:r>
              <w:rPr>
                <w:sz w:val="18"/>
              </w:rPr>
              <w:t>–</w:t>
            </w:r>
          </w:p>
        </w:tc>
        <w:tc>
          <w:tcPr>
            <w:tcW w:type="dxa" w:w="1785"/>
          </w:tcPr>
          <w:p>
            <w:pPr>
              <w:spacing w:after="0"/>
            </w:pPr>
            <w:r>
              <w:rPr>
                <w:sz w:val="18"/>
              </w:rPr>
              <w:t>–</w:t>
            </w:r>
          </w:p>
        </w:tc>
        <w:tc>
          <w:tcPr>
            <w:tcW w:type="dxa" w:w="1785"/>
          </w:tcPr>
          <w:p>
            <w:pPr>
              <w:spacing w:after="0"/>
            </w:pPr>
            <w:r>
              <w:rPr>
                <w:sz w:val="18"/>
              </w:rPr>
              <w:t>–</w:t>
            </w:r>
          </w:p>
        </w:tc>
      </w:tr>
      <w:tr>
        <w:tc>
          <w:tcPr>
            <w:tcW w:type="dxa" w:w="4462"/>
          </w:tcPr>
          <w:p>
            <w:pPr>
              <w:spacing w:after="0"/>
            </w:pPr>
            <w:r>
              <w:rPr>
                <w:sz w:val="18"/>
              </w:rPr>
              <w:t>1 to 3 years</w:t>
            </w:r>
          </w:p>
        </w:tc>
        <w:tc>
          <w:tcPr>
            <w:tcW w:type="dxa" w:w="5206"/>
          </w:tcPr>
          <w:p>
            <w:pPr>
              <w:spacing w:after="0"/>
            </w:pPr>
            <w:r>
              <w:rPr>
                <w:sz w:val="18"/>
              </w:rPr>
              <w:t>50%</w:t>
            </w:r>
          </w:p>
        </w:tc>
        <w:tc>
          <w:tcPr>
            <w:tcW w:type="dxa" w:w="1785"/>
          </w:tcPr>
          <w:p>
            <w:pPr>
              <w:spacing w:after="0"/>
            </w:pPr>
            <w:r>
              <w:rPr>
                <w:sz w:val="18"/>
              </w:rPr>
              <w:t>50%</w:t>
            </w:r>
          </w:p>
        </w:tc>
        <w:tc>
          <w:tcPr>
            <w:tcW w:type="dxa" w:w="1785"/>
          </w:tcPr>
          <w:p>
            <w:pPr>
              <w:spacing w:after="0"/>
            </w:pPr>
            <w:r>
              <w:rPr>
                <w:sz w:val="18"/>
              </w:rPr>
              <w:t>–</w:t>
            </w:r>
          </w:p>
        </w:tc>
        <w:tc>
          <w:tcPr>
            <w:tcW w:type="dxa" w:w="1785"/>
          </w:tcPr>
          <w:p>
            <w:pPr>
              <w:spacing w:after="0"/>
            </w:pPr>
            <w:r>
              <w:rPr>
                <w:sz w:val="18"/>
              </w:rPr>
              <w:t>–</w:t>
            </w:r>
          </w:p>
        </w:tc>
      </w:tr>
      <w:tr>
        <w:tc>
          <w:tcPr>
            <w:tcW w:type="dxa" w:w="4462"/>
          </w:tcPr>
          <w:p>
            <w:pPr>
              <w:spacing w:after="0"/>
            </w:pPr>
            <w:r>
              <w:rPr>
                <w:sz w:val="18"/>
              </w:rPr>
              <w:t>3 years or more</w:t>
            </w:r>
          </w:p>
        </w:tc>
        <w:tc>
          <w:tcPr>
            <w:tcW w:type="dxa" w:w="5206"/>
          </w:tcPr>
          <w:p>
            <w:pPr>
              <w:spacing w:after="0"/>
            </w:pPr>
            <w:r>
              <w:rPr>
                <w:sz w:val="18"/>
              </w:rPr>
              <w:t>30%</w:t>
            </w:r>
          </w:p>
        </w:tc>
        <w:tc>
          <w:tcPr>
            <w:tcW w:type="dxa" w:w="1785"/>
          </w:tcPr>
          <w:p>
            <w:pPr>
              <w:spacing w:after="0"/>
            </w:pPr>
            <w:r>
              <w:rPr>
                <w:sz w:val="18"/>
              </w:rPr>
              <w:t>30%</w:t>
            </w:r>
          </w:p>
        </w:tc>
        <w:tc>
          <w:tcPr>
            <w:tcW w:type="dxa" w:w="1785"/>
          </w:tcPr>
          <w:p>
            <w:pPr>
              <w:spacing w:after="0"/>
            </w:pPr>
            <w:r>
              <w:rPr>
                <w:sz w:val="18"/>
              </w:rPr>
              <w:t>20%</w:t>
            </w:r>
          </w:p>
        </w:tc>
        <w:tc>
          <w:tcPr>
            <w:tcW w:type="dxa" w:w="1785"/>
          </w:tcPr>
          <w:p>
            <w:pPr>
              <w:spacing w:after="0"/>
            </w:pPr>
            <w:r>
              <w:rPr>
                <w:sz w:val="18"/>
              </w:rPr>
              <w:t>20%</w:t>
            </w:r>
          </w:p>
        </w:tc>
      </w:tr>
      <w:tr>
        <w:tc>
          <w:tcPr>
            <w:tcW w:type="dxa" w:w="4462"/>
          </w:tcPr>
          <w:p>
            <w:pPr>
              <w:spacing w:after="0"/>
            </w:pPr>
            <w:r>
              <w:rPr>
                <w:sz w:val="18"/>
              </w:rPr>
              <w:t>Last 12 months before the goal</w:t>
            </w:r>
          </w:p>
        </w:tc>
        <w:tc>
          <w:tcPr>
            <w:tcW w:type="dxa" w:w="5206"/>
          </w:tcPr>
          <w:p>
            <w:pPr>
              <w:spacing w:after="0"/>
            </w:pPr>
            <w:r>
              <w:rPr>
                <w:sz w:val="18"/>
              </w:rPr>
              <w:t>New money only, into Golden Egg</w:t>
            </w:r>
          </w:p>
        </w:tc>
        <w:tc>
          <w:tcPr>
            <w:tcW w:type="dxa" w:w="1785"/>
          </w:tcPr>
          <w:p>
            <w:pPr>
              <w:spacing w:after="0"/>
            </w:pPr>
            <w:r>
              <w:rPr>
                <w:sz w:val="18"/>
              </w:rPr>
              <w:t>Nothing sold</w:t>
            </w:r>
          </w:p>
        </w:tc>
        <w:tc>
          <w:tcPr>
            <w:tcW w:type="dxa" w:w="1785"/>
          </w:tcPr>
          <w:p>
            <w:pPr>
              <w:spacing w:after="0"/>
            </w:pPr>
            <w:r>
              <w:rPr>
                <w:sz w:val="18"/>
              </w:rPr>
              <w:t>Nothing sold</w:t>
            </w:r>
          </w:p>
        </w:tc>
        <w:tc>
          <w:tcPr>
            <w:tcW w:type="dxa" w:w="1785"/>
          </w:tcPr>
          <w:p>
            <w:pPr>
              <w:spacing w:after="0"/>
            </w:pPr>
            <w:r>
              <w:rPr>
                <w:sz w:val="18"/>
              </w:rPr>
              <w:t>Nothing sold</w:t>
            </w:r>
          </w:p>
        </w:tc>
      </w:tr>
    </w:tbl>
    <w:p/>
    <w:p>
      <w:pPr>
        <w:pStyle w:val="SourceLine"/>
      </w:pPr>
      <w:r>
        <w:t xml:space="preserve">CSV: </w:t>
      </w:r>
      <w:r>
        <w:rPr>
          <w:rFonts w:ascii="Consolas" w:hAnsi="Consolas"/>
          <w:color w:val="6B6B6B"/>
          <w:sz w:val="18"/>
        </w:rPr>
        <w:t>outputs/round3/tables/slide07_glide_path.csv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design; fund fees from SSI Asset Management (2026), VCBF (2026) and fund prospectuses.</w:t>
      </w:r>
    </w:p>
    <w:p>
      <w:r>
        <w:rPr>
          <w:rStyle w:val="FieldLabel"/>
        </w:rPr>
        <w:t>Figure:</w:t>
      </w:r>
      <w:r>
        <w:t xml:space="preserve"> </w:t>
      </w:r>
      <w:r>
        <w:rPr>
          <w:rFonts w:ascii="Consolas" w:hAnsi="Consolas"/>
          <w:color w:val="6B6B6B"/>
          <w:sz w:val="18"/>
        </w:rPr>
        <w:t>outputs/round3/figures/solution_overview.png</w:t>
      </w:r>
      <w:r>
        <w:t>.</w:t>
      </w:r>
    </w:p>
    <w:p>
      <w:r>
        <w:drawing>
          <wp:inline xmlns:a="http://schemas.openxmlformats.org/drawingml/2006/main" xmlns:pic="http://schemas.openxmlformats.org/drawingml/2006/picture">
            <wp:extent cx="9000000" cy="2775000"/>
            <wp:docPr id="5" name="Picture 5"/>
            <wp:cNvGraphicFramePr>
              <a:graphicFrameLocks noChangeAspect="1"/>
            </wp:cNvGraphicFramePr>
            <a:graphic>
              <a:graphicData uri="http://schemas.openxmlformats.org/drawingml/2006/picture">
                <pic:pic>
                  <pic:nvPicPr>
                    <pic:cNvPr id="0" name="solution_overview.png"/>
                    <pic:cNvPicPr/>
                  </pic:nvPicPr>
                  <pic:blipFill>
                    <a:blip r:embed="rId13"/>
                    <a:stretch>
                      <a:fillRect/>
                    </a:stretch>
                  </pic:blipFill>
                  <pic:spPr>
                    <a:xfrm>
                      <a:off x="0" y="0"/>
                      <a:ext cx="9000000" cy="2775000"/>
                    </a:xfrm>
                    <a:prstGeom prst="rect"/>
                  </pic:spPr>
                </pic:pic>
              </a:graphicData>
            </a:graphic>
          </wp:inline>
        </w:drawing>
      </w:r>
    </w:p>
    <w:p>
      <w:pPr>
        <w:pStyle w:val="SourceLine"/>
      </w:pPr>
      <w:r>
        <w:t>Caption: How Payday works: advise, fund on payday, hold briefly, invest new money; with the persistence package and the trust controls.</w:t>
      </w:r>
    </w:p>
    <w:p>
      <w:pPr>
        <w:pStyle w:val="SourceLine"/>
      </w:pPr>
      <w:r>
        <w:t>Source: authors' design (redraws Round 2 Figure 7 without cash tiers).</w:t>
      </w:r>
    </w:p>
    <w:p>
      <w:pPr>
        <w:pStyle w:val="SourceLine"/>
      </w:pPr>
      <w:r>
        <w:t xml:space="preserve">Data: </w:t>
      </w:r>
      <w:r>
        <w:rPr>
          <w:rFonts w:ascii="Consolas" w:hAnsi="Consolas"/>
          <w:color w:val="6B6B6B"/>
          <w:sz w:val="18"/>
        </w:rPr>
        <w:t>data/round3/solution_overview.json</w:t>
      </w:r>
      <w:r>
        <w:t>.</w:t>
      </w:r>
    </w:p>
    <w:p>
      <w:r>
        <w:rPr>
          <w:rStyle w:val="FieldLabel"/>
        </w:rPr>
        <w:t>Designer notes (tiếng Việt):</w:t>
      </w:r>
    </w:p>
    <w:p>
      <w:pPr>
        <w:pStyle w:val="DesignerNote"/>
      </w:pPr>
      <w:r>
        <w:t>Nửa trên: sơ đồ 4 bước. Nửa dưới trái: bảng glide path. Nửa dưới phải: 4 ý chữ.</w:t>
      </w:r>
    </w:p>
    <w:p>
      <w:pPr>
        <w:pStyle w:val="DesignerNote"/>
      </w:pPr>
      <w:r>
        <w:t>Dòng "Excluded" có biểu tượng gạch chéo, màu xám đậm, để Board thấy rõ những gì cố ý loại.</w:t>
      </w:r>
    </w:p>
    <w:p>
      <w:pPr>
        <w:pStyle w:val="DesignerNote"/>
      </w:pPr>
      <w:r>
        <w:t>Lần đầu xuất hiện thuật ngữ tiếng Việt phải có bản dịch: "Trứng Vàng (Golden Egg)", "Tài khoản Không Ngủ (Never-Sleeping Account)".</w:t>
      </w:r>
    </w:p>
    <w:p>
      <w:r>
        <w:rPr>
          <w:rStyle w:val="FieldLabel"/>
        </w:rPr>
        <w:t>Speaker notes:</w:t>
      </w:r>
    </w:p>
    <w:p>
      <w:pPr>
        <w:pStyle w:val="SpeakerNote"/>
      </w:pPr>
      <w:r>
        <w:t>The product in one line: a goal-based monthly plan from 500,000 dong that the customer controls. The customer sets a goal, answers three suitability questions and confirms a plan signed by a licensed adviser. The salary bank sends a standing order to a virtual account in the customer's name. Cash waits in the Never-Sleeping Account and is invested, usually the next business day, into the most underweight asset. The mix follows the goal horizon: short goals stay in bank bonds through Golden Egg; long goals add funds and a VN30 ETF, with equities capped at 40 per cent. There is no platform fee. We deliberately leave out margin, single stocks, derivatives, DNSE's own bonds and sign-up cash.</w:t>
      </w:r>
    </w:p>
    <w:p>
      <w:pPr>
        <w:pStyle w:val="SourceLine"/>
      </w:pPr>
      <w:r>
        <w:rPr>
          <w:rStyle w:val="FieldLabel"/>
        </w:rPr>
        <w:t>Sources:</w:t>
      </w:r>
      <w:r>
        <w:t xml:space="preserve"> </w:t>
      </w:r>
      <w:r>
        <w:t>DNSE Securities (n.d.-b); SSI Asset Management (2026); VCBF (2026); Ministry of Finance (2020); Karlan et al. (2016).</w:t>
      </w:r>
    </w:p>
    <w:p>
      <w:r>
        <w:br w:type="page"/>
      </w:r>
    </w:p>
    <w:p>
      <w:pPr>
        <w:pStyle w:val="Heading2"/>
      </w:pPr>
      <w:r>
        <w:t>Slide 8: Customer journey</w:t>
      </w:r>
    </w:p>
    <w:p>
      <w:r>
        <w:rPr>
          <w:rStyle w:val="FieldLabel"/>
        </w:rPr>
        <w:t>Action title:</w:t>
      </w:r>
      <w:r>
        <w:t xml:space="preserve"> </w:t>
      </w:r>
      <w:r>
        <w:t>Six screens take a saver from a goal to the 90-day milestone</w:t>
      </w:r>
    </w:p>
    <w:p>
      <w:r>
        <w:rPr>
          <w:rStyle w:val="FieldLabel"/>
        </w:rPr>
        <w:t>On-slide text:</w:t>
      </w:r>
    </w:p>
    <w:p>
      <w:pPr>
        <w:pStyle w:val="ListBullet"/>
      </w:pPr>
      <w:r>
        <w:t>Each screen answers the question the customer has at that step.</w:t>
      </w:r>
    </w:p>
    <w:p>
      <w:pPr>
        <w:pStyle w:val="ListBullet"/>
      </w:pPr>
      <w:r>
        <w:t>Failure screens are designed in advance: transfer late, salary late, skip a month, withdraw (Appendix G).</w:t>
      </w:r>
    </w:p>
    <w:p>
      <w:r>
        <w:rPr>
          <w:rStyle w:val="FieldLabel"/>
        </w:rPr>
        <w:t>Figure:</w:t>
      </w:r>
      <w:r>
        <w:t xml:space="preserve"> </w:t>
      </w:r>
      <w:r>
        <w:rPr>
          <w:rFonts w:ascii="Consolas" w:hAnsi="Consolas"/>
          <w:color w:val="6B6B6B"/>
          <w:sz w:val="18"/>
        </w:rPr>
        <w:t>outputs/round3/figures/wireframes_journey.png</w:t>
      </w:r>
      <w:r>
        <w:t>.</w:t>
      </w:r>
    </w:p>
    <w:p>
      <w:r>
        <w:drawing>
          <wp:inline xmlns:a="http://schemas.openxmlformats.org/drawingml/2006/main" xmlns:pic="http://schemas.openxmlformats.org/drawingml/2006/picture">
            <wp:extent cx="7920000" cy="3630000"/>
            <wp:docPr id="6" name="Picture 6"/>
            <wp:cNvGraphicFramePr>
              <a:graphicFrameLocks noChangeAspect="1"/>
            </wp:cNvGraphicFramePr>
            <a:graphic>
              <a:graphicData uri="http://schemas.openxmlformats.org/drawingml/2006/picture">
                <pic:pic>
                  <pic:nvPicPr>
                    <pic:cNvPr id="0" name="wireframes_journey.png"/>
                    <pic:cNvPicPr/>
                  </pic:nvPicPr>
                  <pic:blipFill>
                    <a:blip r:embed="rId14"/>
                    <a:stretch>
                      <a:fillRect/>
                    </a:stretch>
                  </pic:blipFill>
                  <pic:spPr>
                    <a:xfrm>
                      <a:off x="0" y="0"/>
                      <a:ext cx="7920000" cy="3630000"/>
                    </a:xfrm>
                    <a:prstGeom prst="rect"/>
                  </pic:spPr>
                </pic:pic>
              </a:graphicData>
            </a:graphic>
          </wp:inline>
        </w:drawing>
      </w:r>
    </w:p>
    <w:p>
      <w:pPr>
        <w:pStyle w:val="SourceLine"/>
      </w:pPr>
      <w:r>
        <w:t>Caption: Low-fidelity wireframes of the six main screens; values in brackets are filled in by the live app.</w:t>
      </w:r>
    </w:p>
    <w:p>
      <w:pPr>
        <w:pStyle w:val="SourceLine"/>
      </w:pPr>
      <w:r>
        <w:t>Source: authors' design.</w:t>
      </w:r>
    </w:p>
    <w:p>
      <w:r>
        <w:rPr>
          <w:rStyle w:val="FieldLabel"/>
        </w:rPr>
        <w:t>Table:</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1747"/>
            <w:shd w:val="clear" w:color="auto" w:fill="F3F3F3"/>
          </w:tcPr>
          <w:p>
            <w:pPr>
              <w:spacing w:after="0"/>
            </w:pPr>
            <w:r>
              <w:rPr>
                <w:b/>
                <w:sz w:val="18"/>
              </w:rPr>
              <w:t>Moment of truth</w:t>
            </w:r>
          </w:p>
        </w:tc>
        <w:tc>
          <w:tcPr>
            <w:tcW w:type="dxa" w:w="6988"/>
            <w:shd w:val="clear" w:color="auto" w:fill="F3F3F3"/>
          </w:tcPr>
          <w:p>
            <w:pPr>
              <w:spacing w:after="0"/>
            </w:pPr>
            <w:r>
              <w:rPr>
                <w:b/>
                <w:sz w:val="18"/>
              </w:rPr>
              <w:t>What the customer sees</w:t>
            </w:r>
          </w:p>
        </w:tc>
        <w:tc>
          <w:tcPr>
            <w:tcW w:type="dxa" w:w="6289"/>
            <w:shd w:val="clear" w:color="auto" w:fill="F3F3F3"/>
          </w:tcPr>
          <w:p>
            <w:pPr>
              <w:spacing w:after="0"/>
            </w:pPr>
            <w:r>
              <w:rPr>
                <w:b/>
                <w:sz w:val="18"/>
              </w:rPr>
              <w:t>Measure we publish</w:t>
            </w:r>
          </w:p>
        </w:tc>
      </w:tr>
      <w:tr>
        <w:tc>
          <w:tcPr>
            <w:tcW w:type="dxa" w:w="1747"/>
          </w:tcPr>
          <w:p>
            <w:pPr>
              <w:spacing w:after="0"/>
            </w:pPr>
            <w:r>
              <w:rPr>
                <w:sz w:val="18"/>
              </w:rPr>
              <w:t>First money in</w:t>
            </w:r>
          </w:p>
        </w:tc>
        <w:tc>
          <w:tcPr>
            <w:tcW w:type="dxa" w:w="6988"/>
          </w:tcPr>
          <w:p>
            <w:pPr>
              <w:spacing w:after="0"/>
            </w:pPr>
            <w:r>
              <w:rPr>
                <w:sz w:val="18"/>
              </w:rPr>
              <w:t>"Received" within minutes; invested the next business day</w:t>
            </w:r>
          </w:p>
        </w:tc>
        <w:tc>
          <w:tcPr>
            <w:tcW w:type="dxa" w:w="6289"/>
          </w:tcPr>
          <w:p>
            <w:pPr>
              <w:spacing w:after="0"/>
            </w:pPr>
            <w:r>
              <w:rPr>
                <w:sz w:val="18"/>
              </w:rPr>
              <w:t>Contributions credited on the same banking day: ≥99.5%</w:t>
            </w:r>
          </w:p>
        </w:tc>
      </w:tr>
      <w:tr>
        <w:tc>
          <w:tcPr>
            <w:tcW w:type="dxa" w:w="1747"/>
          </w:tcPr>
          <w:p>
            <w:pPr>
              <w:spacing w:after="0"/>
            </w:pPr>
            <w:r>
              <w:rPr>
                <w:sz w:val="18"/>
              </w:rPr>
              <w:t>First money out</w:t>
            </w:r>
          </w:p>
        </w:tc>
        <w:tc>
          <w:tcPr>
            <w:tcW w:type="dxa" w:w="6988"/>
          </w:tcPr>
          <w:p>
            <w:pPr>
              <w:spacing w:after="0"/>
            </w:pPr>
            <w:r>
              <w:rPr>
                <w:sz w:val="18"/>
              </w:rPr>
              <w:t>Arrival time and cost in VND before confirming; free to the linked bank</w:t>
            </w:r>
          </w:p>
        </w:tc>
        <w:tc>
          <w:tcPr>
            <w:tcW w:type="dxa" w:w="6289"/>
          </w:tcPr>
          <w:p>
            <w:pPr>
              <w:spacing w:after="0"/>
            </w:pPr>
            <w:r>
              <w:rPr>
                <w:sz w:val="18"/>
              </w:rPr>
              <w:t>Median time from request to the bank</w:t>
            </w:r>
          </w:p>
        </w:tc>
      </w:tr>
      <w:tr>
        <w:tc>
          <w:tcPr>
            <w:tcW w:type="dxa" w:w="1747"/>
          </w:tcPr>
          <w:p>
            <w:pPr>
              <w:spacing w:after="0"/>
            </w:pPr>
            <w:r>
              <w:rPr>
                <w:sz w:val="18"/>
              </w:rPr>
              <w:t>First failure</w:t>
            </w:r>
          </w:p>
        </w:tc>
        <w:tc>
          <w:tcPr>
            <w:tcW w:type="dxa" w:w="6988"/>
          </w:tcPr>
          <w:p>
            <w:pPr>
              <w:spacing w:after="0"/>
            </w:pPr>
            <w:r>
              <w:rPr>
                <w:sz w:val="18"/>
              </w:rPr>
              <w:t>Streak kept; one clear next step: send now or skip</w:t>
            </w:r>
          </w:p>
        </w:tc>
        <w:tc>
          <w:tcPr>
            <w:tcW w:type="dxa" w:w="6289"/>
          </w:tcPr>
          <w:p>
            <w:pPr>
              <w:spacing w:after="0"/>
            </w:pPr>
            <w:r>
              <w:rPr>
                <w:sz w:val="18"/>
              </w:rPr>
              <w:t>Incident note within 5 business days</w:t>
            </w:r>
          </w:p>
        </w:tc>
      </w:tr>
    </w:tbl>
    <w:p/>
    <w:p>
      <w:pPr>
        <w:pStyle w:val="SourceLine"/>
      </w:pPr>
      <w:r>
        <w:t xml:space="preserve">CSV: </w:t>
      </w:r>
      <w:r>
        <w:rPr>
          <w:rFonts w:ascii="Consolas" w:hAnsi="Consolas"/>
          <w:color w:val="6B6B6B"/>
          <w:sz w:val="18"/>
        </w:rPr>
        <w:t>outputs/round3/tables/slide08_moments_of_truth.csv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design.</w:t>
      </w:r>
    </w:p>
    <w:p>
      <w:r>
        <w:rPr>
          <w:rStyle w:val="FieldLabel"/>
        </w:rPr>
        <w:t>Designer notes (tiếng Việt):</w:t>
      </w:r>
    </w:p>
    <w:p>
      <w:pPr>
        <w:pStyle w:val="DesignerNote"/>
      </w:pPr>
      <w:r>
        <w:t>6 điện thoại xếp ngang chiếm 2/3 slide; bảng 3 dòng ở dưới.</w:t>
      </w:r>
    </w:p>
    <w:p>
      <w:pPr>
        <w:pStyle w:val="DesignerNote"/>
      </w:pPr>
      <w:r>
        <w:t xml:space="preserve">Hình hiện tại là low-fi bằng matplotlib. </w:t>
      </w:r>
      <w:r>
        <w:rPr>
          <w:b/>
        </w:rPr>
        <w:t>Thay bằng bản Figma</w:t>
      </w:r>
      <w:r>
        <w:t xml:space="preserve"> nếu team kịp vẽ; giữ nguyên chữ trong </w:t>
      </w:r>
      <w:r>
        <w:rPr>
          <w:rFonts w:ascii="Consolas" w:hAnsi="Consolas"/>
          <w:color w:val="6B6B6B"/>
          <w:sz w:val="18"/>
        </w:rPr>
        <w:t>data/round3/wireframe_copy.json</w:t>
      </w:r>
      <w:r>
        <w:t>.</w:t>
      </w:r>
    </w:p>
    <w:p>
      <w:pPr>
        <w:pStyle w:val="DesignerNote"/>
      </w:pPr>
      <w:r>
        <w:t>Đánh số 1–6 khớp với caption. Đánh dấu màn hình 5 (tiền vào lần đầu) bằng viền RED.</w:t>
      </w:r>
    </w:p>
    <w:p>
      <w:r>
        <w:rPr>
          <w:rStyle w:val="FieldLabel"/>
        </w:rPr>
        <w:t>Speaker notes:</w:t>
      </w:r>
    </w:p>
    <w:p>
      <w:pPr>
        <w:pStyle w:val="SpeakerNote"/>
      </w:pPr>
      <w:r>
        <w:t>Here is the experience on six screens. A saver picks a goal, say a home, 36 million dong by October 2029, and sees the monthly amount. A short suitability check sets the risk profile, with the legal reason shown. The plan screen shows the mix, a bad month in dong and every fee. The fourth screen gives a personal account number and opens the bank app. On payday the customer sees the money received and invested. At day 90 the streak unlocks priority access to new Golden Egg issues. Three moments decide trust: the first money in, the first money out and the first failure. We designed the failure screens in advance, so a late transfer keeps the streak and offers one clear next step.</w:t>
      </w:r>
    </w:p>
    <w:p>
      <w:pPr>
        <w:pStyle w:val="SourceLine"/>
      </w:pPr>
      <w:r>
        <w:rPr>
          <w:rStyle w:val="FieldLabel"/>
        </w:rPr>
        <w:t>Sources:</w:t>
      </w:r>
      <w:r>
        <w:t xml:space="preserve"> </w:t>
      </w:r>
      <w:r>
        <w:t>authors' design; Ministry of Finance (2020).</w:t>
      </w:r>
    </w:p>
    <w:p>
      <w:r>
        <w:br w:type="page"/>
      </w:r>
    </w:p>
    <w:p>
      <w:pPr>
        <w:pStyle w:val="Heading2"/>
      </w:pPr>
      <w:r>
        <w:t>Slide 9: Service blueprint</w:t>
      </w:r>
    </w:p>
    <w:p>
      <w:r>
        <w:rPr>
          <w:rStyle w:val="FieldLabel"/>
        </w:rPr>
        <w:t>Action title:</w:t>
      </w:r>
      <w:r>
        <w:t xml:space="preserve"> </w:t>
      </w:r>
      <w:r>
        <w:t>Every payday step has an owner and a fallback when something fails</w:t>
      </w:r>
    </w:p>
    <w:p>
      <w:r>
        <w:rPr>
          <w:rStyle w:val="FieldLabel"/>
        </w:rPr>
        <w:t>On-slide text:</w:t>
      </w:r>
    </w:p>
    <w:p>
      <w:pPr>
        <w:pStyle w:val="ListBullet"/>
      </w:pPr>
      <w:r>
        <w:t>New build: personal virtual accounts and a scheduler kept apart from the pre-trade check that failed on 4 March 2026.</w:t>
      </w:r>
    </w:p>
    <w:p>
      <w:pPr>
        <w:pStyle w:val="ListBullet"/>
      </w:pPr>
      <w:r>
        <w:t>Reused: Ensa, Golden Egg, the Never-Sleeping Account and ETF trading.</w:t>
      </w:r>
    </w:p>
    <w:p>
      <w:r>
        <w:rPr>
          <w:rStyle w:val="FieldLabel"/>
        </w:rPr>
        <w:t>Figure:</w:t>
      </w:r>
      <w:r>
        <w:t xml:space="preserve"> </w:t>
      </w:r>
      <w:r>
        <w:rPr>
          <w:rFonts w:ascii="Consolas" w:hAnsi="Consolas"/>
          <w:color w:val="6B6B6B"/>
          <w:sz w:val="18"/>
        </w:rPr>
        <w:t>outputs/round3/figures/service_blueprint.png</w:t>
      </w:r>
      <w:r>
        <w:t>.</w:t>
      </w:r>
    </w:p>
    <w:p>
      <w:r>
        <w:drawing>
          <wp:inline xmlns:a="http://schemas.openxmlformats.org/drawingml/2006/main" xmlns:pic="http://schemas.openxmlformats.org/drawingml/2006/picture">
            <wp:extent cx="7920000" cy="4456114"/>
            <wp:docPr id="7" name="Picture 7"/>
            <wp:cNvGraphicFramePr>
              <a:graphicFrameLocks noChangeAspect="1"/>
            </wp:cNvGraphicFramePr>
            <a:graphic>
              <a:graphicData uri="http://schemas.openxmlformats.org/drawingml/2006/picture">
                <pic:pic>
                  <pic:nvPicPr>
                    <pic:cNvPr id="0" name="service_blueprint.png"/>
                    <pic:cNvPicPr/>
                  </pic:nvPicPr>
                  <pic:blipFill>
                    <a:blip r:embed="rId15"/>
                    <a:stretch>
                      <a:fillRect/>
                    </a:stretch>
                  </pic:blipFill>
                  <pic:spPr>
                    <a:xfrm>
                      <a:off x="0" y="0"/>
                      <a:ext cx="7920000" cy="4456114"/>
                    </a:xfrm>
                    <a:prstGeom prst="rect"/>
                  </pic:spPr>
                </pic:pic>
              </a:graphicData>
            </a:graphic>
          </wp:inline>
        </w:drawing>
      </w:r>
    </w:p>
    <w:p>
      <w:pPr>
        <w:pStyle w:val="SourceLine"/>
      </w:pPr>
      <w:r>
        <w:t>Caption: Service blueprint of one payday cycle: customer, frontstage, backstage and support, with decision points, failure handling and owners.</w:t>
      </w:r>
    </w:p>
    <w:p>
      <w:pPr>
        <w:pStyle w:val="SourceLine"/>
      </w:pPr>
      <w:r>
        <w:t>Source: authors' design; DNSE Securities (2026e).</w:t>
      </w:r>
    </w:p>
    <w:p>
      <w:r>
        <w:rPr>
          <w:rStyle w:val="FieldLabel"/>
        </w:rPr>
        <w:t>Table:</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5265"/>
            <w:shd w:val="clear" w:color="auto" w:fill="F3F3F3"/>
          </w:tcPr>
          <w:p>
            <w:pPr>
              <w:spacing w:after="0"/>
            </w:pPr>
            <w:r>
              <w:rPr>
                <w:b/>
                <w:sz w:val="18"/>
              </w:rPr>
              <w:t>When this fails</w:t>
            </w:r>
          </w:p>
        </w:tc>
        <w:tc>
          <w:tcPr>
            <w:tcW w:type="dxa" w:w="7704"/>
            <w:shd w:val="clear" w:color="auto" w:fill="F3F3F3"/>
          </w:tcPr>
          <w:p>
            <w:pPr>
              <w:spacing w:after="0"/>
            </w:pPr>
            <w:r>
              <w:rPr>
                <w:b/>
                <w:sz w:val="18"/>
              </w:rPr>
              <w:t>What happens</w:t>
            </w:r>
          </w:p>
        </w:tc>
        <w:tc>
          <w:tcPr>
            <w:tcW w:type="dxa" w:w="2055"/>
            <w:shd w:val="clear" w:color="auto" w:fill="F3F3F3"/>
          </w:tcPr>
          <w:p>
            <w:pPr>
              <w:spacing w:after="0"/>
            </w:pPr>
            <w:r>
              <w:rPr>
                <w:b/>
                <w:sz w:val="18"/>
              </w:rPr>
              <w:t>Owner</w:t>
            </w:r>
          </w:p>
        </w:tc>
      </w:tr>
      <w:tr>
        <w:tc>
          <w:tcPr>
            <w:tcW w:type="dxa" w:w="5265"/>
          </w:tcPr>
          <w:p>
            <w:pPr>
              <w:spacing w:after="0"/>
            </w:pPr>
            <w:r>
              <w:rPr>
                <w:sz w:val="18"/>
              </w:rPr>
              <w:t>Money not in by the grace date (the 15th)</w:t>
            </w:r>
          </w:p>
        </w:tc>
        <w:tc>
          <w:tcPr>
            <w:tcW w:type="dxa" w:w="7704"/>
          </w:tcPr>
          <w:p>
            <w:pPr>
              <w:spacing w:after="0"/>
            </w:pPr>
            <w:r>
              <w:rPr>
                <w:sz w:val="18"/>
              </w:rPr>
              <w:t>Suggest skipping the month; streak kept</w:t>
            </w:r>
          </w:p>
        </w:tc>
        <w:tc>
          <w:tcPr>
            <w:tcW w:type="dxa" w:w="2055"/>
          </w:tcPr>
          <w:p>
            <w:pPr>
              <w:spacing w:after="0"/>
            </w:pPr>
            <w:r>
              <w:rPr>
                <w:sz w:val="18"/>
              </w:rPr>
              <w:t>CTO; Operations</w:t>
            </w:r>
          </w:p>
        </w:tc>
      </w:tr>
      <w:tr>
        <w:tc>
          <w:tcPr>
            <w:tcW w:type="dxa" w:w="5265"/>
          </w:tcPr>
          <w:p>
            <w:pPr>
              <w:spacing w:after="0"/>
            </w:pPr>
            <w:r>
              <w:rPr>
                <w:sz w:val="18"/>
              </w:rPr>
              <w:t>An order fails</w:t>
            </w:r>
          </w:p>
        </w:tc>
        <w:tc>
          <w:tcPr>
            <w:tcW w:type="dxa" w:w="7704"/>
          </w:tcPr>
          <w:p>
            <w:pPr>
              <w:spacing w:after="0"/>
            </w:pPr>
            <w:r>
              <w:rPr>
                <w:sz w:val="18"/>
              </w:rPr>
              <w:t>Retried next session; cash keeps earning in the Never-Sleeping Account</w:t>
            </w:r>
          </w:p>
        </w:tc>
        <w:tc>
          <w:tcPr>
            <w:tcW w:type="dxa" w:w="2055"/>
          </w:tcPr>
          <w:p>
            <w:pPr>
              <w:spacing w:after="0"/>
            </w:pPr>
            <w:r>
              <w:rPr>
                <w:sz w:val="18"/>
              </w:rPr>
              <w:t>CTO</w:t>
            </w:r>
          </w:p>
        </w:tc>
      </w:tr>
      <w:tr>
        <w:tc>
          <w:tcPr>
            <w:tcW w:type="dxa" w:w="5265"/>
          </w:tcPr>
          <w:p>
            <w:pPr>
              <w:spacing w:after="0"/>
            </w:pPr>
            <w:r>
              <w:rPr>
                <w:sz w:val="18"/>
              </w:rPr>
              <w:t>Two months missed</w:t>
            </w:r>
          </w:p>
        </w:tc>
        <w:tc>
          <w:tcPr>
            <w:tcW w:type="dxa" w:w="7704"/>
          </w:tcPr>
          <w:p>
            <w:pPr>
              <w:spacing w:after="0"/>
            </w:pPr>
            <w:r>
              <w:rPr>
                <w:sz w:val="18"/>
              </w:rPr>
              <w:t>Suggest a pause, not a cancellation</w:t>
            </w:r>
          </w:p>
        </w:tc>
        <w:tc>
          <w:tcPr>
            <w:tcW w:type="dxa" w:w="2055"/>
          </w:tcPr>
          <w:p>
            <w:pPr>
              <w:spacing w:after="0"/>
            </w:pPr>
            <w:r>
              <w:rPr>
                <w:sz w:val="18"/>
              </w:rPr>
              <w:t>Head of Product</w:t>
            </w:r>
          </w:p>
        </w:tc>
      </w:tr>
      <w:tr>
        <w:tc>
          <w:tcPr>
            <w:tcW w:type="dxa" w:w="5265"/>
          </w:tcPr>
          <w:p>
            <w:pPr>
              <w:spacing w:after="0"/>
            </w:pPr>
            <w:r>
              <w:rPr>
                <w:sz w:val="18"/>
              </w:rPr>
              <w:t>Transfer to the bank fails</w:t>
            </w:r>
          </w:p>
        </w:tc>
        <w:tc>
          <w:tcPr>
            <w:tcW w:type="dxa" w:w="7704"/>
          </w:tcPr>
          <w:p>
            <w:pPr>
              <w:spacing w:after="0"/>
            </w:pPr>
            <w:r>
              <w:rPr>
                <w:sz w:val="18"/>
              </w:rPr>
              <w:t>Money returns to plan cash; a call within 1 business day</w:t>
            </w:r>
          </w:p>
        </w:tc>
        <w:tc>
          <w:tcPr>
            <w:tcW w:type="dxa" w:w="2055"/>
          </w:tcPr>
          <w:p>
            <w:pPr>
              <w:spacing w:after="0"/>
            </w:pPr>
            <w:r>
              <w:rPr>
                <w:sz w:val="18"/>
              </w:rPr>
              <w:t>Customer Service</w:t>
            </w:r>
          </w:p>
        </w:tc>
      </w:tr>
    </w:tbl>
    <w:p/>
    <w:p>
      <w:pPr>
        <w:pStyle w:val="SourceLine"/>
      </w:pPr>
      <w:r>
        <w:t xml:space="preserve">CSV: </w:t>
      </w:r>
      <w:r>
        <w:rPr>
          <w:rFonts w:ascii="Consolas" w:hAnsi="Consolas"/>
          <w:color w:val="6B6B6B"/>
          <w:sz w:val="18"/>
        </w:rPr>
        <w:t>outputs/round3/tables/slide09_failure_handling.csv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design.</w:t>
      </w:r>
    </w:p>
    <w:p>
      <w:r>
        <w:rPr>
          <w:rStyle w:val="FieldLabel"/>
        </w:rPr>
        <w:t>Designer notes (tiếng Việt):</w:t>
      </w:r>
    </w:p>
    <w:p>
      <w:pPr>
        <w:pStyle w:val="DesignerNote"/>
      </w:pPr>
      <w:r>
        <w:t>Blueprint đầy đủ khá dày chữ (khoảng 9,6pt ở khổ toàn slide). Trên slide có thể chỉ giữ 4 làn: khách hàng, frontstage, backstage, xử lý lỗi. Bản đầy đủ đưa xuống appendix G.</w:t>
      </w:r>
    </w:p>
    <w:p>
      <w:pPr>
        <w:pStyle w:val="DesignerNote"/>
      </w:pPr>
      <w:r>
        <w:t>Ba đường (interaction, visibility, internal interaction) phải thấy rõ; nét đứt.</w:t>
      </w:r>
    </w:p>
    <w:p>
      <w:pPr>
        <w:pStyle w:val="DesignerNote"/>
      </w:pPr>
      <w:r>
        <w:t>Bảng 4 dòng đặt dưới cùng, màu chữ RED cho cột "When this fails".</w:t>
      </w:r>
    </w:p>
    <w:p>
      <w:r>
        <w:rPr>
          <w:rStyle w:val="FieldLabel"/>
        </w:rPr>
        <w:t>Speaker notes:</w:t>
      </w:r>
    </w:p>
    <w:p>
      <w:pPr>
        <w:pStyle w:val="SpeakerNote"/>
      </w:pPr>
      <w:r>
        <w:t>Behind the screens, this blueprint shows who does what. Above the line of visibility, the customer sees notices and statements. Below it, the scheduler expects each payday, the virtual account credits the customer automatically and the order engine buys funds or Golden Egg. Two decisions are automatic: whether the money arrived by the grace date, and whether there is enough for an ETF lot. Every failure has a fallback and an owner. If money is late, we wait until the fifteenth, then suggest skipping, and the streak is kept. If an order fails, it is retried next session while cash keeps earning. On 4 March 2026 DNSE's pre-trade check stopped orders for two hours, so the Payday scheduler runs apart from it.</w:t>
      </w:r>
    </w:p>
    <w:p>
      <w:pPr>
        <w:pStyle w:val="SourceLine"/>
      </w:pPr>
      <w:r>
        <w:rPr>
          <w:rStyle w:val="FieldLabel"/>
        </w:rPr>
        <w:t>Sources:</w:t>
      </w:r>
      <w:r>
        <w:t xml:space="preserve"> </w:t>
      </w:r>
      <w:r>
        <w:t>DNSE Securities (2026e); authors' design.</w:t>
      </w:r>
    </w:p>
    <w:p>
      <w:r>
        <w:br w:type="page"/>
      </w:r>
    </w:p>
    <w:p>
      <w:pPr>
        <w:pStyle w:val="Heading2"/>
      </w:pPr>
      <w:r>
        <w:t>Slide 10: Competitive positioning</w:t>
      </w:r>
    </w:p>
    <w:p>
      <w:r>
        <w:rPr>
          <w:rStyle w:val="FieldLabel"/>
        </w:rPr>
        <w:t>Action title:</w:t>
      </w:r>
      <w:r>
        <w:t xml:space="preserve"> </w:t>
      </w:r>
      <w:r>
        <w:t>Recurring plans are now standard; Payday competes on asset range and published proof</w:t>
      </w:r>
    </w:p>
    <w:p>
      <w:r>
        <w:rPr>
          <w:rStyle w:val="FieldLabel"/>
        </w:rPr>
        <w:t>On-slide text:</w:t>
      </w:r>
    </w:p>
    <w:p>
      <w:pPr>
        <w:pStyle w:val="ListBullet"/>
      </w:pPr>
      <w:r>
        <w:t>Of 20 rival products we reviewed, several offer goal-based or multi-fund investing.</w:t>
      </w:r>
    </w:p>
    <w:p>
      <w:pPr>
        <w:pStyle w:val="ListBullet"/>
      </w:pPr>
      <w:r>
        <w:t>None we found combines bank bonds, funds and an ETF in one customer-confirmed plan from VND 500,000.</w:t>
      </w:r>
    </w:p>
    <w:p>
      <w:pPr>
        <w:pStyle w:val="ListBullet"/>
      </w:pPr>
      <w:r>
        <w:t>None we found publishes its transfer-success rate or withdrawal times.</w:t>
      </w:r>
    </w:p>
    <w:p>
      <w:pPr>
        <w:pStyle w:val="ListBullet"/>
      </w:pPr>
      <w:r>
        <w:t>Based on public information as of 16 October 2026.</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3812"/>
            <w:shd w:val="clear" w:color="auto" w:fill="F3F3F3"/>
          </w:tcPr>
          <w:p>
            <w:pPr>
              <w:spacing w:after="0"/>
            </w:pPr>
            <w:r>
              <w:rPr>
                <w:b/>
                <w:sz w:val="18"/>
              </w:rPr>
              <w:t>Product</w:t>
            </w:r>
          </w:p>
        </w:tc>
        <w:tc>
          <w:tcPr>
            <w:tcW w:type="dxa" w:w="3214"/>
            <w:shd w:val="clear" w:color="auto" w:fill="F3F3F3"/>
          </w:tcPr>
          <w:p>
            <w:pPr>
              <w:spacing w:after="0"/>
            </w:pPr>
            <w:r>
              <w:rPr>
                <w:b/>
                <w:sz w:val="18"/>
              </w:rPr>
              <w:t>Assets</w:t>
            </w:r>
          </w:p>
        </w:tc>
        <w:tc>
          <w:tcPr>
            <w:tcW w:type="dxa" w:w="2915"/>
            <w:shd w:val="clear" w:color="auto" w:fill="F3F3F3"/>
          </w:tcPr>
          <w:p>
            <w:pPr>
              <w:spacing w:after="0"/>
            </w:pPr>
            <w:r>
              <w:rPr>
                <w:b/>
                <w:sz w:val="18"/>
              </w:rPr>
              <w:t>Minimum</w:t>
            </w:r>
          </w:p>
        </w:tc>
        <w:tc>
          <w:tcPr>
            <w:tcW w:type="dxa" w:w="2990"/>
            <w:shd w:val="clear" w:color="auto" w:fill="F3F3F3"/>
          </w:tcPr>
          <w:p>
            <w:pPr>
              <w:spacing w:after="0"/>
            </w:pPr>
            <w:r>
              <w:rPr>
                <w:b/>
                <w:sz w:val="18"/>
              </w:rPr>
              <w:t>Who decides</w:t>
            </w:r>
          </w:p>
        </w:tc>
        <w:tc>
          <w:tcPr>
            <w:tcW w:type="dxa" w:w="2093"/>
            <w:shd w:val="clear" w:color="auto" w:fill="F3F3F3"/>
          </w:tcPr>
          <w:p>
            <w:pPr>
              <w:spacing w:after="0"/>
            </w:pPr>
            <w:r>
              <w:rPr>
                <w:b/>
                <w:sz w:val="18"/>
              </w:rPr>
              <w:t>Fee</w:t>
            </w:r>
          </w:p>
        </w:tc>
      </w:tr>
      <w:tr>
        <w:tc>
          <w:tcPr>
            <w:tcW w:type="dxa" w:w="3812"/>
          </w:tcPr>
          <w:p>
            <w:pPr>
              <w:spacing w:after="0"/>
            </w:pPr>
            <w:r>
              <w:rPr>
                <w:sz w:val="18"/>
              </w:rPr>
              <w:t>VPS Smart Indexing (Aug 2026)</w:t>
            </w:r>
          </w:p>
        </w:tc>
        <w:tc>
          <w:tcPr>
            <w:tcW w:type="dxa" w:w="3214"/>
          </w:tcPr>
          <w:p>
            <w:pPr>
              <w:spacing w:after="0"/>
            </w:pPr>
            <w:r>
              <w:rPr>
                <w:sz w:val="18"/>
              </w:rPr>
              <w:t>Shares, direct indexing</w:t>
            </w:r>
          </w:p>
        </w:tc>
        <w:tc>
          <w:tcPr>
            <w:tcW w:type="dxa" w:w="2915"/>
          </w:tcPr>
          <w:p>
            <w:pPr>
              <w:spacing w:after="0"/>
            </w:pPr>
            <w:r>
              <w:rPr>
                <w:sz w:val="18"/>
              </w:rPr>
              <w:t>VND 50 million, then 10 million a month</w:t>
            </w:r>
          </w:p>
        </w:tc>
        <w:tc>
          <w:tcPr>
            <w:tcW w:type="dxa" w:w="2990"/>
          </w:tcPr>
          <w:p>
            <w:pPr>
              <w:spacing w:after="0"/>
            </w:pPr>
            <w:r>
              <w:rPr>
                <w:sz w:val="18"/>
              </w:rPr>
              <w:t>VPS (discretionary)</w:t>
            </w:r>
          </w:p>
        </w:tc>
        <w:tc>
          <w:tcPr>
            <w:tcW w:type="dxa" w:w="2093"/>
          </w:tcPr>
          <w:p>
            <w:pPr>
              <w:spacing w:after="0"/>
            </w:pPr>
            <w:r>
              <w:rPr>
                <w:sz w:val="18"/>
              </w:rPr>
              <w:t>0.5% a year</w:t>
            </w:r>
          </w:p>
        </w:tc>
      </w:tr>
      <w:tr>
        <w:tc>
          <w:tcPr>
            <w:tcW w:type="dxa" w:w="3812"/>
          </w:tcPr>
          <w:p>
            <w:pPr>
              <w:spacing w:after="0"/>
            </w:pPr>
            <w:r>
              <w:rPr>
                <w:sz w:val="18"/>
              </w:rPr>
              <w:t>SSI eSIP (Apr 2026)</w:t>
            </w:r>
          </w:p>
        </w:tc>
        <w:tc>
          <w:tcPr>
            <w:tcW w:type="dxa" w:w="3214"/>
          </w:tcPr>
          <w:p>
            <w:pPr>
              <w:spacing w:after="0"/>
            </w:pPr>
            <w:r>
              <w:rPr>
                <w:sz w:val="18"/>
              </w:rPr>
              <w:t>SSIAM and Dragon Capital funds</w:t>
            </w:r>
          </w:p>
        </w:tc>
        <w:tc>
          <w:tcPr>
            <w:tcW w:type="dxa" w:w="2915"/>
          </w:tcPr>
          <w:p>
            <w:pPr>
              <w:spacing w:after="0"/>
            </w:pPr>
            <w:r>
              <w:rPr>
                <w:sz w:val="18"/>
              </w:rPr>
              <w:t>Not found</w:t>
            </w:r>
          </w:p>
        </w:tc>
        <w:tc>
          <w:tcPr>
            <w:tcW w:type="dxa" w:w="2990"/>
          </w:tcPr>
          <w:p>
            <w:pPr>
              <w:spacing w:after="0"/>
            </w:pPr>
            <w:r>
              <w:rPr>
                <w:sz w:val="18"/>
              </w:rPr>
              <w:t>Customer</w:t>
            </w:r>
          </w:p>
        </w:tc>
        <w:tc>
          <w:tcPr>
            <w:tcW w:type="dxa" w:w="2093"/>
          </w:tcPr>
          <w:p>
            <w:pPr>
              <w:spacing w:after="0"/>
            </w:pPr>
            <w:r>
              <w:rPr>
                <w:sz w:val="18"/>
              </w:rPr>
              <w:t>No subscription fee on SSIBF</w:t>
            </w:r>
          </w:p>
        </w:tc>
      </w:tr>
      <w:tr>
        <w:tc>
          <w:tcPr>
            <w:tcW w:type="dxa" w:w="3812"/>
          </w:tcPr>
          <w:p>
            <w:pPr>
              <w:spacing w:after="0"/>
            </w:pPr>
            <w:r>
              <w:rPr>
                <w:sz w:val="18"/>
              </w:rPr>
              <w:t>TCBS TCWealth (Q2 2026)</w:t>
            </w:r>
          </w:p>
        </w:tc>
        <w:tc>
          <w:tcPr>
            <w:tcW w:type="dxa" w:w="3214"/>
          </w:tcPr>
          <w:p>
            <w:pPr>
              <w:spacing w:after="0"/>
            </w:pPr>
            <w:r>
              <w:rPr>
                <w:sz w:val="18"/>
              </w:rPr>
              <w:t>Goal-based portfolios</w:t>
            </w:r>
          </w:p>
        </w:tc>
        <w:tc>
          <w:tcPr>
            <w:tcW w:type="dxa" w:w="2915"/>
          </w:tcPr>
          <w:p>
            <w:pPr>
              <w:spacing w:after="0"/>
            </w:pPr>
            <w:r>
              <w:rPr>
                <w:sz w:val="18"/>
              </w:rPr>
              <w:t>Not found</w:t>
            </w:r>
          </w:p>
        </w:tc>
        <w:tc>
          <w:tcPr>
            <w:tcW w:type="dxa" w:w="2990"/>
          </w:tcPr>
          <w:p>
            <w:pPr>
              <w:spacing w:after="0"/>
            </w:pPr>
            <w:r>
              <w:rPr>
                <w:sz w:val="18"/>
              </w:rPr>
              <w:t>Not stated</w:t>
            </w:r>
          </w:p>
        </w:tc>
        <w:tc>
          <w:tcPr>
            <w:tcW w:type="dxa" w:w="2093"/>
          </w:tcPr>
          <w:p>
            <w:pPr>
              <w:spacing w:after="0"/>
            </w:pPr>
            <w:r>
              <w:rPr>
                <w:sz w:val="18"/>
              </w:rPr>
              <w:t>Not found</w:t>
            </w:r>
          </w:p>
        </w:tc>
      </w:tr>
      <w:tr>
        <w:tc>
          <w:tcPr>
            <w:tcW w:type="dxa" w:w="3812"/>
          </w:tcPr>
          <w:p>
            <w:pPr>
              <w:spacing w:after="0"/>
            </w:pPr>
            <w:r>
              <w:rPr>
                <w:sz w:val="18"/>
              </w:rPr>
              <w:t>VNDIRECT Tích sản hưu trí (Retirement accumulation)</w:t>
            </w:r>
          </w:p>
        </w:tc>
        <w:tc>
          <w:tcPr>
            <w:tcW w:type="dxa" w:w="3214"/>
          </w:tcPr>
          <w:p>
            <w:pPr>
              <w:spacing w:after="0"/>
            </w:pPr>
            <w:r>
              <w:rPr>
                <w:sz w:val="18"/>
              </w:rPr>
              <w:t>Bond and equity funds, 80/20</w:t>
            </w:r>
          </w:p>
        </w:tc>
        <w:tc>
          <w:tcPr>
            <w:tcW w:type="dxa" w:w="2915"/>
          </w:tcPr>
          <w:p>
            <w:pPr>
              <w:spacing w:after="0"/>
            </w:pPr>
            <w:r>
              <w:rPr>
                <w:sz w:val="18"/>
              </w:rPr>
              <w:t>VND 1 million</w:t>
            </w:r>
          </w:p>
        </w:tc>
        <w:tc>
          <w:tcPr>
            <w:tcW w:type="dxa" w:w="2990"/>
          </w:tcPr>
          <w:p>
            <w:pPr>
              <w:spacing w:after="0"/>
            </w:pPr>
            <w:r>
              <w:rPr>
                <w:sz w:val="18"/>
              </w:rPr>
              <w:t>Customer</w:t>
            </w:r>
          </w:p>
        </w:tc>
        <w:tc>
          <w:tcPr>
            <w:tcW w:type="dxa" w:w="2093"/>
          </w:tcPr>
          <w:p>
            <w:pPr>
              <w:spacing w:after="0"/>
            </w:pPr>
            <w:r>
              <w:rPr>
                <w:sz w:val="18"/>
              </w:rPr>
              <w:t>0.1% a year</w:t>
            </w:r>
          </w:p>
        </w:tc>
      </w:tr>
      <w:tr>
        <w:tc>
          <w:tcPr>
            <w:tcW w:type="dxa" w:w="3812"/>
          </w:tcPr>
          <w:p>
            <w:pPr>
              <w:spacing w:after="0"/>
            </w:pPr>
            <w:r>
              <w:rPr>
                <w:sz w:val="18"/>
              </w:rPr>
              <w:t>VCB Digibank SIP (VCBF)</w:t>
            </w:r>
          </w:p>
        </w:tc>
        <w:tc>
          <w:tcPr>
            <w:tcW w:type="dxa" w:w="3214"/>
          </w:tcPr>
          <w:p>
            <w:pPr>
              <w:spacing w:after="0"/>
            </w:pPr>
            <w:r>
              <w:rPr>
                <w:sz w:val="18"/>
              </w:rPr>
              <w:t>VCBF funds</w:t>
            </w:r>
          </w:p>
        </w:tc>
        <w:tc>
          <w:tcPr>
            <w:tcW w:type="dxa" w:w="2915"/>
          </w:tcPr>
          <w:p>
            <w:pPr>
              <w:spacing w:after="0"/>
            </w:pPr>
            <w:r>
              <w:rPr>
                <w:sz w:val="18"/>
              </w:rPr>
              <w:t>VND 100,000 a period</w:t>
            </w:r>
          </w:p>
        </w:tc>
        <w:tc>
          <w:tcPr>
            <w:tcW w:type="dxa" w:w="2990"/>
          </w:tcPr>
          <w:p>
            <w:pPr>
              <w:spacing w:after="0"/>
            </w:pPr>
            <w:r>
              <w:rPr>
                <w:sz w:val="18"/>
              </w:rPr>
              <w:t>Customer</w:t>
            </w:r>
          </w:p>
        </w:tc>
        <w:tc>
          <w:tcPr>
            <w:tcW w:type="dxa" w:w="2093"/>
          </w:tcPr>
          <w:p>
            <w:pPr>
              <w:spacing w:after="0"/>
            </w:pPr>
            <w:r>
              <w:rPr>
                <w:sz w:val="18"/>
              </w:rPr>
              <w:t>Lower SIP redemption fee</w:t>
            </w:r>
          </w:p>
        </w:tc>
      </w:tr>
      <w:tr>
        <w:tc>
          <w:tcPr>
            <w:tcW w:type="dxa" w:w="3812"/>
          </w:tcPr>
          <w:p>
            <w:pPr>
              <w:spacing w:after="0"/>
            </w:pPr>
            <w:r>
              <w:rPr>
                <w:sz w:val="18"/>
              </w:rPr>
              <w:t>Payday Portfolio (proposed)</w:t>
            </w:r>
          </w:p>
        </w:tc>
        <w:tc>
          <w:tcPr>
            <w:tcW w:type="dxa" w:w="3214"/>
          </w:tcPr>
          <w:p>
            <w:pPr>
              <w:spacing w:after="0"/>
            </w:pPr>
            <w:r>
              <w:rPr>
                <w:sz w:val="18"/>
              </w:rPr>
              <w:t>Bank bonds, bond and equity funds, VN30 ETF</w:t>
            </w:r>
          </w:p>
        </w:tc>
        <w:tc>
          <w:tcPr>
            <w:tcW w:type="dxa" w:w="2915"/>
          </w:tcPr>
          <w:p>
            <w:pPr>
              <w:spacing w:after="0"/>
            </w:pPr>
            <w:r>
              <w:rPr>
                <w:sz w:val="18"/>
              </w:rPr>
              <w:t>VND 500,000 a month</w:t>
            </w:r>
          </w:p>
        </w:tc>
        <w:tc>
          <w:tcPr>
            <w:tcW w:type="dxa" w:w="2990"/>
          </w:tcPr>
          <w:p>
            <w:pPr>
              <w:spacing w:after="0"/>
            </w:pPr>
            <w:r>
              <w:rPr>
                <w:sz w:val="18"/>
              </w:rPr>
              <w:t>Customer confirms an adviser-signed plan</w:t>
            </w:r>
          </w:p>
        </w:tc>
        <w:tc>
          <w:tcPr>
            <w:tcW w:type="dxa" w:w="2093"/>
          </w:tcPr>
          <w:p>
            <w:pPr>
              <w:spacing w:after="0"/>
            </w:pPr>
            <w:r>
              <w:rPr>
                <w:sz w:val="18"/>
              </w:rPr>
              <w:t>No platform fee</w:t>
            </w:r>
          </w:p>
        </w:tc>
      </w:tr>
    </w:tbl>
    <w:p/>
    <w:p>
      <w:pPr>
        <w:pStyle w:val="SourceLine"/>
      </w:pPr>
      <w:r>
        <w:t xml:space="preserve">CSV: </w:t>
      </w:r>
      <w:r>
        <w:rPr>
          <w:rFonts w:ascii="Consolas" w:hAnsi="Consolas"/>
          <w:color w:val="6B6B6B"/>
          <w:sz w:val="18"/>
        </w:rPr>
        <w:t>outputs/round3/tables/slide10_competitors.csv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Tuoi Tre (2026); Tin nhanh Chung khoan (2026); SSI Securities (2026); Bao Phap Luat (2026); SSI Asset Management (2026); TCBS (2026); VNDIRECT (n.d.); VCBF (n.d.); authors' review, 16 October 2026.</w:t>
      </w:r>
    </w:p>
    <w:p>
      <w:r>
        <w:rPr>
          <w:rStyle w:val="FieldLabel"/>
        </w:rPr>
        <w:t>Figure:</w:t>
      </w:r>
      <w:r>
        <w:t xml:space="preserve"> </w:t>
      </w:r>
      <w:r>
        <w:rPr>
          <w:rFonts w:ascii="Consolas" w:hAnsi="Consolas"/>
          <w:color w:val="6B6B6B"/>
          <w:sz w:val="18"/>
        </w:rPr>
        <w:t>outputs/round3/figures/positioning_map.png</w:t>
      </w:r>
      <w:r>
        <w:t>.</w:t>
      </w:r>
    </w:p>
    <w:p>
      <w:r>
        <w:drawing>
          <wp:inline xmlns:a="http://schemas.openxmlformats.org/drawingml/2006/main" xmlns:pic="http://schemas.openxmlformats.org/drawingml/2006/picture">
            <wp:extent cx="4680000" cy="3510000"/>
            <wp:docPr id="8" name="Picture 8"/>
            <wp:cNvGraphicFramePr>
              <a:graphicFrameLocks noChangeAspect="1"/>
            </wp:cNvGraphicFramePr>
            <a:graphic>
              <a:graphicData uri="http://schemas.openxmlformats.org/drawingml/2006/picture">
                <pic:pic>
                  <pic:nvPicPr>
                    <pic:cNvPr id="0" name="positioning_map.png"/>
                    <pic:cNvPicPr/>
                  </pic:nvPicPr>
                  <pic:blipFill>
                    <a:blip r:embed="rId16"/>
                    <a:stretch>
                      <a:fillRect/>
                    </a:stretch>
                  </pic:blipFill>
                  <pic:spPr>
                    <a:xfrm>
                      <a:off x="0" y="0"/>
                      <a:ext cx="4680000" cy="3510000"/>
                    </a:xfrm>
                    <a:prstGeom prst="rect"/>
                  </pic:spPr>
                </pic:pic>
              </a:graphicData>
            </a:graphic>
          </wp:inline>
        </w:drawing>
      </w:r>
    </w:p>
    <w:p>
      <w:pPr>
        <w:pStyle w:val="SourceLine"/>
      </w:pPr>
      <w:r>
        <w:t>Caption: Minimum to start against the number of asset types in one plan. Only products with a verified minimum are plotted; we found no published minimum for SSI eSIP, TCBS TCWealth or VPBank Goal Jar.</w:t>
      </w:r>
    </w:p>
    <w:p>
      <w:pPr>
        <w:pStyle w:val="SourceLine"/>
      </w:pPr>
      <w:r>
        <w:t>Source: Tuoi Tre (2026); VNDIRECT (n.d.); VCBF (n.d.); Thi truong Tai chinh Tien te (2021); authors' design.</w:t>
      </w:r>
    </w:p>
    <w:p>
      <w:pPr>
        <w:pStyle w:val="SourceLine"/>
      </w:pPr>
      <w:r>
        <w:t xml:space="preserve">Data: </w:t>
      </w:r>
      <w:r>
        <w:rPr>
          <w:rFonts w:ascii="Consolas" w:hAnsi="Consolas"/>
          <w:color w:val="6B6B6B"/>
          <w:sz w:val="18"/>
        </w:rPr>
        <w:t>outputs/round3/tables/positioning_map.csv</w:t>
      </w:r>
      <w:r>
        <w:t>.</w:t>
      </w:r>
    </w:p>
    <w:p>
      <w:r>
        <w:rPr>
          <w:rStyle w:val="FieldLabel"/>
        </w:rPr>
        <w:t>Designer notes (tiếng Việt):</w:t>
      </w:r>
    </w:p>
    <w:p>
      <w:pPr>
        <w:pStyle w:val="DesignerNote"/>
      </w:pPr>
      <w:r>
        <w:t>Trái: bảng 6 dòng. Phải: bản đồ định vị (nửa slide); ô "small ticket, several asset types" đã tô nhạt, Payday là chấm RED duy nhất.</w:t>
      </w:r>
    </w:p>
    <w:p>
      <w:pPr>
        <w:pStyle w:val="DesignerNote"/>
      </w:pPr>
      <w:r>
        <w:rPr>
          <w:b/>
        </w:rPr>
        <w:t>Không viết "the only"</w:t>
      </w:r>
      <w:r>
        <w:t xml:space="preserve"> ở bất kỳ đâu. Dòng "Based on public information as of 16 October 2026" bắt buộc phải có.</w:t>
      </w:r>
    </w:p>
    <w:p>
      <w:pPr>
        <w:pStyle w:val="DesignerNote"/>
      </w:pPr>
      <w:r>
        <w:t>Appendix C: 9 sản phẩm tác giả đã tự kiểm và 11 sản phẩm tra cứu tại bàn, tổng 20 sản phẩm đối thủ.</w:t>
      </w:r>
    </w:p>
    <w:p>
      <w:r>
        <w:rPr>
          <w:rStyle w:val="FieldLabel"/>
        </w:rPr>
        <w:t>Speaker notes:</w:t>
      </w:r>
    </w:p>
    <w:p>
      <w:pPr>
        <w:pStyle w:val="SpeakerNote"/>
      </w:pPr>
      <w:r>
        <w:t>Where does Payday sit? We reviewed twenty rival products from brokers, banks and fintech apps. Recurring transfers are standard: VinaCapital has offered them since 2021, and Vietcombank customers can invest from 100,000 dong a period. Goal-based plans exist too, such as TCBS TCWealth and VNDIRECT's retirement plan. So we do not claim to be first. VPS Smart Indexing targets wealthier investors, from 50 million dong with a 0.5 per cent fee, and VPS decides for the customer. Payday sits in the empty middle: 500,000 dong a month, bank bonds, funds and an ETF in one plan, and the customer confirms every change. Its lasting edge is reach into 1.5 million accounts DNSE already holds, plus delivery metrics we publish monthly.</w:t>
      </w:r>
    </w:p>
    <w:p>
      <w:pPr>
        <w:pStyle w:val="SourceLine"/>
      </w:pPr>
      <w:r>
        <w:rPr>
          <w:rStyle w:val="FieldLabel"/>
        </w:rPr>
        <w:t>Sources:</w:t>
      </w:r>
      <w:r>
        <w:t xml:space="preserve"> </w:t>
      </w:r>
      <w:r>
        <w:t>Tuoi Tre (2026); Tin nhanh Chung khoan (2026); SSI Securities (2026); Bao Phap Luat (2026); SSI Asset Management (2026); TCBS (2026); VNDIRECT (n.d.); VCBF (n.d.); Thi truong Tai chinh Tien te (2021).</w:t>
      </w:r>
    </w:p>
    <w:p>
      <w:r>
        <w:br w:type="page"/>
      </w:r>
    </w:p>
    <w:p>
      <w:pPr>
        <w:pStyle w:val="Heading2"/>
      </w:pPr>
      <w:r>
        <w:t>Slide 11: Business case</w:t>
      </w:r>
    </w:p>
    <w:p>
      <w:r>
        <w:rPr>
          <w:rStyle w:val="FieldLabel"/>
        </w:rPr>
        <w:t>Action title:</w:t>
      </w:r>
      <w:r>
        <w:t xml:space="preserve"> </w:t>
      </w:r>
      <w:r>
        <w:t>Payday buys funded accounts for about VND 1.3 million each, not fee income</w:t>
      </w:r>
    </w:p>
    <w:p>
      <w:r>
        <w:rPr>
          <w:rStyle w:val="FieldLabel"/>
        </w:rPr>
        <w:t>On-slide text:</w:t>
      </w:r>
    </w:p>
    <w:p>
      <w:pPr>
        <w:pStyle w:val="ListBullet"/>
      </w:pPr>
      <w:r>
        <w:t>The Board risks VND 6.6 billion before the month-6 gate.</w:t>
      </w:r>
    </w:p>
    <w:p>
      <w:pPr>
        <w:pStyle w:val="ListBullet"/>
      </w:pPr>
      <w:r>
        <w:t>Fixed cost decides the case: build and running cost move month-60 cash by VND 17.5 billion.</w:t>
      </w:r>
    </w:p>
    <w:p>
      <w:pPr>
        <w:pStyle w:val="ListBullet"/>
      </w:pPr>
      <w:r>
        <w:t>Levers: waive the bank fee, run a lean team, negotiate fund and bond margins.</w:t>
      </w:r>
    </w:p>
    <w:p>
      <w:pPr>
        <w:pStyle w:val="ListBullet"/>
      </w:pPr>
      <w:r>
        <w:t>Not counted: month-36 balances equal 18% of DNSE's investor cash.</w:t>
      </w:r>
    </w:p>
    <w:p>
      <w:r>
        <w:rPr>
          <w:rStyle w:val="FieldLabel"/>
        </w:rPr>
        <w:t>Table:</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6873"/>
            <w:shd w:val="clear" w:color="auto" w:fill="F3F3F3"/>
          </w:tcPr>
          <w:p>
            <w:pPr>
              <w:spacing w:after="0"/>
            </w:pPr>
          </w:p>
        </w:tc>
        <w:tc>
          <w:tcPr>
            <w:tcW w:type="dxa" w:w="2717"/>
            <w:shd w:val="clear" w:color="auto" w:fill="F3F3F3"/>
          </w:tcPr>
          <w:p>
            <w:pPr>
              <w:spacing w:after="0"/>
            </w:pPr>
            <w:r>
              <w:rPr>
                <w:b/>
                <w:sz w:val="18"/>
              </w:rPr>
              <w:t>Downside</w:t>
            </w:r>
          </w:p>
        </w:tc>
        <w:tc>
          <w:tcPr>
            <w:tcW w:type="dxa" w:w="2717"/>
            <w:shd w:val="clear" w:color="auto" w:fill="F3F3F3"/>
          </w:tcPr>
          <w:p>
            <w:pPr>
              <w:spacing w:after="0"/>
            </w:pPr>
            <w:r>
              <w:rPr>
                <w:b/>
                <w:sz w:val="18"/>
              </w:rPr>
              <w:t>Base</w:t>
            </w:r>
          </w:p>
        </w:tc>
        <w:tc>
          <w:tcPr>
            <w:tcW w:type="dxa" w:w="2717"/>
            <w:shd w:val="clear" w:color="auto" w:fill="F3F3F3"/>
          </w:tcPr>
          <w:p>
            <w:pPr>
              <w:spacing w:after="0"/>
            </w:pPr>
            <w:r>
              <w:rPr>
                <w:b/>
                <w:sz w:val="18"/>
              </w:rPr>
              <w:t>Upside</w:t>
            </w:r>
          </w:p>
        </w:tc>
      </w:tr>
      <w:tr>
        <w:tc>
          <w:tcPr>
            <w:tcW w:type="dxa" w:w="6873"/>
          </w:tcPr>
          <w:p>
            <w:pPr>
              <w:spacing w:after="0"/>
            </w:pPr>
            <w:r>
              <w:rPr>
                <w:sz w:val="18"/>
              </w:rPr>
              <w:t>Cash need, Phase 0–1, with 15% contingency</w:t>
            </w:r>
          </w:p>
        </w:tc>
        <w:tc>
          <w:tcPr>
            <w:tcW w:type="dxa" w:w="2717"/>
          </w:tcPr>
          <w:p>
            <w:pPr>
              <w:spacing w:after="0"/>
            </w:pPr>
            <w:r>
              <w:rPr>
                <w:sz w:val="18"/>
              </w:rPr>
              <w:t>VND 8.7 billion</w:t>
            </w:r>
          </w:p>
        </w:tc>
        <w:tc>
          <w:tcPr>
            <w:tcW w:type="dxa" w:w="2717"/>
          </w:tcPr>
          <w:p>
            <w:pPr>
              <w:spacing w:after="0"/>
            </w:pPr>
            <w:r>
              <w:rPr>
                <w:sz w:val="18"/>
              </w:rPr>
              <w:t>VND 6.6 billion</w:t>
            </w:r>
          </w:p>
        </w:tc>
        <w:tc>
          <w:tcPr>
            <w:tcW w:type="dxa" w:w="2717"/>
          </w:tcPr>
          <w:p>
            <w:pPr>
              <w:spacing w:after="0"/>
            </w:pPr>
            <w:r>
              <w:rPr>
                <w:sz w:val="18"/>
              </w:rPr>
              <w:t>VND 4.8 billion</w:t>
            </w:r>
          </w:p>
        </w:tc>
      </w:tr>
      <w:tr>
        <w:tc>
          <w:tcPr>
            <w:tcW w:type="dxa" w:w="6873"/>
          </w:tcPr>
          <w:p>
            <w:pPr>
              <w:spacing w:after="0"/>
            </w:pPr>
            <w:r>
              <w:rPr>
                <w:sz w:val="18"/>
              </w:rPr>
              <w:t>New accounts above VND 10 million, month 36</w:t>
            </w:r>
          </w:p>
        </w:tc>
        <w:tc>
          <w:tcPr>
            <w:tcW w:type="dxa" w:w="2717"/>
          </w:tcPr>
          <w:p>
            <w:pPr>
              <w:spacing w:after="0"/>
            </w:pPr>
            <w:r>
              <w:rPr>
                <w:sz w:val="18"/>
              </w:rPr>
              <w:t>2,911</w:t>
            </w:r>
          </w:p>
        </w:tc>
        <w:tc>
          <w:tcPr>
            <w:tcW w:type="dxa" w:w="2717"/>
          </w:tcPr>
          <w:p>
            <w:pPr>
              <w:spacing w:after="0"/>
            </w:pPr>
            <w:r>
              <w:rPr>
                <w:sz w:val="18"/>
              </w:rPr>
              <w:t>14,871</w:t>
            </w:r>
          </w:p>
        </w:tc>
        <w:tc>
          <w:tcPr>
            <w:tcW w:type="dxa" w:w="2717"/>
          </w:tcPr>
          <w:p>
            <w:pPr>
              <w:spacing w:after="0"/>
            </w:pPr>
            <w:r>
              <w:rPr>
                <w:sz w:val="18"/>
              </w:rPr>
              <w:t>51,445</w:t>
            </w:r>
          </w:p>
        </w:tc>
      </w:tr>
      <w:tr>
        <w:tc>
          <w:tcPr>
            <w:tcW w:type="dxa" w:w="6873"/>
          </w:tcPr>
          <w:p>
            <w:pPr>
              <w:spacing w:after="0"/>
            </w:pPr>
            <w:r>
              <w:rPr>
                <w:sz w:val="18"/>
              </w:rPr>
              <w:t>NPV over 60 months at 12%</w:t>
            </w:r>
          </w:p>
        </w:tc>
        <w:tc>
          <w:tcPr>
            <w:tcW w:type="dxa" w:w="2717"/>
          </w:tcPr>
          <w:p>
            <w:pPr>
              <w:spacing w:after="0"/>
            </w:pPr>
            <w:r>
              <w:rPr>
                <w:sz w:val="18"/>
              </w:rPr>
              <w:t>−VND 35.1 billion</w:t>
            </w:r>
          </w:p>
        </w:tc>
        <w:tc>
          <w:tcPr>
            <w:tcW w:type="dxa" w:w="2717"/>
          </w:tcPr>
          <w:p>
            <w:pPr>
              <w:spacing w:after="0"/>
            </w:pPr>
            <w:r>
              <w:rPr>
                <w:sz w:val="18"/>
              </w:rPr>
              <w:t>−VND 25.0 billion</w:t>
            </w:r>
          </w:p>
        </w:tc>
        <w:tc>
          <w:tcPr>
            <w:tcW w:type="dxa" w:w="2717"/>
          </w:tcPr>
          <w:p>
            <w:pPr>
              <w:spacing w:after="0"/>
            </w:pPr>
            <w:r>
              <w:rPr>
                <w:sz w:val="18"/>
              </w:rPr>
              <w:t>+VND 11.0 billion</w:t>
            </w:r>
          </w:p>
        </w:tc>
      </w:tr>
      <w:tr>
        <w:tc>
          <w:tcPr>
            <w:tcW w:type="dxa" w:w="6873"/>
          </w:tcPr>
          <w:p>
            <w:pPr>
              <w:spacing w:after="0"/>
            </w:pPr>
            <w:r>
              <w:rPr>
                <w:sz w:val="18"/>
              </w:rPr>
              <w:t>Payback month</w:t>
            </w:r>
          </w:p>
        </w:tc>
        <w:tc>
          <w:tcPr>
            <w:tcW w:type="dxa" w:w="2717"/>
          </w:tcPr>
          <w:p>
            <w:pPr>
              <w:spacing w:after="0"/>
            </w:pPr>
            <w:r>
              <w:rPr>
                <w:sz w:val="18"/>
              </w:rPr>
              <w:t>None</w:t>
            </w:r>
          </w:p>
        </w:tc>
        <w:tc>
          <w:tcPr>
            <w:tcW w:type="dxa" w:w="2717"/>
          </w:tcPr>
          <w:p>
            <w:pPr>
              <w:spacing w:after="0"/>
            </w:pPr>
            <w:r>
              <w:rPr>
                <w:sz w:val="18"/>
              </w:rPr>
              <w:t>None</w:t>
            </w:r>
          </w:p>
        </w:tc>
        <w:tc>
          <w:tcPr>
            <w:tcW w:type="dxa" w:w="2717"/>
          </w:tcPr>
          <w:p>
            <w:pPr>
              <w:spacing w:after="0"/>
            </w:pPr>
            <w:r>
              <w:rPr>
                <w:sz w:val="18"/>
              </w:rPr>
              <w:t>44</w:t>
            </w:r>
          </w:p>
        </w:tc>
      </w:tr>
      <w:tr>
        <w:tc>
          <w:tcPr>
            <w:tcW w:type="dxa" w:w="6873"/>
          </w:tcPr>
          <w:p>
            <w:pPr>
              <w:spacing w:after="0"/>
            </w:pPr>
            <w:r>
              <w:rPr>
                <w:sz w:val="18"/>
              </w:rPr>
              <w:t>Net cost per new funded account, month 60</w:t>
            </w:r>
          </w:p>
        </w:tc>
        <w:tc>
          <w:tcPr>
            <w:tcW w:type="dxa" w:w="2717"/>
          </w:tcPr>
          <w:p>
            <w:pPr>
              <w:spacing w:after="0"/>
            </w:pPr>
            <w:r>
              <w:rPr>
                <w:sz w:val="18"/>
              </w:rPr>
              <w:t>VND 10.02 million</w:t>
            </w:r>
          </w:p>
        </w:tc>
        <w:tc>
          <w:tcPr>
            <w:tcW w:type="dxa" w:w="2717"/>
          </w:tcPr>
          <w:p>
            <w:pPr>
              <w:spacing w:after="0"/>
            </w:pPr>
            <w:r>
              <w:rPr>
                <w:sz w:val="18"/>
              </w:rPr>
              <w:t>VND 1.29 million</w:t>
            </w:r>
          </w:p>
        </w:tc>
        <w:tc>
          <w:tcPr>
            <w:tcW w:type="dxa" w:w="2717"/>
          </w:tcPr>
          <w:p>
            <w:pPr>
              <w:spacing w:after="0"/>
            </w:pPr>
            <w:r>
              <w:rPr>
                <w:sz w:val="18"/>
              </w:rPr>
              <w:t>0</w:t>
            </w:r>
          </w:p>
        </w:tc>
      </w:tr>
    </w:tbl>
    <w:p/>
    <w:p>
      <w:pPr>
        <w:pStyle w:val="SourceLine"/>
      </w:pPr>
      <w:r>
        <w:t xml:space="preserve">CSV: </w:t>
      </w:r>
      <w:r>
        <w:rPr>
          <w:rFonts w:ascii="Consolas" w:hAnsi="Consolas"/>
          <w:color w:val="6B6B6B"/>
          <w:sz w:val="18"/>
        </w:rPr>
        <w:t>outputs/round3/tables/slide11_scenarios.csv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cohort model (assumptions in Appendix H).</w:t>
      </w:r>
    </w:p>
    <w:p>
      <w:r>
        <w:rPr>
          <w:rStyle w:val="FieldLabel"/>
        </w:rPr>
        <w:t>Figure:</w:t>
      </w:r>
      <w:r>
        <w:t xml:space="preserve"> </w:t>
      </w:r>
      <w:r>
        <w:rPr>
          <w:rFonts w:ascii="Consolas" w:hAnsi="Consolas"/>
          <w:color w:val="6B6B6B"/>
          <w:sz w:val="18"/>
        </w:rPr>
        <w:t>outputs/round3/figures/payday_jcurve.png</w:t>
      </w:r>
      <w:r>
        <w:t xml:space="preserve"> và </w:t>
      </w:r>
      <w:r>
        <w:rPr>
          <w:rFonts w:ascii="Consolas" w:hAnsi="Consolas"/>
          <w:color w:val="6B6B6B"/>
          <w:sz w:val="18"/>
        </w:rPr>
        <w:t>outputs/round3/figures/payday_tornado.png</w:t>
      </w:r>
      <w:r>
        <w:t xml:space="preserve"> (hai hình nửa slide).</w:t>
      </w:r>
    </w:p>
    <w:tbl>
      <w:tblPr>
        <w:tblW w:type="auto" w:w="0"/>
        <w:jc w:val="center"/>
        <w:tblLook w:firstColumn="1" w:firstRow="1" w:lastColumn="0" w:lastRow="0" w:noHBand="0" w:noVBand="1" w:val="04A0"/>
      </w:tblPr>
      <w:tblGrid>
        <w:gridCol w:w="7512"/>
        <w:gridCol w:w="7512"/>
      </w:tblGrid>
      <w:tr>
        <w:tc>
          <w:tcPr>
            <w:tcW w:type="dxa" w:w="7512"/>
          </w:tcPr>
          <w:p>
            <w:r>
              <w:drawing>
                <wp:inline xmlns:a="http://schemas.openxmlformats.org/drawingml/2006/main" xmlns:pic="http://schemas.openxmlformats.org/drawingml/2006/picture">
                  <wp:extent cx="4626000" cy="3469500"/>
                  <wp:docPr id="9" name="Picture 9"/>
                  <wp:cNvGraphicFramePr>
                    <a:graphicFrameLocks noChangeAspect="1"/>
                  </wp:cNvGraphicFramePr>
                  <a:graphic>
                    <a:graphicData uri="http://schemas.openxmlformats.org/drawingml/2006/picture">
                      <pic:pic>
                        <pic:nvPicPr>
                          <pic:cNvPr id="0" name="payday_jcurve.png"/>
                          <pic:cNvPicPr/>
                        </pic:nvPicPr>
                        <pic:blipFill>
                          <a:blip r:embed="rId17"/>
                          <a:stretch>
                            <a:fillRect/>
                          </a:stretch>
                        </pic:blipFill>
                        <pic:spPr>
                          <a:xfrm>
                            <a:off x="0" y="0"/>
                            <a:ext cx="4626000" cy="3469500"/>
                          </a:xfrm>
                          <a:prstGeom prst="rect"/>
                        </pic:spPr>
                      </pic:pic>
                    </a:graphicData>
                  </a:graphic>
                </wp:inline>
              </w:drawing>
            </w:r>
          </w:p>
        </w:tc>
        <w:tc>
          <w:tcPr>
            <w:tcW w:type="dxa" w:w="7512"/>
          </w:tcPr>
          <w:p>
            <w:r>
              <w:drawing>
                <wp:inline xmlns:a="http://schemas.openxmlformats.org/drawingml/2006/main" xmlns:pic="http://schemas.openxmlformats.org/drawingml/2006/picture">
                  <wp:extent cx="4626000" cy="3469500"/>
                  <wp:docPr id="10" name="Picture 10"/>
                  <wp:cNvGraphicFramePr>
                    <a:graphicFrameLocks noChangeAspect="1"/>
                  </wp:cNvGraphicFramePr>
                  <a:graphic>
                    <a:graphicData uri="http://schemas.openxmlformats.org/drawingml/2006/picture">
                      <pic:pic>
                        <pic:nvPicPr>
                          <pic:cNvPr id="0" name="payday_tornado.png"/>
                          <pic:cNvPicPr/>
                        </pic:nvPicPr>
                        <pic:blipFill>
                          <a:blip r:embed="rId18"/>
                          <a:stretch>
                            <a:fillRect/>
                          </a:stretch>
                        </pic:blipFill>
                        <pic:spPr>
                          <a:xfrm>
                            <a:off x="0" y="0"/>
                            <a:ext cx="4626000" cy="3469500"/>
                          </a:xfrm>
                          <a:prstGeom prst="rect"/>
                        </pic:spPr>
                      </pic:pic>
                    </a:graphicData>
                  </a:graphic>
                </wp:inline>
              </w:drawing>
            </w:r>
          </w:p>
        </w:tc>
      </w:tr>
    </w:tbl>
    <w:p/>
    <w:p>
      <w:pPr>
        <w:pStyle w:val="SourceLine"/>
      </w:pPr>
      <w:r>
        <w:t>Caption: Left, cumulative cash over 60 months in three scenarios. Right, month-60 cash when one group of inputs moves to its downside or upside value.</w:t>
      </w:r>
    </w:p>
    <w:p>
      <w:pPr>
        <w:pStyle w:val="SourceLine"/>
      </w:pPr>
      <w:r>
        <w:t>Source: authors' cohort model.</w:t>
      </w:r>
    </w:p>
    <w:p>
      <w:r>
        <w:rPr>
          <w:rStyle w:val="FieldLabel"/>
        </w:rPr>
        <w:t>Designer notes (tiếng Việt):</w:t>
      </w:r>
    </w:p>
    <w:p>
      <w:pPr>
        <w:pStyle w:val="DesignerNote"/>
      </w:pPr>
      <w:r>
        <w:t>Hàng trên: J-curve (trái) và tornado (phải), mỗi hình nửa slide. Hàng dưới: bảng 5 dòng; 4 ý chữ đặt dọc bên phải bảng hoặc chuyển 1–2 ý vào speaker notes nếu chật.</w:t>
      </w:r>
    </w:p>
    <w:p>
      <w:pPr>
        <w:pStyle w:val="DesignerNote"/>
      </w:pPr>
      <w:r>
        <w:t>Cột "Base" in đậm. Không tô xanh lá cho số dương: dùng màu xám cho downside/upside, RED cho base, như trong hình.</w:t>
      </w:r>
    </w:p>
    <w:p>
      <w:pPr>
        <w:pStyle w:val="DesignerNote"/>
      </w:pPr>
      <w:r>
        <w:t>Ghi chú nhỏ dưới tornado: "Enrolling more savers lowers the cost per funded account (VND 0.68 million at upside enrolment)".</w:t>
      </w:r>
    </w:p>
    <w:p>
      <w:r>
        <w:rPr>
          <w:rStyle w:val="FieldLabel"/>
        </w:rPr>
        <w:t>Speaker notes:</w:t>
      </w:r>
    </w:p>
    <w:p>
      <w:pPr>
        <w:pStyle w:val="SpeakerNote"/>
      </w:pPr>
      <w:r>
        <w:t>Now the CFO's question. We modelled monthly cohorts over sixty months with sourced costs. In the base case Payday does not pay back within five years: cumulative cash reaches minus 32 billion dong at month 60, an NPV of minus 25 billion. It is better read as buying funded accounts at about 1.3 million dong each, and that is the yardstick we ask the Board to accept. The tornado shows fixed cost is the swing factor, far more than yields or enrolment, so a lean team and reused components matter most. Waiving the bank fee is the cheapest lever. The upside pays back in month 44. Either way, the Board's exposure before the first stop decision is 6.6 billion dong.</w:t>
      </w:r>
    </w:p>
    <w:p>
      <w:pPr>
        <w:pStyle w:val="SourceLine"/>
      </w:pPr>
      <w:r>
        <w:rPr>
          <w:rStyle w:val="FieldLabel"/>
        </w:rPr>
        <w:t>Sources:</w:t>
      </w:r>
      <w:r>
        <w:t xml:space="preserve"> </w:t>
      </w:r>
      <w:r>
        <w:t>authors' cohort model; ITviec (2025); VPBank (2024); SSI Asset Management (2026); VCBF (2026); DNSE Securities (2026c).</w:t>
      </w:r>
    </w:p>
    <w:p>
      <w:r>
        <w:br w:type="page"/>
      </w:r>
    </w:p>
    <w:p>
      <w:pPr>
        <w:pStyle w:val="Heading2"/>
      </w:pPr>
      <w:r>
        <w:t>Slide 12: Go-to-market, year 1</w:t>
      </w:r>
    </w:p>
    <w:p>
      <w:r>
        <w:rPr>
          <w:rStyle w:val="FieldLabel"/>
        </w:rPr>
        <w:t>Action title:</w:t>
      </w:r>
      <w:r>
        <w:t xml:space="preserve"> </w:t>
      </w:r>
      <w:r>
        <w:t>Year one: build, test with 45,000 accounts, then scale inside DNSE's base</w:t>
      </w:r>
    </w:p>
    <w:p>
      <w:r>
        <w:rPr>
          <w:rStyle w:val="FieldLabel"/>
        </w:rPr>
        <w:t>On-slide text:</w:t>
      </w:r>
    </w:p>
    <w:p>
      <w:pPr>
        <w:pStyle w:val="ListBullet"/>
      </w:pPr>
      <w:r>
        <w:t>Year-one spend (base): VND 9.2 billion, released gate by gate; the Board approves VND 6.6 billion now.</w:t>
      </w:r>
    </w:p>
    <w:p>
      <w:pPr>
        <w:pStyle w:val="ListBullet"/>
      </w:pPr>
      <w:r>
        <w:t>Outreach and marketing: VND 1.2 billion of the total.</w:t>
      </w:r>
    </w:p>
    <w:p>
      <w:pPr>
        <w:pStyle w:val="ListBullet"/>
      </w:pPr>
      <w:r>
        <w:t>No sign-up cash, no "free money" influencers, at most three messages per account.</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1194"/>
            <w:shd w:val="clear" w:color="auto" w:fill="F3F3F3"/>
          </w:tcPr>
          <w:p>
            <w:pPr>
              <w:spacing w:after="0"/>
            </w:pPr>
            <w:r>
              <w:rPr>
                <w:b/>
                <w:sz w:val="18"/>
              </w:rPr>
              <w:t>Quarter</w:t>
            </w:r>
          </w:p>
        </w:tc>
        <w:tc>
          <w:tcPr>
            <w:tcW w:type="dxa" w:w="3772"/>
            <w:shd w:val="clear" w:color="auto" w:fill="F3F3F3"/>
          </w:tcPr>
          <w:p>
            <w:pPr>
              <w:spacing w:after="0"/>
            </w:pPr>
            <w:r>
              <w:rPr>
                <w:b/>
                <w:sz w:val="18"/>
              </w:rPr>
              <w:t>Who and where</w:t>
            </w:r>
          </w:p>
        </w:tc>
        <w:tc>
          <w:tcPr>
            <w:tcW w:type="dxa" w:w="3332"/>
            <w:shd w:val="clear" w:color="auto" w:fill="F3F3F3"/>
          </w:tcPr>
          <w:p>
            <w:pPr>
              <w:spacing w:after="0"/>
            </w:pPr>
            <w:r>
              <w:rPr>
                <w:b/>
                <w:sz w:val="18"/>
              </w:rPr>
              <w:t>Message</w:t>
            </w:r>
          </w:p>
        </w:tc>
        <w:tc>
          <w:tcPr>
            <w:tcW w:type="dxa" w:w="3457"/>
            <w:shd w:val="clear" w:color="auto" w:fill="F3F3F3"/>
          </w:tcPr>
          <w:p>
            <w:pPr>
              <w:spacing w:after="0"/>
            </w:pPr>
            <w:r>
              <w:rPr>
                <w:b/>
                <w:sz w:val="18"/>
              </w:rPr>
              <w:t>Gate</w:t>
            </w:r>
          </w:p>
        </w:tc>
        <w:tc>
          <w:tcPr>
            <w:tcW w:type="dxa" w:w="3269"/>
            <w:shd w:val="clear" w:color="auto" w:fill="F3F3F3"/>
          </w:tcPr>
          <w:p>
            <w:pPr>
              <w:spacing w:after="0"/>
            </w:pPr>
            <w:r>
              <w:rPr>
                <w:b/>
                <w:sz w:val="18"/>
              </w:rPr>
              <w:t>End of quarter, base: funded savers; balances; spend</w:t>
            </w:r>
          </w:p>
        </w:tc>
      </w:tr>
      <w:tr>
        <w:tc>
          <w:tcPr>
            <w:tcW w:type="dxa" w:w="1194"/>
          </w:tcPr>
          <w:p>
            <w:pPr>
              <w:spacing w:after="0"/>
            </w:pPr>
            <w:r>
              <w:rPr>
                <w:sz w:val="18"/>
              </w:rPr>
              <w:t>Q1: build</w:t>
            </w:r>
          </w:p>
        </w:tc>
        <w:tc>
          <w:tcPr>
            <w:tcW w:type="dxa" w:w="3772"/>
          </w:tcPr>
          <w:p>
            <w:pPr>
              <w:spacing w:after="0"/>
            </w:pPr>
            <w:r>
              <w:rPr>
                <w:sz w:val="18"/>
              </w:rPr>
              <w:t>DNSE staff, internal beta</w:t>
            </w:r>
          </w:p>
        </w:tc>
        <w:tc>
          <w:tcPr>
            <w:tcW w:type="dxa" w:w="3332"/>
          </w:tcPr>
          <w:p>
            <w:pPr>
              <w:spacing w:after="0"/>
            </w:pPr>
            <w:r>
              <w:rPr>
                <w:sz w:val="18"/>
              </w:rPr>
              <w:t>–</w:t>
            </w:r>
          </w:p>
        </w:tc>
        <w:tc>
          <w:tcPr>
            <w:tcW w:type="dxa" w:w="3457"/>
          </w:tcPr>
          <w:p>
            <w:pPr>
              <w:spacing w:after="0"/>
            </w:pPr>
            <w:r>
              <w:rPr>
                <w:sz w:val="18"/>
              </w:rPr>
              <w:t>Gate 0: partner terms; 99.5% shadow runs; SSC notice</w:t>
            </w:r>
          </w:p>
        </w:tc>
        <w:tc>
          <w:tcPr>
            <w:tcW w:type="dxa" w:w="3269"/>
          </w:tcPr>
          <w:p>
            <w:pPr>
              <w:spacing w:after="0"/>
            </w:pPr>
            <w:r>
              <w:rPr>
                <w:sz w:val="18"/>
              </w:rPr>
              <w:t>0; 0; VND 2.1 bn</w:t>
            </w:r>
          </w:p>
        </w:tc>
      </w:tr>
      <w:tr>
        <w:tc>
          <w:tcPr>
            <w:tcW w:type="dxa" w:w="1194"/>
          </w:tcPr>
          <w:p>
            <w:pPr>
              <w:spacing w:after="0"/>
            </w:pPr>
            <w:r>
              <w:rPr>
                <w:sz w:val="18"/>
              </w:rPr>
              <w:t>Q2: pilot</w:t>
            </w:r>
          </w:p>
        </w:tc>
        <w:tc>
          <w:tcPr>
            <w:tcW w:type="dxa" w:w="3772"/>
          </w:tcPr>
          <w:p>
            <w:pPr>
              <w:spacing w:after="0"/>
            </w:pPr>
            <w:r>
              <w:rPr>
                <w:sz w:val="18"/>
              </w:rPr>
              <w:t>45,000 dormant accounts in 3 arms; Zalo, SMS, push, Ensa</w:t>
            </w:r>
          </w:p>
        </w:tc>
        <w:tc>
          <w:tcPr>
            <w:tcW w:type="dxa" w:w="3332"/>
          </w:tcPr>
          <w:p>
            <w:pPr>
              <w:spacing w:after="0"/>
            </w:pPr>
            <w:r>
              <w:rPr>
                <w:sz w:val="18"/>
              </w:rPr>
              <w:t>"Your account is ready. Let payday do the investing."</w:t>
            </w:r>
          </w:p>
        </w:tc>
        <w:tc>
          <w:tcPr>
            <w:tcW w:type="dxa" w:w="3457"/>
          </w:tcPr>
          <w:p>
            <w:pPr>
              <w:spacing w:after="0"/>
            </w:pPr>
            <w:r>
              <w:rPr>
                <w:sz w:val="18"/>
              </w:rPr>
              <w:t>Gate 1: enrolment ≥1.5%, stop below 1.0%</w:t>
            </w:r>
          </w:p>
        </w:tc>
        <w:tc>
          <w:tcPr>
            <w:tcW w:type="dxa" w:w="3269"/>
          </w:tcPr>
          <w:p>
            <w:pPr>
              <w:spacing w:after="0"/>
            </w:pPr>
            <w:r>
              <w:rPr>
                <w:sz w:val="18"/>
              </w:rPr>
              <w:t>162; VND 1.1 bn; VND 3.6 bn</w:t>
            </w:r>
          </w:p>
        </w:tc>
      </w:tr>
      <w:tr>
        <w:tc>
          <w:tcPr>
            <w:tcW w:type="dxa" w:w="1194"/>
          </w:tcPr>
          <w:p>
            <w:pPr>
              <w:spacing w:after="0"/>
            </w:pPr>
            <w:r>
              <w:rPr>
                <w:sz w:val="18"/>
              </w:rPr>
              <w:t>Q3: roll out</w:t>
            </w:r>
          </w:p>
        </w:tc>
        <w:tc>
          <w:tcPr>
            <w:tcW w:type="dxa" w:w="3772"/>
          </w:tcPr>
          <w:p>
            <w:pPr>
              <w:spacing w:after="0"/>
            </w:pPr>
            <w:r>
              <w:rPr>
                <w:sz w:val="18"/>
              </w:rPr>
              <w:t>Dormant accounts; in-app for traders; plan step at account opening</w:t>
            </w:r>
          </w:p>
        </w:tc>
        <w:tc>
          <w:tcPr>
            <w:tcW w:type="dxa" w:w="3332"/>
          </w:tcPr>
          <w:p>
            <w:pPr>
              <w:spacing w:after="0"/>
            </w:pPr>
            <w:r>
              <w:rPr>
                <w:sz w:val="18"/>
              </w:rPr>
              <w:t>"Keep a core that grows while you trade."</w:t>
            </w:r>
          </w:p>
        </w:tc>
        <w:tc>
          <w:tcPr>
            <w:tcW w:type="dxa" w:w="3457"/>
          </w:tcPr>
          <w:p>
            <w:pPr>
              <w:spacing w:after="0"/>
            </w:pPr>
            <w:r>
              <w:rPr>
                <w:sz w:val="18"/>
              </w:rPr>
              <w:t>Monthly: acquisition cost per funded saver ≤VND 128,000</w:t>
            </w:r>
          </w:p>
        </w:tc>
        <w:tc>
          <w:tcPr>
            <w:tcW w:type="dxa" w:w="3269"/>
          </w:tcPr>
          <w:p>
            <w:pPr>
              <w:spacing w:after="0"/>
            </w:pPr>
            <w:r>
              <w:rPr>
                <w:sz w:val="18"/>
              </w:rPr>
              <w:t>1,620; VND 10.5 bn; VND 1.7 bn</w:t>
            </w:r>
          </w:p>
        </w:tc>
      </w:tr>
      <w:tr>
        <w:tc>
          <w:tcPr>
            <w:tcW w:type="dxa" w:w="1194"/>
          </w:tcPr>
          <w:p>
            <w:pPr>
              <w:spacing w:after="0"/>
            </w:pPr>
            <w:r>
              <w:rPr>
                <w:sz w:val="18"/>
              </w:rPr>
              <w:t>Q4: first employers</w:t>
            </w:r>
          </w:p>
        </w:tc>
        <w:tc>
          <w:tcPr>
            <w:tcW w:type="dxa" w:w="3772"/>
          </w:tcPr>
          <w:p>
            <w:pPr>
              <w:spacing w:after="0"/>
            </w:pPr>
            <w:r>
              <w:rPr>
                <w:sz w:val="18"/>
              </w:rPr>
              <w:t>3 to 5 employers through HR sessions</w:t>
            </w:r>
          </w:p>
        </w:tc>
        <w:tc>
          <w:tcPr>
            <w:tcW w:type="dxa" w:w="3332"/>
          </w:tcPr>
          <w:p>
            <w:pPr>
              <w:spacing w:after="0"/>
            </w:pPr>
            <w:r>
              <w:rPr>
                <w:sz w:val="18"/>
              </w:rPr>
              <w:t>"An employee benefit that invests your salary."</w:t>
            </w:r>
          </w:p>
        </w:tc>
        <w:tc>
          <w:tcPr>
            <w:tcW w:type="dxa" w:w="3457"/>
          </w:tcPr>
          <w:p>
            <w:pPr>
              <w:spacing w:after="0"/>
            </w:pPr>
            <w:r>
              <w:rPr>
                <w:sz w:val="18"/>
              </w:rPr>
              <w:t>Gate 2: funded ≥3,962; balances ≥VND 24.1 billion</w:t>
            </w:r>
          </w:p>
        </w:tc>
        <w:tc>
          <w:tcPr>
            <w:tcW w:type="dxa" w:w="3269"/>
          </w:tcPr>
          <w:p>
            <w:pPr>
              <w:spacing w:after="0"/>
            </w:pPr>
            <w:r>
              <w:rPr>
                <w:sz w:val="18"/>
              </w:rPr>
              <w:t>4,953; VND 30.1 bn; VND 1.8 bn</w:t>
            </w:r>
          </w:p>
        </w:tc>
      </w:tr>
    </w:tbl>
    <w:p/>
    <w:p>
      <w:pPr>
        <w:pStyle w:val="SourceLine"/>
      </w:pPr>
      <w:r>
        <w:t xml:space="preserve">CSV: </w:t>
      </w:r>
      <w:r>
        <w:rPr>
          <w:rFonts w:ascii="Consolas" w:hAnsi="Consolas"/>
          <w:color w:val="6B6B6B"/>
          <w:sz w:val="18"/>
        </w:rPr>
        <w:t>outputs/round3/tables/slide12_gtm.csv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design; numbers from the authors' cohort model.</w:t>
      </w:r>
    </w:p>
    <w:p>
      <w:r>
        <w:rPr>
          <w:rStyle w:val="FieldLabel"/>
        </w:rPr>
        <w:t>Figure:</w:t>
      </w:r>
      <w:r>
        <w:t xml:space="preserve"> </w:t>
      </w:r>
      <w:r>
        <w:rPr>
          <w:rFonts w:ascii="Consolas" w:hAnsi="Consolas"/>
          <w:color w:val="6B6B6B"/>
          <w:sz w:val="18"/>
        </w:rPr>
        <w:t>outputs/round3/figures/gtm_timeline.png</w:t>
      </w:r>
      <w:r>
        <w:t>.</w:t>
      </w:r>
    </w:p>
    <w:p>
      <w:r>
        <w:drawing>
          <wp:inline xmlns:a="http://schemas.openxmlformats.org/drawingml/2006/main" xmlns:pic="http://schemas.openxmlformats.org/drawingml/2006/picture">
            <wp:extent cx="9000000" cy="2700000"/>
            <wp:docPr id="11" name="Picture 11"/>
            <wp:cNvGraphicFramePr>
              <a:graphicFrameLocks noChangeAspect="1"/>
            </wp:cNvGraphicFramePr>
            <a:graphic>
              <a:graphicData uri="http://schemas.openxmlformats.org/drawingml/2006/picture">
                <pic:pic>
                  <pic:nvPicPr>
                    <pic:cNvPr id="0" name="gtm_timeline.png"/>
                    <pic:cNvPicPr/>
                  </pic:nvPicPr>
                  <pic:blipFill>
                    <a:blip r:embed="rId19"/>
                    <a:stretch>
                      <a:fillRect/>
                    </a:stretch>
                  </pic:blipFill>
                  <pic:spPr>
                    <a:xfrm>
                      <a:off x="0" y="0"/>
                      <a:ext cx="9000000" cy="2700000"/>
                    </a:xfrm>
                    <a:prstGeom prst="rect"/>
                  </pic:spPr>
                </pic:pic>
              </a:graphicData>
            </a:graphic>
          </wp:inline>
        </w:drawing>
      </w:r>
    </w:p>
    <w:p>
      <w:pPr>
        <w:pStyle w:val="SourceLine"/>
      </w:pPr>
      <w:r>
        <w:t>Caption: Year-one activities by month with Gates 0 to 2 (top) and funded savers by month (bottom), base case. Red marks the months the Board approves now; arrows mark channels that continue into year two.</w:t>
      </w:r>
    </w:p>
    <w:p>
      <w:pPr>
        <w:pStyle w:val="SourceLine"/>
      </w:pPr>
      <w:r>
        <w:t>Source: authors' cohort model.</w:t>
      </w:r>
    </w:p>
    <w:p>
      <w:pPr>
        <w:pStyle w:val="SourceLine"/>
      </w:pPr>
      <w:r>
        <w:t xml:space="preserve">Data: </w:t>
      </w:r>
      <w:r>
        <w:rPr>
          <w:rFonts w:ascii="Consolas" w:hAnsi="Consolas"/>
          <w:color w:val="6B6B6B"/>
          <w:sz w:val="18"/>
        </w:rPr>
        <w:t>outputs/round3/tables/gtm_year1.csv</w:t>
      </w:r>
      <w:r>
        <w:t xml:space="preserve">, </w:t>
      </w:r>
      <w:r>
        <w:rPr>
          <w:rFonts w:ascii="Consolas" w:hAnsi="Consolas"/>
          <w:color w:val="6B6B6B"/>
          <w:sz w:val="18"/>
        </w:rPr>
        <w:t>payday_monthly_base.csv</w:t>
      </w:r>
      <w:r>
        <w:t>.</w:t>
      </w:r>
    </w:p>
    <w:p>
      <w:r>
        <w:rPr>
          <w:rStyle w:val="FieldLabel"/>
        </w:rPr>
        <w:t>Designer notes (tiếng Việt):</w:t>
      </w:r>
    </w:p>
    <w:p>
      <w:pPr>
        <w:pStyle w:val="DesignerNote"/>
      </w:pPr>
      <w:r>
        <w:t>Timeline trên cùng, bảng 4 dòng ở dưới.</w:t>
      </w:r>
    </w:p>
    <w:p>
      <w:pPr>
        <w:pStyle w:val="DesignerNote"/>
      </w:pPr>
      <w:r>
        <w:t>Ba thông điệp để nguyên tiếng Anh trong ngoặc kép, in nghiêng.</w:t>
      </w:r>
    </w:p>
    <w:p>
      <w:pPr>
        <w:pStyle w:val="DesignerNote"/>
      </w:pPr>
      <w:r>
        <w:t>Ô "Gate" màu RED nhạt để nối với slide 14.</w:t>
      </w:r>
    </w:p>
    <w:p>
      <w:r>
        <w:rPr>
          <w:rStyle w:val="FieldLabel"/>
        </w:rPr>
        <w:t>Speaker notes:</w:t>
      </w:r>
    </w:p>
    <w:p>
      <w:pPr>
        <w:pStyle w:val="SpeakerNote"/>
      </w:pPr>
      <w:r>
        <w:t>Year one has four steps. In quarter one we build, sign partners and run the plan with staff money; nothing launches before Gate zero. In quarter two a randomised pilot reaches 45,000 dormant accounts in three arms, with at most three messages each and no sign-up reward. If enrolment clears 1.5 per cent, quarter three rolls out to the remaining eligible dormant accounts, adds an in-app offer for active traders and a plan step at account opening. In quarter four we test the first three to five employers through HR sessions with a licensed adviser. By month twelve the base case has 9,414 savers enrolled, 4,953 funded and 30 billion dong in plans, for 9.2 billion dong of spending.</w:t>
      </w:r>
    </w:p>
    <w:p>
      <w:pPr>
        <w:pStyle w:val="SourceLine"/>
      </w:pPr>
      <w:r>
        <w:rPr>
          <w:rStyle w:val="FieldLabel"/>
        </w:rPr>
        <w:t>Sources:</w:t>
      </w:r>
      <w:r>
        <w:t xml:space="preserve"> </w:t>
      </w:r>
      <w:r>
        <w:t>authors' cohort model; Zalo Business Solutions (n.d.); MobiFone (n.d.).</w:t>
      </w:r>
    </w:p>
    <w:p>
      <w:r>
        <w:br w:type="page"/>
      </w:r>
    </w:p>
    <w:p>
      <w:pPr>
        <w:pStyle w:val="Heading2"/>
      </w:pPr>
      <w:r>
        <w:t>Slide 13: Strategic roadmap</w:t>
      </w:r>
    </w:p>
    <w:p>
      <w:r>
        <w:rPr>
          <w:rStyle w:val="FieldLabel"/>
        </w:rPr>
        <w:t>Action title:</w:t>
      </w:r>
      <w:r>
        <w:t xml:space="preserve"> </w:t>
      </w:r>
      <w:r>
        <w:t>Five gated phases move DNSE from trading-first to balance-first</w:t>
      </w:r>
    </w:p>
    <w:p>
      <w:r>
        <w:rPr>
          <w:rStyle w:val="FieldLabel"/>
        </w:rPr>
        <w:t>On-slide text:</w:t>
      </w:r>
    </w:p>
    <w:p>
      <w:pPr>
        <w:pStyle w:val="ListBullet"/>
      </w:pPr>
      <w:r>
        <w:t>Shared rails serve the whole app: virtual accounts, scheduler, suitability engine, transparency dashboard.</w:t>
      </w:r>
    </w:p>
    <w:p>
      <w:pPr>
        <w:pStyle w:val="ListBullet"/>
      </w:pPr>
      <w:r>
        <w:t>Ecosystem: fix the base (months 0–6), keep money in (6–12), grow on balances (12–24).</w:t>
      </w:r>
    </w:p>
    <w:p>
      <w:pPr>
        <w:pStyle w:val="ListBullet"/>
      </w:pPr>
      <w:r>
        <w:t>Not in the base case: ETF-secured lending, reviewed only at Gate 3.</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1624"/>
            <w:shd w:val="clear" w:color="auto" w:fill="F3F3F3"/>
          </w:tcPr>
          <w:p>
            <w:pPr>
              <w:spacing w:after="0"/>
            </w:pPr>
            <w:r>
              <w:rPr>
                <w:b/>
                <w:sz w:val="18"/>
              </w:rPr>
              <w:t>Phase</w:t>
            </w:r>
          </w:p>
        </w:tc>
        <w:tc>
          <w:tcPr>
            <w:tcW w:type="dxa" w:w="487"/>
            <w:shd w:val="clear" w:color="auto" w:fill="F3F3F3"/>
          </w:tcPr>
          <w:p>
            <w:pPr>
              <w:spacing w:after="0"/>
            </w:pPr>
            <w:r>
              <w:rPr>
                <w:b/>
                <w:sz w:val="18"/>
              </w:rPr>
              <w:t>Months</w:t>
            </w:r>
          </w:p>
        </w:tc>
        <w:tc>
          <w:tcPr>
            <w:tcW w:type="dxa" w:w="3330"/>
            <w:shd w:val="clear" w:color="auto" w:fill="F3F3F3"/>
          </w:tcPr>
          <w:p>
            <w:pPr>
              <w:spacing w:after="0"/>
            </w:pPr>
            <w:r>
              <w:rPr>
                <w:b/>
                <w:sz w:val="18"/>
              </w:rPr>
              <w:t>Objective</w:t>
            </w:r>
          </w:p>
        </w:tc>
        <w:tc>
          <w:tcPr>
            <w:tcW w:type="dxa" w:w="4873"/>
            <w:shd w:val="clear" w:color="auto" w:fill="F3F3F3"/>
          </w:tcPr>
          <w:p>
            <w:pPr>
              <w:spacing w:after="0"/>
            </w:pPr>
            <w:r>
              <w:rPr>
                <w:b/>
                <w:sz w:val="18"/>
              </w:rPr>
              <w:t>Key initiatives</w:t>
            </w:r>
          </w:p>
        </w:tc>
        <w:tc>
          <w:tcPr>
            <w:tcW w:type="dxa" w:w="4710"/>
            <w:shd w:val="clear" w:color="auto" w:fill="F3F3F3"/>
          </w:tcPr>
          <w:p>
            <w:pPr>
              <w:spacing w:after="0"/>
            </w:pPr>
            <w:r>
              <w:rPr>
                <w:b/>
                <w:sz w:val="18"/>
              </w:rPr>
              <w:t>Gate and result (base)</w:t>
            </w:r>
          </w:p>
        </w:tc>
      </w:tr>
      <w:tr>
        <w:tc>
          <w:tcPr>
            <w:tcW w:type="dxa" w:w="1624"/>
          </w:tcPr>
          <w:p>
            <w:pPr>
              <w:spacing w:after="0"/>
            </w:pPr>
            <w:r>
              <w:rPr>
                <w:sz w:val="18"/>
              </w:rPr>
              <w:t>0. Build and comply</w:t>
            </w:r>
          </w:p>
        </w:tc>
        <w:tc>
          <w:tcPr>
            <w:tcW w:type="dxa" w:w="487"/>
          </w:tcPr>
          <w:p>
            <w:pPr>
              <w:spacing w:after="0"/>
            </w:pPr>
            <w:r>
              <w:rPr>
                <w:sz w:val="18"/>
              </w:rPr>
              <w:t>1–3</w:t>
            </w:r>
          </w:p>
        </w:tc>
        <w:tc>
          <w:tcPr>
            <w:tcW w:type="dxa" w:w="3330"/>
          </w:tcPr>
          <w:p>
            <w:pPr>
              <w:spacing w:after="0"/>
            </w:pPr>
            <w:r>
              <w:rPr>
                <w:sz w:val="18"/>
              </w:rPr>
              <w:t>A safe, legal MVP</w:t>
            </w:r>
          </w:p>
        </w:tc>
        <w:tc>
          <w:tcPr>
            <w:tcW w:type="dxa" w:w="4873"/>
          </w:tcPr>
          <w:p>
            <w:pPr>
              <w:spacing w:after="0"/>
            </w:pPr>
            <w:r>
              <w:rPr>
                <w:sz w:val="18"/>
              </w:rPr>
              <w:t>Virtual accounts (fee target VND 0); fund contracts; adviser-signed plans; SSC notice</w:t>
            </w:r>
          </w:p>
        </w:tc>
        <w:tc>
          <w:tcPr>
            <w:tcW w:type="dxa" w:w="4710"/>
          </w:tcPr>
          <w:p>
            <w:pPr>
              <w:spacing w:after="0"/>
            </w:pPr>
            <w:r>
              <w:rPr>
                <w:sz w:val="18"/>
              </w:rPr>
              <w:t>Gate 0; −VND 2.1 billion cumulative</w:t>
            </w:r>
          </w:p>
        </w:tc>
      </w:tr>
      <w:tr>
        <w:tc>
          <w:tcPr>
            <w:tcW w:type="dxa" w:w="1624"/>
          </w:tcPr>
          <w:p>
            <w:pPr>
              <w:spacing w:after="0"/>
            </w:pPr>
            <w:r>
              <w:rPr>
                <w:sz w:val="18"/>
              </w:rPr>
              <w:t>1. Pilot</w:t>
            </w:r>
          </w:p>
        </w:tc>
        <w:tc>
          <w:tcPr>
            <w:tcW w:type="dxa" w:w="487"/>
          </w:tcPr>
          <w:p>
            <w:pPr>
              <w:spacing w:after="0"/>
            </w:pPr>
            <w:r>
              <w:rPr>
                <w:sz w:val="18"/>
              </w:rPr>
              <w:t>4–6</w:t>
            </w:r>
          </w:p>
        </w:tc>
        <w:tc>
          <w:tcPr>
            <w:tcW w:type="dxa" w:w="3330"/>
          </w:tcPr>
          <w:p>
            <w:pPr>
              <w:spacing w:after="0"/>
            </w:pPr>
            <w:r>
              <w:rPr>
                <w:sz w:val="18"/>
              </w:rPr>
              <w:t>Measure enrolment, persistence, new money</w:t>
            </w:r>
          </w:p>
        </w:tc>
        <w:tc>
          <w:tcPr>
            <w:tcW w:type="dxa" w:w="4873"/>
          </w:tcPr>
          <w:p>
            <w:pPr>
              <w:spacing w:after="0"/>
            </w:pPr>
            <w:r>
              <w:rPr>
                <w:sz w:val="18"/>
              </w:rPr>
              <w:t>Randomised pilot, 45,000 accounts, 3 arms</w:t>
            </w:r>
          </w:p>
        </w:tc>
        <w:tc>
          <w:tcPr>
            <w:tcW w:type="dxa" w:w="4710"/>
          </w:tcPr>
          <w:p>
            <w:pPr>
              <w:spacing w:after="0"/>
            </w:pPr>
            <w:r>
              <w:rPr>
                <w:sz w:val="18"/>
              </w:rPr>
              <w:t>Gate 1; 600 savers</w:t>
            </w:r>
          </w:p>
        </w:tc>
      </w:tr>
      <w:tr>
        <w:tc>
          <w:tcPr>
            <w:tcW w:type="dxa" w:w="1624"/>
          </w:tcPr>
          <w:p>
            <w:pPr>
              <w:spacing w:after="0"/>
            </w:pPr>
            <w:r>
              <w:rPr>
                <w:sz w:val="18"/>
              </w:rPr>
              <w:t>2. Scale in the base</w:t>
            </w:r>
          </w:p>
        </w:tc>
        <w:tc>
          <w:tcPr>
            <w:tcW w:type="dxa" w:w="487"/>
          </w:tcPr>
          <w:p>
            <w:pPr>
              <w:spacing w:after="0"/>
            </w:pPr>
            <w:r>
              <w:rPr>
                <w:sz w:val="18"/>
              </w:rPr>
              <w:t>7–12</w:t>
            </w:r>
          </w:p>
        </w:tc>
        <w:tc>
          <w:tcPr>
            <w:tcW w:type="dxa" w:w="3330"/>
          </w:tcPr>
          <w:p>
            <w:pPr>
              <w:spacing w:after="0"/>
            </w:pPr>
            <w:r>
              <w:rPr>
                <w:sz w:val="18"/>
              </w:rPr>
              <w:t>Controlled scale</w:t>
            </w:r>
          </w:p>
        </w:tc>
        <w:tc>
          <w:tcPr>
            <w:tcW w:type="dxa" w:w="4873"/>
          </w:tcPr>
          <w:p>
            <w:pPr>
              <w:spacing w:after="0"/>
            </w:pPr>
            <w:r>
              <w:rPr>
                <w:sz w:val="18"/>
              </w:rPr>
              <w:t>Dormant roll-out; in-app; account opening; first employers</w:t>
            </w:r>
          </w:p>
        </w:tc>
        <w:tc>
          <w:tcPr>
            <w:tcW w:type="dxa" w:w="4710"/>
          </w:tcPr>
          <w:p>
            <w:pPr>
              <w:spacing w:after="0"/>
            </w:pPr>
            <w:r>
              <w:rPr>
                <w:sz w:val="18"/>
              </w:rPr>
              <w:t>Gate 2; 4,953 funded</w:t>
            </w:r>
          </w:p>
        </w:tc>
      </w:tr>
      <w:tr>
        <w:tc>
          <w:tcPr>
            <w:tcW w:type="dxa" w:w="1624"/>
          </w:tcPr>
          <w:p>
            <w:pPr>
              <w:spacing w:after="0"/>
            </w:pPr>
            <w:r>
              <w:rPr>
                <w:sz w:val="18"/>
              </w:rPr>
              <w:t>3. Outside channels</w:t>
            </w:r>
          </w:p>
        </w:tc>
        <w:tc>
          <w:tcPr>
            <w:tcW w:type="dxa" w:w="487"/>
          </w:tcPr>
          <w:p>
            <w:pPr>
              <w:spacing w:after="0"/>
            </w:pPr>
            <w:r>
              <w:rPr>
                <w:sz w:val="18"/>
              </w:rPr>
              <w:t>13–24</w:t>
            </w:r>
          </w:p>
        </w:tc>
        <w:tc>
          <w:tcPr>
            <w:tcW w:type="dxa" w:w="3330"/>
          </w:tcPr>
          <w:p>
            <w:pPr>
              <w:spacing w:after="0"/>
            </w:pPr>
            <w:r>
              <w:rPr>
                <w:sz w:val="18"/>
              </w:rPr>
              <w:t>Channels that create a default</w:t>
            </w:r>
          </w:p>
        </w:tc>
        <w:tc>
          <w:tcPr>
            <w:tcW w:type="dxa" w:w="4873"/>
          </w:tcPr>
          <w:p>
            <w:pPr>
              <w:spacing w:after="0"/>
            </w:pPr>
            <w:r>
              <w:rPr>
                <w:sz w:val="18"/>
              </w:rPr>
              <w:t>Employers; salary percentage via Open API from March 2027; step-up with pay rises</w:t>
            </w:r>
          </w:p>
        </w:tc>
        <w:tc>
          <w:tcPr>
            <w:tcW w:type="dxa" w:w="4710"/>
          </w:tcPr>
          <w:p>
            <w:pPr>
              <w:spacing w:after="0"/>
            </w:pPr>
            <w:r>
              <w:rPr>
                <w:sz w:val="18"/>
              </w:rPr>
              <w:t>Gate 3; 7,714 new accounts above VND 10 million</w:t>
            </w:r>
          </w:p>
        </w:tc>
      </w:tr>
      <w:tr>
        <w:tc>
          <w:tcPr>
            <w:tcW w:type="dxa" w:w="1624"/>
          </w:tcPr>
          <w:p>
            <w:pPr>
              <w:spacing w:after="0"/>
            </w:pPr>
            <w:r>
              <w:rPr>
                <w:sz w:val="18"/>
              </w:rPr>
              <w:t>4. Optimise</w:t>
            </w:r>
          </w:p>
        </w:tc>
        <w:tc>
          <w:tcPr>
            <w:tcW w:type="dxa" w:w="487"/>
          </w:tcPr>
          <w:p>
            <w:pPr>
              <w:spacing w:after="0"/>
            </w:pPr>
            <w:r>
              <w:rPr>
                <w:sz w:val="18"/>
              </w:rPr>
              <w:t>25–36</w:t>
            </w:r>
          </w:p>
        </w:tc>
        <w:tc>
          <w:tcPr>
            <w:tcW w:type="dxa" w:w="3330"/>
          </w:tcPr>
          <w:p>
            <w:pPr>
              <w:spacing w:after="0"/>
            </w:pPr>
            <w:r>
              <w:rPr>
                <w:sz w:val="18"/>
              </w:rPr>
              <w:t>Better economics, a managed option</w:t>
            </w:r>
          </w:p>
        </w:tc>
        <w:tc>
          <w:tcPr>
            <w:tcW w:type="dxa" w:w="4873"/>
          </w:tcPr>
          <w:p>
            <w:pPr>
              <w:spacing w:after="0"/>
            </w:pPr>
            <w:r>
              <w:rPr>
                <w:sz w:val="18"/>
              </w:rPr>
              <w:t>Partner or DNSE-owned fund manager; Golden Egg with more bank partners</w:t>
            </w:r>
          </w:p>
        </w:tc>
        <w:tc>
          <w:tcPr>
            <w:tcW w:type="dxa" w:w="4710"/>
          </w:tcPr>
          <w:p>
            <w:pPr>
              <w:spacing w:after="0"/>
            </w:pPr>
            <w:r>
              <w:rPr>
                <w:sz w:val="18"/>
              </w:rPr>
              <w:t>Quarterly review; 14,871 new accounts above VND 10 million</w:t>
            </w:r>
          </w:p>
        </w:tc>
      </w:tr>
    </w:tbl>
    <w:p/>
    <w:p>
      <w:pPr>
        <w:pStyle w:val="SourceLine"/>
      </w:pPr>
      <w:r>
        <w:t xml:space="preserve">CSV: </w:t>
      </w:r>
      <w:r>
        <w:rPr>
          <w:rFonts w:ascii="Consolas" w:hAnsi="Consolas"/>
          <w:color w:val="6B6B6B"/>
          <w:sz w:val="18"/>
        </w:rPr>
        <w:t>outputs/round3/tables/slide13_roadmap.csv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design; numbers from the authors' cohort model; DNSE Securities (2026f); State Bank of Vietnam (2024).</w:t>
      </w:r>
    </w:p>
    <w:p>
      <w:r>
        <w:rPr>
          <w:rStyle w:val="FieldLabel"/>
        </w:rPr>
        <w:t>Figure:</w:t>
      </w:r>
      <w:r>
        <w:t xml:space="preserve"> </w:t>
      </w:r>
      <w:r>
        <w:rPr>
          <w:rFonts w:ascii="Consolas" w:hAnsi="Consolas"/>
          <w:color w:val="6B6B6B"/>
          <w:sz w:val="18"/>
        </w:rPr>
        <w:t>outputs/round3/figures/roadmap.png</w:t>
      </w:r>
      <w:r>
        <w:t>.</w:t>
      </w:r>
    </w:p>
    <w:p>
      <w:r>
        <w:drawing>
          <wp:inline xmlns:a="http://schemas.openxmlformats.org/drawingml/2006/main" xmlns:pic="http://schemas.openxmlformats.org/drawingml/2006/picture">
            <wp:extent cx="9000000" cy="2250000"/>
            <wp:docPr id="12" name="Picture 12"/>
            <wp:cNvGraphicFramePr>
              <a:graphicFrameLocks noChangeAspect="1"/>
            </wp:cNvGraphicFramePr>
            <a:graphic>
              <a:graphicData uri="http://schemas.openxmlformats.org/drawingml/2006/picture">
                <pic:pic>
                  <pic:nvPicPr>
                    <pic:cNvPr id="0" name="roadmap.png"/>
                    <pic:cNvPicPr/>
                  </pic:nvPicPr>
                  <pic:blipFill>
                    <a:blip r:embed="rId20"/>
                    <a:stretch>
                      <a:fillRect/>
                    </a:stretch>
                  </pic:blipFill>
                  <pic:spPr>
                    <a:xfrm>
                      <a:off x="0" y="0"/>
                      <a:ext cx="9000000" cy="2250000"/>
                    </a:xfrm>
                    <a:prstGeom prst="rect"/>
                  </pic:spPr>
                </pic:pic>
              </a:graphicData>
            </a:graphic>
          </wp:inline>
        </w:drawing>
      </w:r>
    </w:p>
    <w:p>
      <w:pPr>
        <w:pStyle w:val="SourceLine"/>
      </w:pPr>
      <w:r>
        <w:t>Caption: Payday's five gated phases with base-case results (top), above DNSE's balance-first product roadmap (bottom).</w:t>
      </w:r>
    </w:p>
    <w:p>
      <w:pPr>
        <w:pStyle w:val="SourceLine"/>
      </w:pPr>
      <w:r>
        <w:t>Source: authors' design; authors' cohort model.</w:t>
      </w:r>
    </w:p>
    <w:p>
      <w:pPr>
        <w:pStyle w:val="SourceLine"/>
      </w:pPr>
      <w:r>
        <w:t xml:space="preserve">Data: </w:t>
      </w:r>
      <w:r>
        <w:rPr>
          <w:rFonts w:ascii="Consolas" w:hAnsi="Consolas"/>
          <w:color w:val="6B6B6B"/>
          <w:sz w:val="18"/>
        </w:rPr>
        <w:t>outputs/round3/tables/roadmap_phases.csv</w:t>
      </w:r>
      <w:r>
        <w:t xml:space="preserve">, </w:t>
      </w:r>
      <w:r>
        <w:rPr>
          <w:rFonts w:ascii="Consolas" w:hAnsi="Consolas"/>
          <w:color w:val="6B6B6B"/>
          <w:sz w:val="18"/>
        </w:rPr>
        <w:t>ecosystem_roadmap.csv</w:t>
      </w:r>
      <w:r>
        <w:t>.</w:t>
      </w:r>
    </w:p>
    <w:p>
      <w:r>
        <w:rPr>
          <w:rStyle w:val="FieldLabel"/>
        </w:rPr>
        <w:t>Designer notes (tiếng Việt):</w:t>
      </w:r>
    </w:p>
    <w:p>
      <w:pPr>
        <w:pStyle w:val="DesignerNote"/>
      </w:pPr>
      <w:r>
        <w:t>Hình roadmap chiếm nửa trên; bảng 5 dòng nửa dưới (có thể bỏ cột "Months" nếu hình đã thể hiện).</w:t>
      </w:r>
    </w:p>
    <w:p>
      <w:pPr>
        <w:pStyle w:val="DesignerNote"/>
      </w:pPr>
      <w:r>
        <w:t>Dòng "Not in the base case" màu xám, nhỏ hơn.</w:t>
      </w:r>
    </w:p>
    <w:p>
      <w:r>
        <w:rPr>
          <w:rStyle w:val="FieldLabel"/>
        </w:rPr>
        <w:t>Speaker notes:</w:t>
      </w:r>
    </w:p>
    <w:p>
      <w:pPr>
        <w:pStyle w:val="SpeakerNote"/>
      </w:pPr>
      <w:r>
        <w:t>Beyond year one, the roadmap has five gated phases. Phases zero to two build, test and scale inside DNSE's base. Phase three, from month thirteen, adds channels that create a default: employers, and salary-percentage contributions through bank open APIs once banks comply in March 2027. Phase four looks at a fully managed version through a partner or DNSE-owned fund manager, and wider Golden Egg supply through DNSE's planned bank partnerships. Payday also anchors DNSE's shift from trading-first to balance-first: the virtual accounts, scheduler, suitability engine and transparency dashboard serve deposits, margin and Golden Egg as well. ETF-secured lending is not in our numbers; it would be reviewed only at Gate three.</w:t>
      </w:r>
    </w:p>
    <w:p>
      <w:pPr>
        <w:pStyle w:val="SourceLine"/>
      </w:pPr>
      <w:r>
        <w:rPr>
          <w:rStyle w:val="FieldLabel"/>
        </w:rPr>
        <w:t>Sources:</w:t>
      </w:r>
      <w:r>
        <w:t xml:space="preserve"> </w:t>
      </w:r>
      <w:r>
        <w:t>authors' cohort model; State Bank of Vietnam (2024); DNSE Securities (2026f).</w:t>
      </w:r>
    </w:p>
    <w:p>
      <w:r>
        <w:br w:type="page"/>
      </w:r>
    </w:p>
    <w:p>
      <w:pPr>
        <w:pStyle w:val="Heading2"/>
      </w:pPr>
      <w:r>
        <w:t>Slide 14: Validation and KPIs</w:t>
      </w:r>
    </w:p>
    <w:p>
      <w:r>
        <w:rPr>
          <w:rStyle w:val="FieldLabel"/>
        </w:rPr>
        <w:t>Action title:</w:t>
      </w:r>
      <w:r>
        <w:t xml:space="preserve"> </w:t>
      </w:r>
      <w:r>
        <w:t>Each phase has a number that scales, adjusts or stops the plan</w:t>
      </w:r>
    </w:p>
    <w:p>
      <w:r>
        <w:rPr>
          <w:rStyle w:val="FieldLabel"/>
        </w:rPr>
        <w:t>On-slide text:</w:t>
      </w:r>
    </w:p>
    <w:p>
      <w:pPr>
        <w:pStyle w:val="ListBullet"/>
      </w:pPr>
      <w:r>
        <w:t>Pilot: 45,000 dormant accounts in three arms of 15,000: control, Payday, Payday with the persistence package.</w:t>
      </w:r>
    </w:p>
    <w:p>
      <w:pPr>
        <w:pStyle w:val="ListBullet"/>
      </w:pPr>
      <w:r>
        <w:t>Enough to detect a 10-point gain in six-month persistence.</w:t>
      </w:r>
    </w:p>
    <w:p>
      <w:pPr>
        <w:pStyle w:val="ListBullet"/>
      </w:pPr>
      <w:r>
        <w:t>North Star: new accounts above VND 10 million. Leading signs: funded savers, new money, on-time rate.</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1366"/>
            <w:shd w:val="clear" w:color="auto" w:fill="F3F3F3"/>
          </w:tcPr>
          <w:p>
            <w:pPr>
              <w:spacing w:after="0"/>
            </w:pPr>
            <w:r>
              <w:rPr>
                <w:b/>
                <w:sz w:val="18"/>
              </w:rPr>
              <w:t>Gate (month)</w:t>
            </w:r>
          </w:p>
        </w:tc>
        <w:tc>
          <w:tcPr>
            <w:tcW w:type="dxa" w:w="6487"/>
            <w:shd w:val="clear" w:color="auto" w:fill="F3F3F3"/>
          </w:tcPr>
          <w:p>
            <w:pPr>
              <w:spacing w:after="0"/>
            </w:pPr>
            <w:r>
              <w:rPr>
                <w:b/>
                <w:sz w:val="18"/>
              </w:rPr>
              <w:t>Measure</w:t>
            </w:r>
          </w:p>
        </w:tc>
        <w:tc>
          <w:tcPr>
            <w:tcW w:type="dxa" w:w="2276"/>
            <w:shd w:val="clear" w:color="auto" w:fill="F3F3F3"/>
          </w:tcPr>
          <w:p>
            <w:pPr>
              <w:spacing w:after="0"/>
            </w:pPr>
            <w:r>
              <w:rPr>
                <w:b/>
                <w:sz w:val="18"/>
              </w:rPr>
              <w:t>Scale if</w:t>
            </w:r>
          </w:p>
        </w:tc>
        <w:tc>
          <w:tcPr>
            <w:tcW w:type="dxa" w:w="3187"/>
            <w:shd w:val="clear" w:color="auto" w:fill="F3F3F3"/>
          </w:tcPr>
          <w:p>
            <w:pPr>
              <w:spacing w:after="0"/>
            </w:pPr>
            <w:r>
              <w:rPr>
                <w:b/>
                <w:sz w:val="18"/>
              </w:rPr>
              <w:t>Stop if</w:t>
            </w:r>
          </w:p>
        </w:tc>
        <w:tc>
          <w:tcPr>
            <w:tcW w:type="dxa" w:w="1707"/>
            <w:shd w:val="clear" w:color="auto" w:fill="F3F3F3"/>
          </w:tcPr>
          <w:p>
            <w:pPr>
              <w:spacing w:after="0"/>
            </w:pPr>
            <w:r>
              <w:rPr>
                <w:b/>
                <w:sz w:val="18"/>
              </w:rPr>
              <w:t>Owner</w:t>
            </w:r>
          </w:p>
        </w:tc>
      </w:tr>
      <w:tr>
        <w:tc>
          <w:tcPr>
            <w:tcW w:type="dxa" w:w="1366"/>
          </w:tcPr>
          <w:p>
            <w:pPr>
              <w:spacing w:after="0"/>
            </w:pPr>
            <w:r>
              <w:rPr>
                <w:sz w:val="18"/>
              </w:rPr>
              <w:t>0 (3)</w:t>
            </w:r>
          </w:p>
        </w:tc>
        <w:tc>
          <w:tcPr>
            <w:tcW w:type="dxa" w:w="6487"/>
          </w:tcPr>
          <w:p>
            <w:pPr>
              <w:spacing w:after="0"/>
            </w:pPr>
            <w:r>
              <w:rPr>
                <w:sz w:val="18"/>
              </w:rPr>
              <w:t>Shadow payday runs credited on time</w:t>
            </w:r>
          </w:p>
        </w:tc>
        <w:tc>
          <w:tcPr>
            <w:tcW w:type="dxa" w:w="2276"/>
          </w:tcPr>
          <w:p>
            <w:pPr>
              <w:spacing w:after="0"/>
            </w:pPr>
            <w:r>
              <w:rPr>
                <w:sz w:val="18"/>
              </w:rPr>
              <w:t>≥99.5%</w:t>
            </w:r>
          </w:p>
        </w:tc>
        <w:tc>
          <w:tcPr>
            <w:tcW w:type="dxa" w:w="3187"/>
          </w:tcPr>
          <w:p>
            <w:pPr>
              <w:spacing w:after="0"/>
            </w:pPr>
            <w:r>
              <w:rPr>
                <w:sz w:val="18"/>
              </w:rPr>
              <w:t>Below 99.5%: delay the pilot</w:t>
            </w:r>
          </w:p>
        </w:tc>
        <w:tc>
          <w:tcPr>
            <w:tcW w:type="dxa" w:w="1707"/>
          </w:tcPr>
          <w:p>
            <w:pPr>
              <w:spacing w:after="0"/>
            </w:pPr>
            <w:r>
              <w:rPr>
                <w:sz w:val="18"/>
              </w:rPr>
              <w:t>CTO</w:t>
            </w:r>
          </w:p>
        </w:tc>
      </w:tr>
      <w:tr>
        <w:tc>
          <w:tcPr>
            <w:tcW w:type="dxa" w:w="1366"/>
          </w:tcPr>
          <w:p>
            <w:pPr>
              <w:spacing w:after="0"/>
            </w:pPr>
            <w:r>
              <w:rPr>
                <w:sz w:val="18"/>
              </w:rPr>
              <w:t>0 (3)</w:t>
            </w:r>
          </w:p>
        </w:tc>
        <w:tc>
          <w:tcPr>
            <w:tcW w:type="dxa" w:w="6487"/>
          </w:tcPr>
          <w:p>
            <w:pPr>
              <w:spacing w:after="0"/>
            </w:pPr>
            <w:r>
              <w:rPr>
                <w:sz w:val="18"/>
              </w:rPr>
              <w:t>Bank fee per contribution</w:t>
            </w:r>
          </w:p>
        </w:tc>
        <w:tc>
          <w:tcPr>
            <w:tcW w:type="dxa" w:w="2276"/>
          </w:tcPr>
          <w:p>
            <w:pPr>
              <w:spacing w:after="0"/>
            </w:pPr>
            <w:r>
              <w:rPr>
                <w:sz w:val="18"/>
              </w:rPr>
              <w:t>VND 0 target, ≤3,300</w:t>
            </w:r>
          </w:p>
        </w:tc>
        <w:tc>
          <w:tcPr>
            <w:tcW w:type="dxa" w:w="3187"/>
          </w:tcPr>
          <w:p>
            <w:pPr>
              <w:spacing w:after="0"/>
            </w:pPr>
            <w:r>
              <w:rPr>
                <w:sz w:val="18"/>
              </w:rPr>
              <w:t>Above VND 6,200</w:t>
            </w:r>
          </w:p>
        </w:tc>
        <w:tc>
          <w:tcPr>
            <w:tcW w:type="dxa" w:w="1707"/>
          </w:tcPr>
          <w:p>
            <w:pPr>
              <w:spacing w:after="0"/>
            </w:pPr>
            <w:r>
              <w:rPr>
                <w:sz w:val="18"/>
              </w:rPr>
              <w:t>CFO</w:t>
            </w:r>
          </w:p>
        </w:tc>
      </w:tr>
      <w:tr>
        <w:tc>
          <w:tcPr>
            <w:tcW w:type="dxa" w:w="1366"/>
          </w:tcPr>
          <w:p>
            <w:pPr>
              <w:spacing w:after="0"/>
            </w:pPr>
            <w:r>
              <w:rPr>
                <w:sz w:val="18"/>
              </w:rPr>
              <w:t>1 (6)</w:t>
            </w:r>
          </w:p>
        </w:tc>
        <w:tc>
          <w:tcPr>
            <w:tcW w:type="dxa" w:w="6487"/>
          </w:tcPr>
          <w:p>
            <w:pPr>
              <w:spacing w:after="0"/>
            </w:pPr>
            <w:r>
              <w:rPr>
                <w:sz w:val="18"/>
              </w:rPr>
              <w:t>Enrolment of treated dormant accounts</w:t>
            </w:r>
          </w:p>
        </w:tc>
        <w:tc>
          <w:tcPr>
            <w:tcW w:type="dxa" w:w="2276"/>
          </w:tcPr>
          <w:p>
            <w:pPr>
              <w:spacing w:after="0"/>
            </w:pPr>
            <w:r>
              <w:rPr>
                <w:sz w:val="18"/>
              </w:rPr>
              <w:t>≥1.5%</w:t>
            </w:r>
          </w:p>
        </w:tc>
        <w:tc>
          <w:tcPr>
            <w:tcW w:type="dxa" w:w="3187"/>
          </w:tcPr>
          <w:p>
            <w:pPr>
              <w:spacing w:after="0"/>
            </w:pPr>
            <w:r>
              <w:rPr>
                <w:sz w:val="18"/>
              </w:rPr>
              <w:t>Below 1.0%</w:t>
            </w:r>
          </w:p>
        </w:tc>
        <w:tc>
          <w:tcPr>
            <w:tcW w:type="dxa" w:w="1707"/>
          </w:tcPr>
          <w:p>
            <w:pPr>
              <w:spacing w:after="0"/>
            </w:pPr>
            <w:r>
              <w:rPr>
                <w:sz w:val="18"/>
              </w:rPr>
              <w:t>Head of Product</w:t>
            </w:r>
          </w:p>
        </w:tc>
      </w:tr>
      <w:tr>
        <w:tc>
          <w:tcPr>
            <w:tcW w:type="dxa" w:w="1366"/>
          </w:tcPr>
          <w:p>
            <w:pPr>
              <w:spacing w:after="0"/>
            </w:pPr>
            <w:r>
              <w:rPr>
                <w:sz w:val="18"/>
              </w:rPr>
              <w:t>1 (6)</w:t>
            </w:r>
          </w:p>
        </w:tc>
        <w:tc>
          <w:tcPr>
            <w:tcW w:type="dxa" w:w="6487"/>
          </w:tcPr>
          <w:p>
            <w:pPr>
              <w:spacing w:after="0"/>
            </w:pPr>
            <w:r>
              <w:rPr>
                <w:sz w:val="18"/>
              </w:rPr>
              <w:t>Projected net cost per new funded account</w:t>
            </w:r>
          </w:p>
        </w:tc>
        <w:tc>
          <w:tcPr>
            <w:tcW w:type="dxa" w:w="2276"/>
          </w:tcPr>
          <w:p>
            <w:pPr>
              <w:spacing w:after="0"/>
            </w:pPr>
            <w:r>
              <w:rPr>
                <w:sz w:val="18"/>
              </w:rPr>
              <w:t>≤VND 1.6 million</w:t>
            </w:r>
          </w:p>
        </w:tc>
        <w:tc>
          <w:tcPr>
            <w:tcW w:type="dxa" w:w="3187"/>
          </w:tcPr>
          <w:p>
            <w:pPr>
              <w:spacing w:after="0"/>
            </w:pPr>
            <w:r>
              <w:rPr>
                <w:sz w:val="18"/>
              </w:rPr>
              <w:t>Above VND 2.6 million</w:t>
            </w:r>
          </w:p>
        </w:tc>
        <w:tc>
          <w:tcPr>
            <w:tcW w:type="dxa" w:w="1707"/>
          </w:tcPr>
          <w:p>
            <w:pPr>
              <w:spacing w:after="0"/>
            </w:pPr>
            <w:r>
              <w:rPr>
                <w:sz w:val="18"/>
              </w:rPr>
              <w:t>CFO</w:t>
            </w:r>
          </w:p>
        </w:tc>
      </w:tr>
      <w:tr>
        <w:tc>
          <w:tcPr>
            <w:tcW w:type="dxa" w:w="1366"/>
          </w:tcPr>
          <w:p>
            <w:pPr>
              <w:spacing w:after="0"/>
            </w:pPr>
            <w:r>
              <w:rPr>
                <w:sz w:val="18"/>
              </w:rPr>
              <w:t>2 (12)</w:t>
            </w:r>
          </w:p>
        </w:tc>
        <w:tc>
          <w:tcPr>
            <w:tcW w:type="dxa" w:w="6487"/>
          </w:tcPr>
          <w:p>
            <w:pPr>
              <w:spacing w:after="0"/>
            </w:pPr>
            <w:r>
              <w:rPr>
                <w:sz w:val="18"/>
              </w:rPr>
              <w:t>Funded savers</w:t>
            </w:r>
          </w:p>
        </w:tc>
        <w:tc>
          <w:tcPr>
            <w:tcW w:type="dxa" w:w="2276"/>
          </w:tcPr>
          <w:p>
            <w:pPr>
              <w:spacing w:after="0"/>
            </w:pPr>
            <w:r>
              <w:rPr>
                <w:sz w:val="18"/>
              </w:rPr>
              <w:t>≥3,962</w:t>
            </w:r>
          </w:p>
        </w:tc>
        <w:tc>
          <w:tcPr>
            <w:tcW w:type="dxa" w:w="3187"/>
          </w:tcPr>
          <w:p>
            <w:pPr>
              <w:spacing w:after="0"/>
            </w:pPr>
            <w:r>
              <w:rPr>
                <w:sz w:val="18"/>
              </w:rPr>
              <w:t>Below 2,476 for two quarters</w:t>
            </w:r>
          </w:p>
        </w:tc>
        <w:tc>
          <w:tcPr>
            <w:tcW w:type="dxa" w:w="1707"/>
          </w:tcPr>
          <w:p>
            <w:pPr>
              <w:spacing w:after="0"/>
            </w:pPr>
            <w:r>
              <w:rPr>
                <w:sz w:val="18"/>
              </w:rPr>
              <w:t>Head of Product</w:t>
            </w:r>
          </w:p>
        </w:tc>
      </w:tr>
      <w:tr>
        <w:tc>
          <w:tcPr>
            <w:tcW w:type="dxa" w:w="1366"/>
          </w:tcPr>
          <w:p>
            <w:pPr>
              <w:spacing w:after="0"/>
            </w:pPr>
            <w:r>
              <w:rPr>
                <w:sz w:val="18"/>
              </w:rPr>
              <w:t>3 (24)</w:t>
            </w:r>
          </w:p>
        </w:tc>
        <w:tc>
          <w:tcPr>
            <w:tcW w:type="dxa" w:w="6487"/>
          </w:tcPr>
          <w:p>
            <w:pPr>
              <w:spacing w:after="0"/>
            </w:pPr>
            <w:r>
              <w:rPr>
                <w:sz w:val="18"/>
              </w:rPr>
              <w:t>New accounts above VND 10 million; employer participation</w:t>
            </w:r>
          </w:p>
        </w:tc>
        <w:tc>
          <w:tcPr>
            <w:tcW w:type="dxa" w:w="2276"/>
          </w:tcPr>
          <w:p>
            <w:pPr>
              <w:spacing w:after="0"/>
            </w:pPr>
            <w:r>
              <w:rPr>
                <w:sz w:val="18"/>
              </w:rPr>
              <w:t>≥6,171; ≥39%</w:t>
            </w:r>
          </w:p>
        </w:tc>
        <w:tc>
          <w:tcPr>
            <w:tcW w:type="dxa" w:w="3187"/>
          </w:tcPr>
          <w:p>
            <w:pPr>
              <w:spacing w:after="0"/>
            </w:pPr>
            <w:r>
              <w:rPr>
                <w:sz w:val="18"/>
              </w:rPr>
              <w:t>Below 1,140; below 20%</w:t>
            </w:r>
          </w:p>
        </w:tc>
        <w:tc>
          <w:tcPr>
            <w:tcW w:type="dxa" w:w="1707"/>
          </w:tcPr>
          <w:p>
            <w:pPr>
              <w:spacing w:after="0"/>
            </w:pPr>
            <w:r>
              <w:rPr>
                <w:sz w:val="18"/>
              </w:rPr>
              <w:t>CEO</w:t>
            </w:r>
          </w:p>
        </w:tc>
      </w:tr>
    </w:tbl>
    <w:p/>
    <w:p>
      <w:pPr>
        <w:pStyle w:val="SourceLine"/>
      </w:pPr>
      <w:r>
        <w:t xml:space="preserve">CSV: </w:t>
      </w:r>
      <w:r>
        <w:rPr>
          <w:rFonts w:ascii="Consolas" w:hAnsi="Consolas"/>
          <w:color w:val="6B6B6B"/>
          <w:sz w:val="18"/>
        </w:rPr>
        <w:t>outputs/round3/tables/slide14_gates.csv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cohort model; thresholds derived from unit economics.</w:t>
      </w:r>
    </w:p>
    <w:p>
      <w:r>
        <w:rPr>
          <w:rStyle w:val="FieldLabel"/>
        </w:rPr>
        <w:t>Figure:</w:t>
      </w:r>
      <w:r>
        <w:t xml:space="preserve"> </w:t>
      </w:r>
      <w:r>
        <w:rPr>
          <w:rFonts w:ascii="Consolas" w:hAnsi="Consolas"/>
          <w:color w:val="6B6B6B"/>
          <w:sz w:val="18"/>
        </w:rPr>
        <w:t>outputs/round3/figures/decision_tree.png</w:t>
      </w:r>
      <w:r>
        <w:t>.</w:t>
      </w:r>
    </w:p>
    <w:p>
      <w:r>
        <w:drawing>
          <wp:inline xmlns:a="http://schemas.openxmlformats.org/drawingml/2006/main" xmlns:pic="http://schemas.openxmlformats.org/drawingml/2006/picture">
            <wp:extent cx="9000000" cy="2741250"/>
            <wp:docPr id="13" name="Picture 13"/>
            <wp:cNvGraphicFramePr>
              <a:graphicFrameLocks noChangeAspect="1"/>
            </wp:cNvGraphicFramePr>
            <a:graphic>
              <a:graphicData uri="http://schemas.openxmlformats.org/drawingml/2006/picture">
                <pic:pic>
                  <pic:nvPicPr>
                    <pic:cNvPr id="0" name="decision_tree.png"/>
                    <pic:cNvPicPr/>
                  </pic:nvPicPr>
                  <pic:blipFill>
                    <a:blip r:embed="rId21"/>
                    <a:stretch>
                      <a:fillRect/>
                    </a:stretch>
                  </pic:blipFill>
                  <pic:spPr>
                    <a:xfrm>
                      <a:off x="0" y="0"/>
                      <a:ext cx="9000000" cy="2741250"/>
                    </a:xfrm>
                    <a:prstGeom prst="rect"/>
                  </pic:spPr>
                </pic:pic>
              </a:graphicData>
            </a:graphic>
          </wp:inline>
        </w:drawing>
      </w:r>
    </w:p>
    <w:p>
      <w:pPr>
        <w:pStyle w:val="SourceLine"/>
      </w:pPr>
      <w:r>
        <w:t>Caption: Scale, adjust and stop branches at Gates 0 to 3, with thresholds from the cohort model.</w:t>
      </w:r>
    </w:p>
    <w:p>
      <w:pPr>
        <w:pStyle w:val="SourceLine"/>
      </w:pPr>
      <w:r>
        <w:t>Source: authors' cohort model.</w:t>
      </w:r>
    </w:p>
    <w:p>
      <w:pPr>
        <w:pStyle w:val="SourceLine"/>
      </w:pPr>
      <w:r>
        <w:t xml:space="preserve">Data: </w:t>
      </w:r>
      <w:r>
        <w:rPr>
          <w:rFonts w:ascii="Consolas" w:hAnsi="Consolas"/>
          <w:color w:val="6B6B6B"/>
          <w:sz w:val="18"/>
        </w:rPr>
        <w:t>outputs/round3/tables/decision_tree.csv</w:t>
      </w:r>
      <w:r>
        <w:t>.</w:t>
      </w:r>
    </w:p>
    <w:p>
      <w:r>
        <w:rPr>
          <w:rStyle w:val="FieldLabel"/>
        </w:rPr>
        <w:t>Designer notes (tiếng Việt):</w:t>
      </w:r>
    </w:p>
    <w:p>
      <w:pPr>
        <w:pStyle w:val="DesignerNote"/>
      </w:pPr>
      <w:r>
        <w:t>Cây quyết định nằm ngang chiếm nửa trên: mỗi cổng là một nút có ba nhánh (xanh xám = scale, PEACH = adjust, RED = stop).</w:t>
      </w:r>
    </w:p>
    <w:p>
      <w:pPr>
        <w:pStyle w:val="DesignerNote"/>
      </w:pPr>
      <w:r>
        <w:t>Bảng 6 dòng ở dưới. Đây là slide của tiêu chí 30 điểm: phải đọc được ở cỡ slide.</w:t>
      </w:r>
    </w:p>
    <w:p>
      <w:r>
        <w:rPr>
          <w:rStyle w:val="FieldLabel"/>
        </w:rPr>
        <w:t>Speaker notes:</w:t>
      </w:r>
    </w:p>
    <w:p>
      <w:pPr>
        <w:pStyle w:val="SpeakerNote"/>
      </w:pPr>
      <w:r>
        <w:t>How will the Board know whether to continue? Every phase ends with numbers that scale, adjust or stop the plan. Gate zero, at month three, checks partner terms, a 99.5 per cent on-time rate in shadow paydays and written compliance. Gate one, at month six, reads the pilot. We scale if at least 1.5 per cent of treated accounts enrol and stop below one per cent. We also stop if fewer than 60 per cent make three contributions, or if the projected cost per new funded account exceeds 2.6 million dong. The pilot has three arms of 15,000 accounts, enough to detect a ten-point gain in persistence. Gates two and three test funded savers, new funded accounts and the employer channel.</w:t>
      </w:r>
    </w:p>
    <w:p>
      <w:pPr>
        <w:pStyle w:val="SourceLine"/>
      </w:pPr>
      <w:r>
        <w:rPr>
          <w:rStyle w:val="FieldLabel"/>
        </w:rPr>
        <w:t>Sources:</w:t>
      </w:r>
      <w:r>
        <w:t xml:space="preserve"> </w:t>
      </w:r>
      <w:r>
        <w:t>authors' cohort model.</w:t>
      </w:r>
    </w:p>
    <w:p>
      <w:r>
        <w:br w:type="page"/>
      </w:r>
    </w:p>
    <w:p>
      <w:pPr>
        <w:pStyle w:val="Heading2"/>
      </w:pPr>
      <w:r>
        <w:t>Slide 15: Risks and Board ask</w:t>
      </w:r>
    </w:p>
    <w:p>
      <w:r>
        <w:rPr>
          <w:rStyle w:val="FieldLabel"/>
        </w:rPr>
        <w:t>Action title:</w:t>
      </w:r>
      <w:r>
        <w:t xml:space="preserve"> </w:t>
      </w:r>
      <w:r>
        <w:t>Approve VND 6.6 billion and five decisions; we report back at month 6</w:t>
      </w:r>
    </w:p>
    <w:p>
      <w:r>
        <w:rPr>
          <w:rStyle w:val="FieldLabel"/>
        </w:rPr>
        <w:t>On-slide text:</w:t>
      </w:r>
    </w:p>
    <w:p>
      <w:pPr>
        <w:pStyle w:val="ListBullet"/>
      </w:pPr>
      <w:r>
        <w:t>Highest risks: a payday failure (20 of 25), low enrolment (16), and a regulator objection to Golden Egg's role (15).</w:t>
      </w:r>
    </w:p>
    <w:p>
      <w:pPr>
        <w:pStyle w:val="ListBullet"/>
      </w:pPr>
      <w:r>
        <w:t>Each risk has an owner and an early-warning trigger (Appendix B).</w:t>
      </w:r>
    </w:p>
    <w:p>
      <w:r>
        <w:rPr>
          <w:rStyle w:val="FieldLabel"/>
        </w:rPr>
        <w:t>Table:</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2146"/>
            <w:shd w:val="clear" w:color="auto" w:fill="F3F3F3"/>
          </w:tcPr>
          <w:p>
            <w:pPr>
              <w:spacing w:after="0"/>
            </w:pPr>
            <w:r>
              <w:rPr>
                <w:b/>
                <w:sz w:val="18"/>
              </w:rPr>
              <w:t>Ask</w:t>
            </w:r>
          </w:p>
        </w:tc>
        <w:tc>
          <w:tcPr>
            <w:tcW w:type="dxa" w:w="12877"/>
            <w:shd w:val="clear" w:color="auto" w:fill="F3F3F3"/>
          </w:tcPr>
          <w:p>
            <w:pPr>
              <w:spacing w:after="0"/>
            </w:pPr>
            <w:r>
              <w:rPr>
                <w:b/>
                <w:sz w:val="18"/>
              </w:rPr>
              <w:t>Detail</w:t>
            </w:r>
          </w:p>
        </w:tc>
      </w:tr>
      <w:tr>
        <w:tc>
          <w:tcPr>
            <w:tcW w:type="dxa" w:w="2146"/>
          </w:tcPr>
          <w:p>
            <w:pPr>
              <w:spacing w:after="0"/>
            </w:pPr>
            <w:r>
              <w:rPr>
                <w:sz w:val="18"/>
              </w:rPr>
              <w:t>Budget</w:t>
            </w:r>
          </w:p>
        </w:tc>
        <w:tc>
          <w:tcPr>
            <w:tcW w:type="dxa" w:w="12877"/>
          </w:tcPr>
          <w:p>
            <w:pPr>
              <w:spacing w:after="0"/>
            </w:pPr>
            <w:r>
              <w:rPr>
                <w:sz w:val="18"/>
              </w:rPr>
              <w:t>VND 6.6 billion for months 1 to 6 (5.7 plus 15% contingency)</w:t>
            </w:r>
          </w:p>
        </w:tc>
      </w:tr>
      <w:tr>
        <w:tc>
          <w:tcPr>
            <w:tcW w:type="dxa" w:w="2146"/>
          </w:tcPr>
          <w:p>
            <w:pPr>
              <w:spacing w:after="0"/>
            </w:pPr>
            <w:r>
              <w:rPr>
                <w:sz w:val="18"/>
              </w:rPr>
              <w:t>Decision 1</w:t>
            </w:r>
          </w:p>
        </w:tc>
        <w:tc>
          <w:tcPr>
            <w:tcW w:type="dxa" w:w="12877"/>
          </w:tcPr>
          <w:p>
            <w:pPr>
              <w:spacing w:after="0"/>
            </w:pPr>
            <w:r>
              <w:rPr>
                <w:sz w:val="18"/>
              </w:rPr>
              <w:t>Choose the virtual-account bank; collection fee target VND 0</w:t>
            </w:r>
          </w:p>
        </w:tc>
      </w:tr>
      <w:tr>
        <w:tc>
          <w:tcPr>
            <w:tcW w:type="dxa" w:w="2146"/>
          </w:tcPr>
          <w:p>
            <w:pPr>
              <w:spacing w:after="0"/>
            </w:pPr>
            <w:r>
              <w:rPr>
                <w:sz w:val="18"/>
              </w:rPr>
              <w:t>Decision 2</w:t>
            </w:r>
          </w:p>
        </w:tc>
        <w:tc>
          <w:tcPr>
            <w:tcW w:type="dxa" w:w="12877"/>
          </w:tcPr>
          <w:p>
            <w:pPr>
              <w:spacing w:after="0"/>
            </w:pPr>
            <w:r>
              <w:rPr>
                <w:sz w:val="18"/>
              </w:rPr>
              <w:t>Sign 1 to 2 fund managers</w:t>
            </w:r>
          </w:p>
        </w:tc>
      </w:tr>
      <w:tr>
        <w:tc>
          <w:tcPr>
            <w:tcW w:type="dxa" w:w="2146"/>
          </w:tcPr>
          <w:p>
            <w:pPr>
              <w:spacing w:after="0"/>
            </w:pPr>
            <w:r>
              <w:rPr>
                <w:sz w:val="18"/>
              </w:rPr>
              <w:t>Decision 3</w:t>
            </w:r>
          </w:p>
        </w:tc>
        <w:tc>
          <w:tcPr>
            <w:tcW w:type="dxa" w:w="12877"/>
          </w:tcPr>
          <w:p>
            <w:pPr>
              <w:spacing w:after="0"/>
            </w:pPr>
            <w:r>
              <w:rPr>
                <w:sz w:val="18"/>
              </w:rPr>
              <w:t>File the SSC notice; pre-consult on Golden Egg's role</w:t>
            </w:r>
          </w:p>
        </w:tc>
      </w:tr>
      <w:tr>
        <w:tc>
          <w:tcPr>
            <w:tcW w:type="dxa" w:w="2146"/>
          </w:tcPr>
          <w:p>
            <w:pPr>
              <w:spacing w:after="0"/>
            </w:pPr>
            <w:r>
              <w:rPr>
                <w:sz w:val="18"/>
              </w:rPr>
              <w:t>Decision 4</w:t>
            </w:r>
          </w:p>
        </w:tc>
        <w:tc>
          <w:tcPr>
            <w:tcW w:type="dxa" w:w="12877"/>
          </w:tcPr>
          <w:p>
            <w:pPr>
              <w:spacing w:after="0"/>
            </w:pPr>
            <w:r>
              <w:rPr>
                <w:sz w:val="18"/>
              </w:rPr>
              <w:t>Have a licensed adviser sign the model plans</w:t>
            </w:r>
          </w:p>
        </w:tc>
      </w:tr>
      <w:tr>
        <w:tc>
          <w:tcPr>
            <w:tcW w:type="dxa" w:w="2146"/>
          </w:tcPr>
          <w:p>
            <w:pPr>
              <w:spacing w:after="0"/>
            </w:pPr>
            <w:r>
              <w:rPr>
                <w:sz w:val="18"/>
              </w:rPr>
              <w:t>Decision 5</w:t>
            </w:r>
          </w:p>
        </w:tc>
        <w:tc>
          <w:tcPr>
            <w:tcW w:type="dxa" w:w="12877"/>
          </w:tcPr>
          <w:p>
            <w:pPr>
              <w:spacing w:after="0"/>
            </w:pPr>
            <w:r>
              <w:rPr>
                <w:sz w:val="18"/>
              </w:rPr>
              <w:t>Accept about VND 1.3 million per new funded account as the gate yardstick</w:t>
            </w:r>
          </w:p>
        </w:tc>
      </w:tr>
    </w:tbl>
    <w:p/>
    <w:p>
      <w:pPr>
        <w:pStyle w:val="SourceLine"/>
      </w:pPr>
      <w:r>
        <w:t xml:space="preserve">CSV: </w:t>
      </w:r>
      <w:r>
        <w:rPr>
          <w:rFonts w:ascii="Consolas" w:hAnsi="Consolas"/>
          <w:color w:val="6B6B6B"/>
          <w:sz w:val="18"/>
        </w:rPr>
        <w:t>outputs/round3/tables/slide15_board_ask.csv</w:t>
      </w:r>
      <w:r>
        <w:t xml:space="preserve"> (sinh bằng </w:t>
      </w:r>
      <w:r>
        <w:rPr>
          <w:rFonts w:ascii="Consolas" w:hAnsi="Consolas"/>
          <w:color w:val="6B6B6B"/>
          <w:sz w:val="18"/>
        </w:rPr>
        <w:t>src/round3/deck_tables.py</w:t>
      </w:r>
      <w:r>
        <w:t xml:space="preserve"> từ </w:t>
      </w:r>
      <w:r>
        <w:rPr>
          <w:rFonts w:ascii="Consolas" w:hAnsi="Consolas"/>
          <w:color w:val="6B6B6B"/>
          <w:sz w:val="18"/>
        </w:rPr>
        <w:t>data/round3/deck_tables/</w:t>
      </w:r>
      <w:r>
        <w:t xml:space="preserve"> và output của mô hình; sửa CSV mẫu, không sửa bảng ở đây).</w:t>
      </w:r>
    </w:p>
    <w:p>
      <w:pPr>
        <w:pStyle w:val="SourceLine"/>
      </w:pPr>
      <w:r>
        <w:t>Source: authors' cohort model.</w:t>
      </w:r>
    </w:p>
    <w:p>
      <w:r>
        <w:rPr>
          <w:rStyle w:val="FieldLabel"/>
        </w:rPr>
        <w:t>Figure:</w:t>
      </w:r>
      <w:r>
        <w:t xml:space="preserve"> </w:t>
      </w:r>
      <w:r>
        <w:rPr>
          <w:rFonts w:ascii="Consolas" w:hAnsi="Consolas"/>
          <w:color w:val="6B6B6B"/>
          <w:sz w:val="18"/>
        </w:rPr>
        <w:t>outputs/round3/figures/risk_heatmap.png</w:t>
      </w:r>
      <w:r>
        <w:t>.</w:t>
      </w:r>
    </w:p>
    <w:p>
      <w:r>
        <w:drawing>
          <wp:inline xmlns:a="http://schemas.openxmlformats.org/drawingml/2006/main" xmlns:pic="http://schemas.openxmlformats.org/drawingml/2006/picture">
            <wp:extent cx="4680000" cy="3510000"/>
            <wp:docPr id="14" name="Picture 14"/>
            <wp:cNvGraphicFramePr>
              <a:graphicFrameLocks noChangeAspect="1"/>
            </wp:cNvGraphicFramePr>
            <a:graphic>
              <a:graphicData uri="http://schemas.openxmlformats.org/drawingml/2006/picture">
                <pic:pic>
                  <pic:nvPicPr>
                    <pic:cNvPr id="0" name="risk_heatmap.png"/>
                    <pic:cNvPicPr/>
                  </pic:nvPicPr>
                  <pic:blipFill>
                    <a:blip r:embed="rId22"/>
                    <a:stretch>
                      <a:fillRect/>
                    </a:stretch>
                  </pic:blipFill>
                  <pic:spPr>
                    <a:xfrm>
                      <a:off x="0" y="0"/>
                      <a:ext cx="4680000" cy="3510000"/>
                    </a:xfrm>
                    <a:prstGeom prst="rect"/>
                  </pic:spPr>
                </pic:pic>
              </a:graphicData>
            </a:graphic>
          </wp:inline>
        </w:drawing>
      </w:r>
    </w:p>
    <w:p>
      <w:pPr>
        <w:pStyle w:val="SourceLine"/>
      </w:pPr>
      <w:r>
        <w:t>Caption: Six risks by likelihood and impact on a 1 to 5 scale, with owners; cell colours follow the score bands of the risk register.</w:t>
      </w:r>
    </w:p>
    <w:p>
      <w:pPr>
        <w:pStyle w:val="SourceLine"/>
      </w:pPr>
      <w:r>
        <w:t>Source: authors' assessment.</w:t>
      </w:r>
    </w:p>
    <w:p>
      <w:pPr>
        <w:pStyle w:val="SourceLine"/>
      </w:pPr>
      <w:r>
        <w:t xml:space="preserve">Data: </w:t>
      </w:r>
      <w:r>
        <w:rPr>
          <w:rFonts w:ascii="Consolas" w:hAnsi="Consolas"/>
          <w:color w:val="6B6B6B"/>
          <w:sz w:val="18"/>
        </w:rPr>
        <w:t>outputs/round3/tables/risk_register.csv</w:t>
      </w:r>
      <w:r>
        <w:t>.</w:t>
      </w:r>
    </w:p>
    <w:p>
      <w:r>
        <w:rPr>
          <w:rStyle w:val="FieldLabel"/>
        </w:rPr>
        <w:t>Designer notes (tiếng Việt):</w:t>
      </w:r>
    </w:p>
    <w:p>
      <w:pPr>
        <w:pStyle w:val="DesignerNote"/>
      </w:pPr>
      <w:r>
        <w:t>Trái: heat map 5×5 (ô càng đỏ càng nặng), mỗi rủi ro là một nhãn R1–R6. Phải: khung "Board ask" viền RED.</w:t>
      </w:r>
    </w:p>
    <w:p>
      <w:pPr>
        <w:pStyle w:val="DesignerNote"/>
      </w:pPr>
      <w:r>
        <w:t>Đây là slide cuối, kết bằng câu hỏi xin duyệt. Không thêm "Thank you" trên cùng slide.</w:t>
      </w:r>
    </w:p>
    <w:p>
      <w:r>
        <w:rPr>
          <w:rStyle w:val="FieldLabel"/>
        </w:rPr>
        <w:t>Speaker notes:</w:t>
      </w:r>
    </w:p>
    <w:p>
      <w:pPr>
        <w:pStyle w:val="SpeakerNote"/>
      </w:pPr>
      <w:r>
        <w:t>Three risks matter most. A payday failure scores highest, and the 4 March outage shows it can happen, so shadow runs, a separate scheduler and a release freeze come before launch. Low enrolment comes second, which is why we stop below one per cent. Third, the regulator may object to Golden Egg's role or to the advice flow. New Golden Egg openings were paused at the regulator's request in December 2023, so we notify the SSC early and keep bond funds as a fallback core. Our ask is specific: 6.6 billion dong for months one to six, and five decisions, starting with a virtual-account bank that waives the collection fee. We will come back at month six with measured numbers.</w:t>
      </w:r>
    </w:p>
    <w:p>
      <w:pPr>
        <w:pStyle w:val="SourceLine"/>
      </w:pPr>
      <w:r>
        <w:rPr>
          <w:rStyle w:val="FieldLabel"/>
        </w:rPr>
        <w:t>Sources:</w:t>
      </w:r>
      <w:r>
        <w:t xml:space="preserve"> </w:t>
      </w:r>
      <w:r>
        <w:t>authors' assessment; DNSE Securities (2023, 2026e); Market Times (2026).</w:t>
      </w:r>
    </w:p>
    <w:p>
      <w:r>
        <w:br w:type="page"/>
      </w:r>
    </w:p>
    <w:p>
      <w:pPr>
        <w:pStyle w:val="Heading2"/>
      </w:pPr>
      <w:r>
        <w:t>Appendix và references</w:t>
      </w:r>
    </w:p>
    <w:p>
      <w:r>
        <w:t xml:space="preserve">Appendix A–I (nội dung đầy đủ, có bảng sinh từ CSV) và danh mục references APA 7 nằm ở </w:t>
      </w:r>
      <w:r>
        <w:rPr>
          <w:b/>
        </w:rPr>
        <w:t>`docs/doc_round3/deck_appendix.md`</w:t>
      </w:r>
      <w:r>
        <w:t>.</w:t>
      </w:r>
    </w:p>
    <w:p>
      <w:r>
        <w:br w:type="page"/>
      </w:r>
    </w:p>
    <w:p>
      <w:pPr>
        <w:pStyle w:val="Heading1"/>
      </w:pPr>
      <w:r>
        <w:t>Round 3A deck appendix and references: Payday Portfolio</w:t>
      </w:r>
    </w:p>
    <w:p>
      <w:r>
        <w:rPr>
          <w:i/>
        </w:rPr>
        <w:t>Lập ngày 17/10/2026, đi cùng `deck_content.md`. Appendix không tính vào 15 slide chính. Thứ tự trong deck: 15 slide chính → appendix A–I → references.</w:t>
      </w:r>
    </w:p>
    <w:p>
      <w:r>
        <w:rPr>
          <w:b/>
        </w:rPr>
        <w:t>Đọc file này thế nào</w:t>
      </w:r>
    </w:p>
    <w:p>
      <w:pPr>
        <w:pStyle w:val="ListBullet"/>
      </w:pPr>
      <w:r>
        <w:t>Mỗi mục "###" là một slide appendix (bảng dài có thể tách thành 2 slide khi thiết kế).</w:t>
      </w:r>
    </w:p>
    <w:p>
      <w:pPr>
        <w:pStyle w:val="ListBullet"/>
      </w:pPr>
      <w:r>
        <w:t xml:space="preserve">Bảng nằm giữa hai dòng </w:t>
      </w:r>
      <w:r>
        <w:rPr>
          <w:rFonts w:ascii="Consolas" w:hAnsi="Consolas"/>
          <w:color w:val="6B6B6B"/>
          <w:sz w:val="18"/>
        </w:rPr>
        <w:t>&lt;!-- table: ... --&gt;</w:t>
      </w:r>
      <w:r>
        <w:t xml:space="preserve"> và được ghi từ CSV bằng </w:t>
      </w:r>
      <w:r>
        <w:rPr>
          <w:rFonts w:ascii="Consolas" w:hAnsi="Consolas"/>
          <w:color w:val="6B6B6B"/>
          <w:sz w:val="18"/>
        </w:rPr>
        <w:t>python src/round3/deck_tables.py</w:t>
      </w:r>
      <w:r>
        <w:t>. Không sửa bảng trực tiếp ở đây.</w:t>
      </w:r>
    </w:p>
    <w:p>
      <w:pPr>
        <w:pStyle w:val="ListBullet"/>
      </w:pPr>
      <w:r>
        <w:t>Chữ trên slide bằng tiếng Anh; ghi chú cho người dựng slide bằng tiếng Việt.</w:t>
      </w:r>
    </w:p>
    <w:p>
      <w:r>
        <w:br w:type="page"/>
      </w:r>
    </w:p>
    <w:p>
      <w:pPr>
        <w:pStyle w:val="Heading2"/>
      </w:pPr>
      <w:r>
        <w:t>Appendix A: Data and methods</w:t>
      </w:r>
    </w:p>
    <w:p>
      <w:r>
        <w:br w:type="page"/>
      </w:r>
    </w:p>
    <w:p>
      <w:pPr>
        <w:pStyle w:val="Heading3"/>
      </w:pPr>
      <w:r>
        <w:t>A1. Data behind the deck</w:t>
      </w:r>
    </w:p>
    <w:p>
      <w:r>
        <w:rPr>
          <w:rStyle w:val="FieldLabel"/>
        </w:rPr>
        <w:t>Title:</w:t>
      </w:r>
      <w:r>
        <w:t xml:space="preserve"> </w:t>
      </w:r>
      <w:r>
        <w:t>Every number comes from DNSE's filings, public sources or the cohort model</w:t>
      </w:r>
    </w:p>
    <w:p>
      <w:r>
        <w:rPr>
          <w:rStyle w:val="FieldLabel"/>
        </w:rPr>
        <w:t>Text:</w:t>
      </w:r>
    </w:p>
    <w:p>
      <w:pPr>
        <w:pStyle w:val="ListBullet"/>
      </w:pPr>
      <w:r>
        <w:t>Assumptions are labelled as such; the pilot measures them before any scale-up.</w:t>
      </w:r>
    </w:p>
    <w:p>
      <w:r>
        <w:rPr>
          <w:rStyle w:val="FieldLabel"/>
        </w:rPr>
        <w:t>Table:</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5366"/>
            <w:shd w:val="clear" w:color="auto" w:fill="F3F3F3"/>
          </w:tcPr>
          <w:p>
            <w:pPr>
              <w:spacing w:after="0"/>
            </w:pPr>
            <w:r>
              <w:rPr>
                <w:b/>
                <w:sz w:val="18"/>
              </w:rPr>
              <w:t>Data</w:t>
            </w:r>
          </w:p>
        </w:tc>
        <w:tc>
          <w:tcPr>
            <w:tcW w:type="dxa" w:w="5366"/>
            <w:shd w:val="clear" w:color="auto" w:fill="F3F3F3"/>
          </w:tcPr>
          <w:p>
            <w:pPr>
              <w:spacing w:after="0"/>
            </w:pPr>
            <w:r>
              <w:rPr>
                <w:b/>
                <w:sz w:val="18"/>
              </w:rPr>
              <w:t>Source</w:t>
            </w:r>
          </w:p>
        </w:tc>
        <w:tc>
          <w:tcPr>
            <w:tcW w:type="dxa" w:w="4292"/>
            <w:shd w:val="clear" w:color="auto" w:fill="F3F3F3"/>
          </w:tcPr>
          <w:p>
            <w:pPr>
              <w:spacing w:after="0"/>
            </w:pPr>
            <w:r>
              <w:rPr>
                <w:b/>
                <w:sz w:val="18"/>
              </w:rPr>
              <w:t>Used for</w:t>
            </w:r>
          </w:p>
        </w:tc>
      </w:tr>
      <w:tr>
        <w:tc>
          <w:tcPr>
            <w:tcW w:type="dxa" w:w="5366"/>
          </w:tcPr>
          <w:p>
            <w:pPr>
              <w:spacing w:after="0"/>
            </w:pPr>
            <w:r>
              <w:rPr>
                <w:sz w:val="18"/>
              </w:rPr>
              <w:t>Accounts, active customers and funded accounts, December 2025</w:t>
            </w:r>
          </w:p>
        </w:tc>
        <w:tc>
          <w:tcPr>
            <w:tcW w:type="dxa" w:w="5366"/>
          </w:tcPr>
          <w:p>
            <w:pPr>
              <w:spacing w:after="0"/>
            </w:pPr>
            <w:r>
              <w:rPr>
                <w:sz w:val="18"/>
              </w:rPr>
              <w:t>DNSE Annual Report 2025 (DNSE Securities 2026c)</w:t>
            </w:r>
          </w:p>
        </w:tc>
        <w:tc>
          <w:tcPr>
            <w:tcW w:type="dxa" w:w="4292"/>
          </w:tcPr>
          <w:p>
            <w:pPr>
              <w:spacing w:after="0"/>
            </w:pPr>
            <w:r>
              <w:rPr>
                <w:sz w:val="18"/>
              </w:rPr>
              <w:t>Problem, sizing, model inputs</w:t>
            </w:r>
          </w:p>
        </w:tc>
      </w:tr>
      <w:tr>
        <w:tc>
          <w:tcPr>
            <w:tcW w:type="dxa" w:w="5366"/>
          </w:tcPr>
          <w:p>
            <w:pPr>
              <w:spacing w:after="0"/>
            </w:pPr>
            <w:r>
              <w:rPr>
                <w:sz w:val="18"/>
              </w:rPr>
              <w:t>DNSE financial statements, Q1 2018 to Q2 2026</w:t>
            </w:r>
          </w:p>
        </w:tc>
        <w:tc>
          <w:tcPr>
            <w:tcW w:type="dxa" w:w="5366"/>
          </w:tcPr>
          <w:p>
            <w:pPr>
              <w:spacing w:after="0"/>
            </w:pPr>
            <w:r>
              <w:rPr>
                <w:sz w:val="18"/>
              </w:rPr>
              <w:t>DNSE filings via Vietcap Securities (2026)</w:t>
            </w:r>
          </w:p>
        </w:tc>
        <w:tc>
          <w:tcPr>
            <w:tcW w:type="dxa" w:w="4292"/>
          </w:tcPr>
          <w:p>
            <w:pPr>
              <w:spacing w:after="0"/>
            </w:pPr>
            <w:r>
              <w:rPr>
                <w:sz w:val="18"/>
              </w:rPr>
              <w:t>Brokerage loss, platform cost per funded account</w:t>
            </w:r>
          </w:p>
        </w:tc>
      </w:tr>
      <w:tr>
        <w:tc>
          <w:tcPr>
            <w:tcW w:type="dxa" w:w="5366"/>
          </w:tcPr>
          <w:p>
            <w:pPr>
              <w:spacing w:after="0"/>
            </w:pPr>
            <w:r>
              <w:rPr>
                <w:sz w:val="18"/>
              </w:rPr>
              <w:t>Market shares of accounts, investor cash, margin loans and profit</w:t>
            </w:r>
          </w:p>
        </w:tc>
        <w:tc>
          <w:tcPr>
            <w:tcW w:type="dxa" w:w="5366"/>
          </w:tcPr>
          <w:p>
            <w:pPr>
              <w:spacing w:after="0"/>
            </w:pPr>
            <w:r>
              <w:rPr>
                <w:sz w:val="18"/>
              </w:rPr>
              <w:t>HNX, VSDC and press reports, reconciled in Round 2</w:t>
            </w:r>
          </w:p>
        </w:tc>
        <w:tc>
          <w:tcPr>
            <w:tcW w:type="dxa" w:w="4292"/>
          </w:tcPr>
          <w:p>
            <w:pPr>
              <w:spacing w:after="0"/>
            </w:pPr>
            <w:r>
              <w:rPr>
                <w:sz w:val="18"/>
              </w:rPr>
              <w:t>Slide 2</w:t>
            </w:r>
          </w:p>
        </w:tc>
      </w:tr>
      <w:tr>
        <w:tc>
          <w:tcPr>
            <w:tcW w:type="dxa" w:w="5366"/>
          </w:tcPr>
          <w:p>
            <w:pPr>
              <w:spacing w:after="0"/>
            </w:pPr>
            <w:r>
              <w:rPr>
                <w:sz w:val="18"/>
              </w:rPr>
              <w:t>App reviews of DNSE, VPS and FPTS, 2021 to 2026</w:t>
            </w:r>
          </w:p>
        </w:tc>
        <w:tc>
          <w:tcPr>
            <w:tcW w:type="dxa" w:w="5366"/>
          </w:tcPr>
          <w:p>
            <w:pPr>
              <w:spacing w:after="0"/>
            </w:pPr>
            <w:r>
              <w:rPr>
                <w:sz w:val="18"/>
              </w:rPr>
              <w:t>Google Play and App Store; Round 2 cleaning; 58 negative 2026 reviews coded by hand</w:t>
            </w:r>
          </w:p>
        </w:tc>
        <w:tc>
          <w:tcPr>
            <w:tcW w:type="dxa" w:w="4292"/>
          </w:tcPr>
          <w:p>
            <w:pPr>
              <w:spacing w:after="0"/>
            </w:pPr>
            <w:r>
              <w:rPr>
                <w:sz w:val="18"/>
              </w:rPr>
              <w:t>Slides 4 and 5; Appendices D and F</w:t>
            </w:r>
          </w:p>
        </w:tc>
      </w:tr>
      <w:tr>
        <w:tc>
          <w:tcPr>
            <w:tcW w:type="dxa" w:w="5366"/>
          </w:tcPr>
          <w:p>
            <w:pPr>
              <w:spacing w:after="0"/>
            </w:pPr>
            <w:r>
              <w:rPr>
                <w:sz w:val="18"/>
              </w:rPr>
              <w:t>Rates, fees and product terms, October 2026</w:t>
            </w:r>
          </w:p>
        </w:tc>
        <w:tc>
          <w:tcPr>
            <w:tcW w:type="dxa" w:w="5366"/>
          </w:tcPr>
          <w:p>
            <w:pPr>
              <w:spacing w:after="0"/>
            </w:pPr>
            <w:r>
              <w:rPr>
                <w:sz w:val="18"/>
              </w:rPr>
              <w:t>44 web sources with access dates (sources_round3.csv)</w:t>
            </w:r>
          </w:p>
        </w:tc>
        <w:tc>
          <w:tcPr>
            <w:tcW w:type="dxa" w:w="4292"/>
          </w:tcPr>
          <w:p>
            <w:pPr>
              <w:spacing w:after="0"/>
            </w:pPr>
            <w:r>
              <w:rPr>
                <w:sz w:val="18"/>
              </w:rPr>
              <w:t>Model inputs; slides 3, 7 and 10</w:t>
            </w:r>
          </w:p>
        </w:tc>
      </w:tr>
      <w:tr>
        <w:tc>
          <w:tcPr>
            <w:tcW w:type="dxa" w:w="5366"/>
          </w:tcPr>
          <w:p>
            <w:pPr>
              <w:spacing w:after="0"/>
            </w:pPr>
            <w:r>
              <w:rPr>
                <w:sz w:val="18"/>
              </w:rPr>
              <w:t>Wages paid into an account</w:t>
            </w:r>
          </w:p>
        </w:tc>
        <w:tc>
          <w:tcPr>
            <w:tcW w:type="dxa" w:w="5366"/>
          </w:tcPr>
          <w:p>
            <w:pPr>
              <w:spacing w:after="0"/>
            </w:pPr>
            <w:r>
              <w:rPr>
                <w:sz w:val="18"/>
              </w:rPr>
              <w:t>World Bank (2025) Global Findex</w:t>
            </w:r>
          </w:p>
        </w:tc>
        <w:tc>
          <w:tcPr>
            <w:tcW w:type="dxa" w:w="4292"/>
          </w:tcPr>
          <w:p>
            <w:pPr>
              <w:spacing w:after="0"/>
            </w:pPr>
            <w:r>
              <w:rPr>
                <w:sz w:val="18"/>
              </w:rPr>
              <w:t>Share of salaried dormant holders</w:t>
            </w:r>
          </w:p>
        </w:tc>
      </w:tr>
    </w:tbl>
    <w:p/>
    <w:p>
      <w:pPr>
        <w:pStyle w:val="SourceLine"/>
      </w:pPr>
      <w:r>
        <w:t xml:space="preserve">CSV: </w:t>
      </w:r>
      <w:r>
        <w:rPr>
          <w:rFonts w:ascii="Consolas" w:hAnsi="Consolas"/>
          <w:color w:val="6B6B6B"/>
          <w:sz w:val="18"/>
        </w:rPr>
        <w:t>outputs/round3/tables/appA1_data_sources.csv</w:t>
      </w:r>
      <w:r>
        <w:t>.</w:t>
      </w:r>
    </w:p>
    <w:p>
      <w:pPr>
        <w:pStyle w:val="SourceLine"/>
      </w:pPr>
      <w:r>
        <w:t>Source: authors.</w:t>
      </w:r>
    </w:p>
    <w:p>
      <w:r>
        <w:br w:type="page"/>
      </w:r>
    </w:p>
    <w:p>
      <w:pPr>
        <w:pStyle w:val="Heading3"/>
      </w:pPr>
      <w:r>
        <w:t>A2. Methods and checks</w:t>
      </w:r>
    </w:p>
    <w:p>
      <w:r>
        <w:rPr>
          <w:rStyle w:val="FieldLabel"/>
        </w:rPr>
        <w:t>Title:</w:t>
      </w:r>
      <w:r>
        <w:t xml:space="preserve"> </w:t>
      </w:r>
      <w:r>
        <w:t>The model reproduces the Round 2 worked example before it is used</w:t>
      </w:r>
    </w:p>
    <w:p>
      <w:r>
        <w:rPr>
          <w:rStyle w:val="FieldLabel"/>
        </w:rPr>
        <w:t>Text:</w:t>
      </w:r>
    </w:p>
    <w:p>
      <w:pPr>
        <w:pStyle w:val="ListBullet"/>
      </w:pPr>
      <w:r>
        <w:t>Every table and figure is generated by code from the data files and can be rerun in about ten seconds.</w:t>
      </w:r>
    </w:p>
    <w:p>
      <w:r>
        <w:rPr>
          <w:rStyle w:val="FieldLabel"/>
        </w:rPr>
        <w:t>Table:</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2146"/>
            <w:shd w:val="clear" w:color="auto" w:fill="F3F3F3"/>
          </w:tcPr>
          <w:p>
            <w:pPr>
              <w:spacing w:after="0"/>
            </w:pPr>
            <w:r>
              <w:rPr>
                <w:b/>
                <w:sz w:val="18"/>
              </w:rPr>
              <w:t>Method</w:t>
            </w:r>
          </w:p>
        </w:tc>
        <w:tc>
          <w:tcPr>
            <w:tcW w:type="dxa" w:w="6439"/>
            <w:shd w:val="clear" w:color="auto" w:fill="F3F3F3"/>
          </w:tcPr>
          <w:p>
            <w:pPr>
              <w:spacing w:after="0"/>
            </w:pPr>
            <w:r>
              <w:rPr>
                <w:b/>
                <w:sz w:val="18"/>
              </w:rPr>
              <w:t>What it does</w:t>
            </w:r>
          </w:p>
        </w:tc>
        <w:tc>
          <w:tcPr>
            <w:tcW w:type="dxa" w:w="6439"/>
            <w:shd w:val="clear" w:color="auto" w:fill="F3F3F3"/>
          </w:tcPr>
          <w:p>
            <w:pPr>
              <w:spacing w:after="0"/>
            </w:pPr>
            <w:r>
              <w:rPr>
                <w:b/>
                <w:sz w:val="18"/>
              </w:rPr>
              <w:t>How it was checked</w:t>
            </w:r>
          </w:p>
        </w:tc>
      </w:tr>
      <w:tr>
        <w:tc>
          <w:tcPr>
            <w:tcW w:type="dxa" w:w="2146"/>
          </w:tcPr>
          <w:p>
            <w:pPr>
              <w:spacing w:after="0"/>
            </w:pPr>
            <w:r>
              <w:rPr>
                <w:sz w:val="18"/>
              </w:rPr>
              <w:t>Monthly cohort model</w:t>
            </w:r>
          </w:p>
        </w:tc>
        <w:tc>
          <w:tcPr>
            <w:tcW w:type="dxa" w:w="6439"/>
          </w:tcPr>
          <w:p>
            <w:pPr>
              <w:spacing w:after="0"/>
            </w:pPr>
            <w:r>
              <w:rPr>
                <w:sz w:val="18"/>
              </w:rPr>
              <w:t>Follows each month's new savers: stop rates, contributions, withdrawals and who passes VND 10 million</w:t>
            </w:r>
          </w:p>
        </w:tc>
        <w:tc>
          <w:tcPr>
            <w:tcW w:type="dxa" w:w="6439"/>
          </w:tcPr>
          <w:p>
            <w:pPr>
              <w:spacing w:after="0"/>
            </w:pPr>
            <w:r>
              <w:rPr>
                <w:sz w:val="18"/>
              </w:rPr>
              <w:t>35 tests pass, including the worked example of the Round 2 plan</w:t>
            </w:r>
          </w:p>
        </w:tc>
      </w:tr>
      <w:tr>
        <w:tc>
          <w:tcPr>
            <w:tcW w:type="dxa" w:w="2146"/>
          </w:tcPr>
          <w:p>
            <w:pPr>
              <w:spacing w:after="0"/>
            </w:pPr>
            <w:r>
              <w:rPr>
                <w:sz w:val="18"/>
              </w:rPr>
              <w:t>Calendar engine</w:t>
            </w:r>
          </w:p>
        </w:tc>
        <w:tc>
          <w:tcPr>
            <w:tcW w:type="dxa" w:w="6439"/>
          </w:tcPr>
          <w:p>
            <w:pPr>
              <w:spacing w:after="0"/>
            </w:pPr>
            <w:r>
              <w:rPr>
                <w:sz w:val="18"/>
              </w:rPr>
              <w:t>Runs the same cohorts in calendar time, so a shock hits every cohort at once</w:t>
            </w:r>
          </w:p>
        </w:tc>
        <w:tc>
          <w:tcPr>
            <w:tcW w:type="dxa" w:w="6439"/>
          </w:tcPr>
          <w:p>
            <w:pPr>
              <w:spacing w:after="0"/>
            </w:pPr>
            <w:r>
              <w:rPr>
                <w:sz w:val="18"/>
              </w:rPr>
              <w:t>Matches the cohort engine exactly when there is no shock</w:t>
            </w:r>
          </w:p>
        </w:tc>
      </w:tr>
      <w:tr>
        <w:tc>
          <w:tcPr>
            <w:tcW w:type="dxa" w:w="2146"/>
          </w:tcPr>
          <w:p>
            <w:pPr>
              <w:spacing w:after="0"/>
            </w:pPr>
            <w:r>
              <w:rPr>
                <w:sz w:val="18"/>
              </w:rPr>
              <w:t>Unit economics</w:t>
            </w:r>
          </w:p>
        </w:tc>
        <w:tc>
          <w:tcPr>
            <w:tcW w:type="dxa" w:w="6439"/>
          </w:tcPr>
          <w:p>
            <w:pPr>
              <w:spacing w:after="0"/>
            </w:pPr>
            <w:r>
              <w:rPr>
                <w:sz w:val="18"/>
              </w:rPr>
              <w:t>CAC ceiling = present value of net revenue per saver over 60 months at 12%</w:t>
            </w:r>
          </w:p>
        </w:tc>
        <w:tc>
          <w:tcPr>
            <w:tcW w:type="dxa" w:w="6439"/>
          </w:tcPr>
          <w:p>
            <w:pPr>
              <w:spacing w:after="0"/>
            </w:pPr>
            <w:r>
              <w:rPr>
                <w:sz w:val="18"/>
              </w:rPr>
              <w:t>Break-even enrolment = reach cost ÷ CAC ceiling</w:t>
            </w:r>
          </w:p>
        </w:tc>
      </w:tr>
      <w:tr>
        <w:tc>
          <w:tcPr>
            <w:tcW w:type="dxa" w:w="2146"/>
          </w:tcPr>
          <w:p>
            <w:pPr>
              <w:spacing w:after="0"/>
            </w:pPr>
            <w:r>
              <w:rPr>
                <w:sz w:val="18"/>
              </w:rPr>
              <w:t>Decision gates</w:t>
            </w:r>
          </w:p>
        </w:tc>
        <w:tc>
          <w:tcPr>
            <w:tcW w:type="dxa" w:w="6439"/>
          </w:tcPr>
          <w:p>
            <w:pPr>
              <w:spacing w:after="0"/>
            </w:pPr>
            <w:r>
              <w:rPr>
                <w:sz w:val="18"/>
              </w:rPr>
              <w:t>Stop and scale lines solved from the model by bisection</w:t>
            </w:r>
          </w:p>
        </w:tc>
        <w:tc>
          <w:tcPr>
            <w:tcW w:type="dxa" w:w="6439"/>
          </w:tcPr>
          <w:p>
            <w:pPr>
              <w:spacing w:after="0"/>
            </w:pPr>
            <w:r>
              <w:rPr>
                <w:sz w:val="18"/>
              </w:rPr>
              <w:t>Programme test: net cost per new funded account</w:t>
            </w:r>
          </w:p>
        </w:tc>
      </w:tr>
      <w:tr>
        <w:tc>
          <w:tcPr>
            <w:tcW w:type="dxa" w:w="2146"/>
          </w:tcPr>
          <w:p>
            <w:pPr>
              <w:spacing w:after="0"/>
            </w:pPr>
            <w:r>
              <w:rPr>
                <w:sz w:val="18"/>
              </w:rPr>
              <w:t>Review coding</w:t>
            </w:r>
          </w:p>
        </w:tc>
        <w:tc>
          <w:tcPr>
            <w:tcW w:type="dxa" w:w="6439"/>
          </w:tcPr>
          <w:p>
            <w:pPr>
              <w:spacing w:after="0"/>
            </w:pPr>
            <w:r>
              <w:rPr>
                <w:sz w:val="18"/>
              </w:rPr>
              <w:t>58 negative 2026 reviews read one by one; 8 cause codes, several allowed per review</w:t>
            </w:r>
          </w:p>
        </w:tc>
        <w:tc>
          <w:tcPr>
            <w:tcW w:type="dxa" w:w="6439"/>
          </w:tcPr>
          <w:p>
            <w:pPr>
              <w:spacing w:after="0"/>
            </w:pPr>
            <w:r>
              <w:rPr>
                <w:sz w:val="18"/>
              </w:rPr>
              <w:t>95% Wilson intervals; compared with the Round 2 keyword rule</w:t>
            </w:r>
          </w:p>
        </w:tc>
      </w:tr>
    </w:tbl>
    <w:p/>
    <w:p>
      <w:pPr>
        <w:pStyle w:val="SourceLine"/>
      </w:pPr>
      <w:r>
        <w:t xml:space="preserve">CSV: </w:t>
      </w:r>
      <w:r>
        <w:rPr>
          <w:rFonts w:ascii="Consolas" w:hAnsi="Consolas"/>
          <w:color w:val="6B6B6B"/>
          <w:sz w:val="18"/>
        </w:rPr>
        <w:t>outputs/round3/tables/appA2_methods.csv</w:t>
      </w:r>
      <w:r>
        <w:t>.</w:t>
      </w:r>
    </w:p>
    <w:p>
      <w:pPr>
        <w:pStyle w:val="SourceLine"/>
      </w:pPr>
      <w:r>
        <w:t>Source: authors.</w:t>
      </w:r>
    </w:p>
    <w:p>
      <w:r>
        <w:br w:type="page"/>
      </w:r>
    </w:p>
    <w:p>
      <w:pPr>
        <w:pStyle w:val="Heading2"/>
      </w:pPr>
      <w:r>
        <w:t>Appendix B: Cohort model, sensitivity and implementation detail</w:t>
      </w:r>
    </w:p>
    <w:p>
      <w:r>
        <w:br w:type="page"/>
      </w:r>
    </w:p>
    <w:p>
      <w:pPr>
        <w:pStyle w:val="Heading3"/>
      </w:pPr>
      <w:r>
        <w:t>B1. Unit economics by scenario</w:t>
      </w:r>
    </w:p>
    <w:p>
      <w:r>
        <w:rPr>
          <w:rStyle w:val="FieldLabel"/>
        </w:rPr>
        <w:t>Title:</w:t>
      </w:r>
      <w:r>
        <w:t xml:space="preserve"> </w:t>
      </w:r>
      <w:r>
        <w:t>A saver needs 11 contributions to pass VND 10 million in the base case</w:t>
      </w:r>
    </w:p>
    <w:p>
      <w:r>
        <w:rPr>
          <w:rStyle w:val="FieldLabel"/>
        </w:rPr>
        <w:t>Table:</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9121"/>
            <w:shd w:val="clear" w:color="auto" w:fill="F3F3F3"/>
          </w:tcPr>
          <w:p>
            <w:pPr>
              <w:spacing w:after="0"/>
            </w:pPr>
            <w:r>
              <w:rPr>
                <w:b/>
                <w:sz w:val="18"/>
              </w:rPr>
              <w:t>Measure</w:t>
            </w:r>
          </w:p>
        </w:tc>
        <w:tc>
          <w:tcPr>
            <w:tcW w:type="dxa" w:w="1967"/>
            <w:shd w:val="clear" w:color="auto" w:fill="F3F3F3"/>
          </w:tcPr>
          <w:p>
            <w:pPr>
              <w:spacing w:after="0"/>
            </w:pPr>
            <w:r>
              <w:rPr>
                <w:b/>
                <w:sz w:val="18"/>
              </w:rPr>
              <w:t>Downside</w:t>
            </w:r>
          </w:p>
        </w:tc>
        <w:tc>
          <w:tcPr>
            <w:tcW w:type="dxa" w:w="1967"/>
            <w:shd w:val="clear" w:color="auto" w:fill="F3F3F3"/>
          </w:tcPr>
          <w:p>
            <w:pPr>
              <w:spacing w:after="0"/>
            </w:pPr>
            <w:r>
              <w:rPr>
                <w:b/>
                <w:sz w:val="18"/>
              </w:rPr>
              <w:t>Base</w:t>
            </w:r>
          </w:p>
        </w:tc>
        <w:tc>
          <w:tcPr>
            <w:tcW w:type="dxa" w:w="1967"/>
            <w:shd w:val="clear" w:color="auto" w:fill="F3F3F3"/>
          </w:tcPr>
          <w:p>
            <w:pPr>
              <w:spacing w:after="0"/>
            </w:pPr>
            <w:r>
              <w:rPr>
                <w:b/>
                <w:sz w:val="18"/>
              </w:rPr>
              <w:t>Upside</w:t>
            </w:r>
          </w:p>
        </w:tc>
      </w:tr>
      <w:tr>
        <w:tc>
          <w:tcPr>
            <w:tcW w:type="dxa" w:w="9121"/>
          </w:tcPr>
          <w:p>
            <w:pPr>
              <w:spacing w:after="0"/>
            </w:pPr>
            <w:r>
              <w:rPr>
                <w:sz w:val="18"/>
              </w:rPr>
              <w:t>Net yield on plan balances, a year</w:t>
            </w:r>
          </w:p>
        </w:tc>
        <w:tc>
          <w:tcPr>
            <w:tcW w:type="dxa" w:w="1967"/>
          </w:tcPr>
          <w:p>
            <w:pPr>
              <w:spacing w:after="0"/>
            </w:pPr>
            <w:r>
              <w:rPr>
                <w:sz w:val="18"/>
              </w:rPr>
              <w:t>0.25%</w:t>
            </w:r>
          </w:p>
        </w:tc>
        <w:tc>
          <w:tcPr>
            <w:tcW w:type="dxa" w:w="1967"/>
          </w:tcPr>
          <w:p>
            <w:pPr>
              <w:spacing w:after="0"/>
            </w:pPr>
            <w:r>
              <w:rPr>
                <w:sz w:val="18"/>
              </w:rPr>
              <w:t>0.44%</w:t>
            </w:r>
          </w:p>
        </w:tc>
        <w:tc>
          <w:tcPr>
            <w:tcW w:type="dxa" w:w="1967"/>
          </w:tcPr>
          <w:p>
            <w:pPr>
              <w:spacing w:after="0"/>
            </w:pPr>
            <w:r>
              <w:rPr>
                <w:sz w:val="18"/>
              </w:rPr>
              <w:t>0.68%</w:t>
            </w:r>
          </w:p>
        </w:tc>
      </w:tr>
      <w:tr>
        <w:tc>
          <w:tcPr>
            <w:tcW w:type="dxa" w:w="9121"/>
          </w:tcPr>
          <w:p>
            <w:pPr>
              <w:spacing w:after="0"/>
            </w:pPr>
            <w:r>
              <w:rPr>
                <w:sz w:val="18"/>
              </w:rPr>
              <w:t>Revenue a year on VND 10 million of balance</w:t>
            </w:r>
          </w:p>
        </w:tc>
        <w:tc>
          <w:tcPr>
            <w:tcW w:type="dxa" w:w="1967"/>
          </w:tcPr>
          <w:p>
            <w:pPr>
              <w:spacing w:after="0"/>
            </w:pPr>
            <w:r>
              <w:rPr>
                <w:sz w:val="18"/>
              </w:rPr>
              <w:t>VND 25,000</w:t>
            </w:r>
          </w:p>
        </w:tc>
        <w:tc>
          <w:tcPr>
            <w:tcW w:type="dxa" w:w="1967"/>
          </w:tcPr>
          <w:p>
            <w:pPr>
              <w:spacing w:after="0"/>
            </w:pPr>
            <w:r>
              <w:rPr>
                <w:sz w:val="18"/>
              </w:rPr>
              <w:t>VND 44,150</w:t>
            </w:r>
          </w:p>
        </w:tc>
        <w:tc>
          <w:tcPr>
            <w:tcW w:type="dxa" w:w="1967"/>
          </w:tcPr>
          <w:p>
            <w:pPr>
              <w:spacing w:after="0"/>
            </w:pPr>
            <w:r>
              <w:rPr>
                <w:sz w:val="18"/>
              </w:rPr>
              <w:t>VND 67,900</w:t>
            </w:r>
          </w:p>
        </w:tc>
      </w:tr>
      <w:tr>
        <w:tc>
          <w:tcPr>
            <w:tcW w:type="dxa" w:w="9121"/>
          </w:tcPr>
          <w:p>
            <w:pPr>
              <w:spacing w:after="0"/>
            </w:pPr>
            <w:r>
              <w:rPr>
                <w:sz w:val="18"/>
              </w:rPr>
              <w:t>Still contributing after 3 contributions</w:t>
            </w:r>
          </w:p>
        </w:tc>
        <w:tc>
          <w:tcPr>
            <w:tcW w:type="dxa" w:w="1967"/>
          </w:tcPr>
          <w:p>
            <w:pPr>
              <w:spacing w:after="0"/>
            </w:pPr>
            <w:r>
              <w:rPr>
                <w:sz w:val="18"/>
              </w:rPr>
              <w:t>72.2%</w:t>
            </w:r>
          </w:p>
        </w:tc>
        <w:tc>
          <w:tcPr>
            <w:tcW w:type="dxa" w:w="1967"/>
          </w:tcPr>
          <w:p>
            <w:pPr>
              <w:spacing w:after="0"/>
            </w:pPr>
            <w:r>
              <w:rPr>
                <w:sz w:val="18"/>
              </w:rPr>
              <w:t>81.0%</w:t>
            </w:r>
          </w:p>
        </w:tc>
        <w:tc>
          <w:tcPr>
            <w:tcW w:type="dxa" w:w="1967"/>
          </w:tcPr>
          <w:p>
            <w:pPr>
              <w:spacing w:after="0"/>
            </w:pPr>
            <w:r>
              <w:rPr>
                <w:sz w:val="18"/>
              </w:rPr>
              <w:t>88.4%</w:t>
            </w:r>
          </w:p>
        </w:tc>
      </w:tr>
      <w:tr>
        <w:tc>
          <w:tcPr>
            <w:tcW w:type="dxa" w:w="9121"/>
          </w:tcPr>
          <w:p>
            <w:pPr>
              <w:spacing w:after="0"/>
            </w:pPr>
            <w:r>
              <w:rPr>
                <w:sz w:val="18"/>
              </w:rPr>
              <w:t>Still contributing after 6 contributions</w:t>
            </w:r>
          </w:p>
        </w:tc>
        <w:tc>
          <w:tcPr>
            <w:tcW w:type="dxa" w:w="1967"/>
          </w:tcPr>
          <w:p>
            <w:pPr>
              <w:spacing w:after="0"/>
            </w:pPr>
            <w:r>
              <w:rPr>
                <w:sz w:val="18"/>
              </w:rPr>
              <w:t>63.9%</w:t>
            </w:r>
          </w:p>
        </w:tc>
        <w:tc>
          <w:tcPr>
            <w:tcW w:type="dxa" w:w="1967"/>
          </w:tcPr>
          <w:p>
            <w:pPr>
              <w:spacing w:after="0"/>
            </w:pPr>
            <w:r>
              <w:rPr>
                <w:sz w:val="18"/>
              </w:rPr>
              <w:t>75.1%</w:t>
            </w:r>
          </w:p>
        </w:tc>
        <w:tc>
          <w:tcPr>
            <w:tcW w:type="dxa" w:w="1967"/>
          </w:tcPr>
          <w:p>
            <w:pPr>
              <w:spacing w:after="0"/>
            </w:pPr>
            <w:r>
              <w:rPr>
                <w:sz w:val="18"/>
              </w:rPr>
              <w:t>84.4%</w:t>
            </w:r>
          </w:p>
        </w:tc>
      </w:tr>
      <w:tr>
        <w:tc>
          <w:tcPr>
            <w:tcW w:type="dxa" w:w="9121"/>
          </w:tcPr>
          <w:p>
            <w:pPr>
              <w:spacing w:after="0"/>
            </w:pPr>
            <w:r>
              <w:rPr>
                <w:sz w:val="18"/>
              </w:rPr>
              <w:t>Still contributing after 12 contributions</w:t>
            </w:r>
          </w:p>
        </w:tc>
        <w:tc>
          <w:tcPr>
            <w:tcW w:type="dxa" w:w="1967"/>
          </w:tcPr>
          <w:p>
            <w:pPr>
              <w:spacing w:after="0"/>
            </w:pPr>
            <w:r>
              <w:rPr>
                <w:sz w:val="18"/>
              </w:rPr>
              <w:t>50.0%</w:t>
            </w:r>
          </w:p>
        </w:tc>
        <w:tc>
          <w:tcPr>
            <w:tcW w:type="dxa" w:w="1967"/>
          </w:tcPr>
          <w:p>
            <w:pPr>
              <w:spacing w:after="0"/>
            </w:pPr>
            <w:r>
              <w:rPr>
                <w:sz w:val="18"/>
              </w:rPr>
              <w:t>64.5%</w:t>
            </w:r>
          </w:p>
        </w:tc>
        <w:tc>
          <w:tcPr>
            <w:tcW w:type="dxa" w:w="1967"/>
          </w:tcPr>
          <w:p>
            <w:pPr>
              <w:spacing w:after="0"/>
            </w:pPr>
            <w:r>
              <w:rPr>
                <w:sz w:val="18"/>
              </w:rPr>
              <w:t>77.1%</w:t>
            </w:r>
          </w:p>
        </w:tc>
      </w:tr>
      <w:tr>
        <w:tc>
          <w:tcPr>
            <w:tcW w:type="dxa" w:w="9121"/>
          </w:tcPr>
          <w:p>
            <w:pPr>
              <w:spacing w:after="0"/>
            </w:pPr>
            <w:r>
              <w:rPr>
                <w:sz w:val="18"/>
              </w:rPr>
              <w:t>Contributions in a row to pass VND 10 million</w:t>
            </w:r>
          </w:p>
        </w:tc>
        <w:tc>
          <w:tcPr>
            <w:tcW w:type="dxa" w:w="1967"/>
          </w:tcPr>
          <w:p>
            <w:pPr>
              <w:spacing w:after="0"/>
            </w:pPr>
            <w:r>
              <w:rPr>
                <w:sz w:val="18"/>
              </w:rPr>
              <w:t>14</w:t>
            </w:r>
          </w:p>
        </w:tc>
        <w:tc>
          <w:tcPr>
            <w:tcW w:type="dxa" w:w="1967"/>
          </w:tcPr>
          <w:p>
            <w:pPr>
              <w:spacing w:after="0"/>
            </w:pPr>
            <w:r>
              <w:rPr>
                <w:sz w:val="18"/>
              </w:rPr>
              <w:t>11</w:t>
            </w:r>
          </w:p>
        </w:tc>
        <w:tc>
          <w:tcPr>
            <w:tcW w:type="dxa" w:w="1967"/>
          </w:tcPr>
          <w:p>
            <w:pPr>
              <w:spacing w:after="0"/>
            </w:pPr>
            <w:r>
              <w:rPr>
                <w:sz w:val="18"/>
              </w:rPr>
              <w:t>7</w:t>
            </w:r>
          </w:p>
        </w:tc>
      </w:tr>
      <w:tr>
        <w:tc>
          <w:tcPr>
            <w:tcW w:type="dxa" w:w="9121"/>
          </w:tcPr>
          <w:p>
            <w:pPr>
              <w:spacing w:after="0"/>
            </w:pPr>
            <w:r>
              <w:rPr>
                <w:sz w:val="18"/>
              </w:rPr>
              <w:t>CAC ceiling: PV of net revenue per saver, 60 months</w:t>
            </w:r>
          </w:p>
        </w:tc>
        <w:tc>
          <w:tcPr>
            <w:tcW w:type="dxa" w:w="1967"/>
          </w:tcPr>
          <w:p>
            <w:pPr>
              <w:spacing w:after="0"/>
            </w:pPr>
            <w:r>
              <w:rPr>
                <w:sz w:val="18"/>
              </w:rPr>
              <w:t>−VND 44,938</w:t>
            </w:r>
          </w:p>
        </w:tc>
        <w:tc>
          <w:tcPr>
            <w:tcW w:type="dxa" w:w="1967"/>
          </w:tcPr>
          <w:p>
            <w:pPr>
              <w:spacing w:after="0"/>
            </w:pPr>
            <w:r>
              <w:rPr>
                <w:sz w:val="18"/>
              </w:rPr>
              <w:t>VND 127,512</w:t>
            </w:r>
          </w:p>
        </w:tc>
        <w:tc>
          <w:tcPr>
            <w:tcW w:type="dxa" w:w="1967"/>
          </w:tcPr>
          <w:p>
            <w:pPr>
              <w:spacing w:after="0"/>
            </w:pPr>
            <w:r>
              <w:rPr>
                <w:sz w:val="18"/>
              </w:rPr>
              <w:t>VND 728,075</w:t>
            </w:r>
          </w:p>
        </w:tc>
      </w:tr>
      <w:tr>
        <w:tc>
          <w:tcPr>
            <w:tcW w:type="dxa" w:w="9121"/>
          </w:tcPr>
          <w:p>
            <w:pPr>
              <w:spacing w:after="0"/>
            </w:pPr>
            <w:r>
              <w:rPr>
                <w:sz w:val="18"/>
              </w:rPr>
              <w:t>Acquisition cost per dormant saver</w:t>
            </w:r>
          </w:p>
        </w:tc>
        <w:tc>
          <w:tcPr>
            <w:tcW w:type="dxa" w:w="1967"/>
          </w:tcPr>
          <w:p>
            <w:pPr>
              <w:spacing w:after="0"/>
            </w:pPr>
            <w:r>
              <w:rPr>
                <w:sz w:val="18"/>
              </w:rPr>
              <w:t>VND 220,000</w:t>
            </w:r>
          </w:p>
        </w:tc>
        <w:tc>
          <w:tcPr>
            <w:tcW w:type="dxa" w:w="1967"/>
          </w:tcPr>
          <w:p>
            <w:pPr>
              <w:spacing w:after="0"/>
            </w:pPr>
            <w:r>
              <w:rPr>
                <w:sz w:val="18"/>
              </w:rPr>
              <w:t>VND 65,000</w:t>
            </w:r>
          </w:p>
        </w:tc>
        <w:tc>
          <w:tcPr>
            <w:tcW w:type="dxa" w:w="1967"/>
          </w:tcPr>
          <w:p>
            <w:pPr>
              <w:spacing w:after="0"/>
            </w:pPr>
            <w:r>
              <w:rPr>
                <w:sz w:val="18"/>
              </w:rPr>
              <w:t>VND 27,500</w:t>
            </w:r>
          </w:p>
        </w:tc>
      </w:tr>
      <w:tr>
        <w:tc>
          <w:tcPr>
            <w:tcW w:type="dxa" w:w="9121"/>
          </w:tcPr>
          <w:p>
            <w:pPr>
              <w:spacing w:after="0"/>
            </w:pPr>
            <w:r>
              <w:rPr>
                <w:sz w:val="18"/>
              </w:rPr>
              <w:t>Reach cost per dormant account contacted</w:t>
            </w:r>
          </w:p>
        </w:tc>
        <w:tc>
          <w:tcPr>
            <w:tcW w:type="dxa" w:w="1967"/>
          </w:tcPr>
          <w:p>
            <w:pPr>
              <w:spacing w:after="0"/>
            </w:pPr>
            <w:r>
              <w:rPr>
                <w:sz w:val="18"/>
              </w:rPr>
              <w:t>VND 2,200</w:t>
            </w:r>
          </w:p>
        </w:tc>
        <w:tc>
          <w:tcPr>
            <w:tcW w:type="dxa" w:w="1967"/>
          </w:tcPr>
          <w:p>
            <w:pPr>
              <w:spacing w:after="0"/>
            </w:pPr>
            <w:r>
              <w:rPr>
                <w:sz w:val="18"/>
              </w:rPr>
              <w:t>VND 1,300</w:t>
            </w:r>
          </w:p>
        </w:tc>
        <w:tc>
          <w:tcPr>
            <w:tcW w:type="dxa" w:w="1967"/>
          </w:tcPr>
          <w:p>
            <w:pPr>
              <w:spacing w:after="0"/>
            </w:pPr>
            <w:r>
              <w:rPr>
                <w:sz w:val="18"/>
              </w:rPr>
              <w:t>VND 1,100</w:t>
            </w:r>
          </w:p>
        </w:tc>
      </w:tr>
      <w:tr>
        <w:tc>
          <w:tcPr>
            <w:tcW w:type="dxa" w:w="9121"/>
          </w:tcPr>
          <w:p>
            <w:pPr>
              <w:spacing w:after="0"/>
            </w:pPr>
            <w:r>
              <w:rPr>
                <w:sz w:val="18"/>
              </w:rPr>
              <w:t>Break-even enrolment of contacted accounts</w:t>
            </w:r>
          </w:p>
        </w:tc>
        <w:tc>
          <w:tcPr>
            <w:tcW w:type="dxa" w:w="1967"/>
          </w:tcPr>
          <w:p>
            <w:pPr>
              <w:spacing w:after="0"/>
            </w:pPr>
            <w:r>
              <w:rPr>
                <w:sz w:val="18"/>
              </w:rPr>
              <w:t>not reached</w:t>
            </w:r>
          </w:p>
        </w:tc>
        <w:tc>
          <w:tcPr>
            <w:tcW w:type="dxa" w:w="1967"/>
          </w:tcPr>
          <w:p>
            <w:pPr>
              <w:spacing w:after="0"/>
            </w:pPr>
            <w:r>
              <w:rPr>
                <w:sz w:val="18"/>
              </w:rPr>
              <w:t>1.02%</w:t>
            </w:r>
          </w:p>
        </w:tc>
        <w:tc>
          <w:tcPr>
            <w:tcW w:type="dxa" w:w="1967"/>
          </w:tcPr>
          <w:p>
            <w:pPr>
              <w:spacing w:after="0"/>
            </w:pPr>
            <w:r>
              <w:rPr>
                <w:sz w:val="18"/>
              </w:rPr>
              <w:t>0.15%</w:t>
            </w:r>
          </w:p>
        </w:tc>
      </w:tr>
    </w:tbl>
    <w:p/>
    <w:p>
      <w:pPr>
        <w:pStyle w:val="SourceLine"/>
      </w:pPr>
      <w:r>
        <w:t xml:space="preserve">CSV: </w:t>
      </w:r>
      <w:r>
        <w:rPr>
          <w:rFonts w:ascii="Consolas" w:hAnsi="Consolas"/>
          <w:color w:val="6B6B6B"/>
          <w:sz w:val="18"/>
        </w:rPr>
        <w:t>outputs/round3/tables/appB1_unit_economics.csv</w:t>
      </w:r>
      <w:r>
        <w:t>.</w:t>
      </w:r>
    </w:p>
    <w:p>
      <w:pPr>
        <w:pStyle w:val="SourceLine"/>
      </w:pPr>
      <w:r>
        <w:t>Source: authors' cohort model (assumptions in Appendix H).</w:t>
      </w:r>
    </w:p>
    <w:p>
      <w:r>
        <w:br w:type="page"/>
      </w:r>
    </w:p>
    <w:p>
      <w:pPr>
        <w:pStyle w:val="Heading3"/>
      </w:pPr>
      <w:r>
        <w:t>B2. Budget by phase and the path of balances</w:t>
      </w:r>
    </w:p>
    <w:p>
      <w:r>
        <w:rPr>
          <w:rStyle w:val="FieldLabel"/>
        </w:rPr>
        <w:t>Title:</w:t>
      </w:r>
      <w:r>
        <w:t xml:space="preserve"> </w:t>
      </w:r>
      <w:r>
        <w:t>Most of the spend is the team, not marketing</w:t>
      </w:r>
    </w:p>
    <w:p>
      <w:r>
        <w:rPr>
          <w:rStyle w:val="FieldLabel"/>
        </w:rPr>
        <w:t>Table (VND billion, base case):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4822"/>
            <w:shd w:val="clear" w:color="auto" w:fill="F3F3F3"/>
          </w:tcPr>
          <w:p>
            <w:pPr>
              <w:spacing w:after="0"/>
            </w:pPr>
            <w:r>
              <w:rPr>
                <w:b/>
                <w:sz w:val="16"/>
              </w:rPr>
              <w:t>Phase</w:t>
            </w:r>
          </w:p>
        </w:tc>
        <w:tc>
          <w:tcPr>
            <w:tcW w:type="dxa" w:w="1113"/>
            <w:shd w:val="clear" w:color="auto" w:fill="F3F3F3"/>
          </w:tcPr>
          <w:p>
            <w:pPr>
              <w:spacing w:after="0"/>
            </w:pPr>
            <w:r>
              <w:rPr>
                <w:b/>
                <w:sz w:val="16"/>
              </w:rPr>
              <w:t>Months</w:t>
            </w:r>
          </w:p>
        </w:tc>
        <w:tc>
          <w:tcPr>
            <w:tcW w:type="dxa" w:w="1113"/>
            <w:shd w:val="clear" w:color="auto" w:fill="F3F3F3"/>
          </w:tcPr>
          <w:p>
            <w:pPr>
              <w:spacing w:after="0"/>
            </w:pPr>
            <w:r>
              <w:rPr>
                <w:b/>
                <w:sz w:val="16"/>
              </w:rPr>
              <w:t>Cost</w:t>
            </w:r>
          </w:p>
        </w:tc>
        <w:tc>
          <w:tcPr>
            <w:tcW w:type="dxa" w:w="2597"/>
            <w:shd w:val="clear" w:color="auto" w:fill="F3F3F3"/>
          </w:tcPr>
          <w:p>
            <w:pPr>
              <w:spacing w:after="0"/>
            </w:pPr>
            <w:r>
              <w:rPr>
                <w:b/>
                <w:sz w:val="16"/>
              </w:rPr>
              <w:t>of which build</w:t>
            </w:r>
          </w:p>
        </w:tc>
        <w:tc>
          <w:tcPr>
            <w:tcW w:type="dxa" w:w="1298"/>
            <w:shd w:val="clear" w:color="auto" w:fill="F3F3F3"/>
          </w:tcPr>
          <w:p>
            <w:pPr>
              <w:spacing w:after="0"/>
            </w:pPr>
            <w:r>
              <w:rPr>
                <w:b/>
                <w:sz w:val="16"/>
              </w:rPr>
              <w:t>Revenue</w:t>
            </w:r>
          </w:p>
        </w:tc>
        <w:tc>
          <w:tcPr>
            <w:tcW w:type="dxa" w:w="4080"/>
            <w:shd w:val="clear" w:color="auto" w:fill="F3F3F3"/>
          </w:tcPr>
          <w:p>
            <w:pPr>
              <w:spacing w:after="0"/>
            </w:pPr>
            <w:r>
              <w:rPr>
                <w:b/>
                <w:sz w:val="16"/>
              </w:rPr>
              <w:t>Cumulative cash at end</w:t>
            </w:r>
          </w:p>
        </w:tc>
      </w:tr>
      <w:tr>
        <w:tc>
          <w:tcPr>
            <w:tcW w:type="dxa" w:w="4822"/>
          </w:tcPr>
          <w:p>
            <w:pPr>
              <w:spacing w:after="0"/>
            </w:pPr>
            <w:r>
              <w:rPr>
                <w:sz w:val="16"/>
              </w:rPr>
              <w:t>Phase 0: build and comply</w:t>
            </w:r>
          </w:p>
        </w:tc>
        <w:tc>
          <w:tcPr>
            <w:tcW w:type="dxa" w:w="1113"/>
          </w:tcPr>
          <w:p>
            <w:pPr>
              <w:spacing w:after="0"/>
            </w:pPr>
            <w:r>
              <w:rPr>
                <w:sz w:val="16"/>
              </w:rPr>
              <w:t>1–3</w:t>
            </w:r>
          </w:p>
        </w:tc>
        <w:tc>
          <w:tcPr>
            <w:tcW w:type="dxa" w:w="1113"/>
          </w:tcPr>
          <w:p>
            <w:pPr>
              <w:spacing w:after="0"/>
            </w:pPr>
            <w:r>
              <w:rPr>
                <w:sz w:val="16"/>
              </w:rPr>
              <w:t>2.09</w:t>
            </w:r>
          </w:p>
        </w:tc>
        <w:tc>
          <w:tcPr>
            <w:tcW w:type="dxa" w:w="2597"/>
          </w:tcPr>
          <w:p>
            <w:pPr>
              <w:spacing w:after="0"/>
            </w:pPr>
            <w:r>
              <w:rPr>
                <w:sz w:val="16"/>
              </w:rPr>
              <w:t>2.09</w:t>
            </w:r>
          </w:p>
        </w:tc>
        <w:tc>
          <w:tcPr>
            <w:tcW w:type="dxa" w:w="1298"/>
          </w:tcPr>
          <w:p>
            <w:pPr>
              <w:spacing w:after="0"/>
            </w:pPr>
            <w:r>
              <w:rPr>
                <w:sz w:val="16"/>
              </w:rPr>
              <w:t>0.00</w:t>
            </w:r>
          </w:p>
        </w:tc>
        <w:tc>
          <w:tcPr>
            <w:tcW w:type="dxa" w:w="4080"/>
          </w:tcPr>
          <w:p>
            <w:pPr>
              <w:spacing w:after="0"/>
            </w:pPr>
            <w:r>
              <w:rPr>
                <w:sz w:val="16"/>
              </w:rPr>
              <w:t>−2.09</w:t>
            </w:r>
          </w:p>
        </w:tc>
      </w:tr>
      <w:tr>
        <w:tc>
          <w:tcPr>
            <w:tcW w:type="dxa" w:w="4822"/>
          </w:tcPr>
          <w:p>
            <w:pPr>
              <w:spacing w:after="0"/>
            </w:pPr>
            <w:r>
              <w:rPr>
                <w:sz w:val="16"/>
              </w:rPr>
              <w:t>Phase 1: pilot</w:t>
            </w:r>
          </w:p>
        </w:tc>
        <w:tc>
          <w:tcPr>
            <w:tcW w:type="dxa" w:w="1113"/>
          </w:tcPr>
          <w:p>
            <w:pPr>
              <w:spacing w:after="0"/>
            </w:pPr>
            <w:r>
              <w:rPr>
                <w:sz w:val="16"/>
              </w:rPr>
              <w:t>4–6</w:t>
            </w:r>
          </w:p>
        </w:tc>
        <w:tc>
          <w:tcPr>
            <w:tcW w:type="dxa" w:w="1113"/>
          </w:tcPr>
          <w:p>
            <w:pPr>
              <w:spacing w:after="0"/>
            </w:pPr>
            <w:r>
              <w:rPr>
                <w:sz w:val="16"/>
              </w:rPr>
              <w:t>3.63</w:t>
            </w:r>
          </w:p>
        </w:tc>
        <w:tc>
          <w:tcPr>
            <w:tcW w:type="dxa" w:w="2597"/>
          </w:tcPr>
          <w:p>
            <w:pPr>
              <w:spacing w:after="0"/>
            </w:pPr>
            <w:r>
              <w:rPr>
                <w:sz w:val="16"/>
              </w:rPr>
              <w:t>2.09</w:t>
            </w:r>
          </w:p>
        </w:tc>
        <w:tc>
          <w:tcPr>
            <w:tcW w:type="dxa" w:w="1298"/>
          </w:tcPr>
          <w:p>
            <w:pPr>
              <w:spacing w:after="0"/>
            </w:pPr>
            <w:r>
              <w:rPr>
                <w:sz w:val="16"/>
              </w:rPr>
              <w:t>0.00</w:t>
            </w:r>
          </w:p>
        </w:tc>
        <w:tc>
          <w:tcPr>
            <w:tcW w:type="dxa" w:w="4080"/>
          </w:tcPr>
          <w:p>
            <w:pPr>
              <w:spacing w:after="0"/>
            </w:pPr>
            <w:r>
              <w:rPr>
                <w:sz w:val="16"/>
              </w:rPr>
              <w:t>−5.72</w:t>
            </w:r>
          </w:p>
        </w:tc>
      </w:tr>
      <w:tr>
        <w:tc>
          <w:tcPr>
            <w:tcW w:type="dxa" w:w="4822"/>
          </w:tcPr>
          <w:p>
            <w:pPr>
              <w:spacing w:after="0"/>
            </w:pPr>
            <w:r>
              <w:rPr>
                <w:sz w:val="16"/>
              </w:rPr>
              <w:t>Phase 2: scale in the base</w:t>
            </w:r>
          </w:p>
        </w:tc>
        <w:tc>
          <w:tcPr>
            <w:tcW w:type="dxa" w:w="1113"/>
          </w:tcPr>
          <w:p>
            <w:pPr>
              <w:spacing w:after="0"/>
            </w:pPr>
            <w:r>
              <w:rPr>
                <w:sz w:val="16"/>
              </w:rPr>
              <w:t>7–12</w:t>
            </w:r>
          </w:p>
        </w:tc>
        <w:tc>
          <w:tcPr>
            <w:tcW w:type="dxa" w:w="1113"/>
          </w:tcPr>
          <w:p>
            <w:pPr>
              <w:spacing w:after="0"/>
            </w:pPr>
            <w:r>
              <w:rPr>
                <w:sz w:val="16"/>
              </w:rPr>
              <w:t>3.49</w:t>
            </w:r>
          </w:p>
        </w:tc>
        <w:tc>
          <w:tcPr>
            <w:tcW w:type="dxa" w:w="2597"/>
          </w:tcPr>
          <w:p>
            <w:pPr>
              <w:spacing w:after="0"/>
            </w:pPr>
            <w:r>
              <w:rPr>
                <w:sz w:val="16"/>
              </w:rPr>
              <w:t>0.00</w:t>
            </w:r>
          </w:p>
        </w:tc>
        <w:tc>
          <w:tcPr>
            <w:tcW w:type="dxa" w:w="1298"/>
          </w:tcPr>
          <w:p>
            <w:pPr>
              <w:spacing w:after="0"/>
            </w:pPr>
            <w:r>
              <w:rPr>
                <w:sz w:val="16"/>
              </w:rPr>
              <w:t>0.03</w:t>
            </w:r>
          </w:p>
        </w:tc>
        <w:tc>
          <w:tcPr>
            <w:tcW w:type="dxa" w:w="4080"/>
          </w:tcPr>
          <w:p>
            <w:pPr>
              <w:spacing w:after="0"/>
            </w:pPr>
            <w:r>
              <w:rPr>
                <w:sz w:val="16"/>
              </w:rPr>
              <w:t>−9.17</w:t>
            </w:r>
          </w:p>
        </w:tc>
      </w:tr>
      <w:tr>
        <w:tc>
          <w:tcPr>
            <w:tcW w:type="dxa" w:w="4822"/>
          </w:tcPr>
          <w:p>
            <w:pPr>
              <w:spacing w:after="0"/>
            </w:pPr>
            <w:r>
              <w:rPr>
                <w:sz w:val="16"/>
              </w:rPr>
              <w:t>Phase 3: outside channels</w:t>
            </w:r>
          </w:p>
        </w:tc>
        <w:tc>
          <w:tcPr>
            <w:tcW w:type="dxa" w:w="1113"/>
          </w:tcPr>
          <w:p>
            <w:pPr>
              <w:spacing w:after="0"/>
            </w:pPr>
            <w:r>
              <w:rPr>
                <w:sz w:val="16"/>
              </w:rPr>
              <w:t>13–24</w:t>
            </w:r>
          </w:p>
        </w:tc>
        <w:tc>
          <w:tcPr>
            <w:tcW w:type="dxa" w:w="1113"/>
          </w:tcPr>
          <w:p>
            <w:pPr>
              <w:spacing w:after="0"/>
            </w:pPr>
            <w:r>
              <w:rPr>
                <w:sz w:val="16"/>
              </w:rPr>
              <w:t>7.28</w:t>
            </w:r>
          </w:p>
        </w:tc>
        <w:tc>
          <w:tcPr>
            <w:tcW w:type="dxa" w:w="2597"/>
          </w:tcPr>
          <w:p>
            <w:pPr>
              <w:spacing w:after="0"/>
            </w:pPr>
            <w:r>
              <w:rPr>
                <w:sz w:val="16"/>
              </w:rPr>
              <w:t>0.00</w:t>
            </w:r>
          </w:p>
        </w:tc>
        <w:tc>
          <w:tcPr>
            <w:tcW w:type="dxa" w:w="1298"/>
          </w:tcPr>
          <w:p>
            <w:pPr>
              <w:spacing w:after="0"/>
            </w:pPr>
            <w:r>
              <w:rPr>
                <w:sz w:val="16"/>
              </w:rPr>
              <w:t>0.46</w:t>
            </w:r>
          </w:p>
        </w:tc>
        <w:tc>
          <w:tcPr>
            <w:tcW w:type="dxa" w:w="4080"/>
          </w:tcPr>
          <w:p>
            <w:pPr>
              <w:spacing w:after="0"/>
            </w:pPr>
            <w:r>
              <w:rPr>
                <w:sz w:val="16"/>
              </w:rPr>
              <w:t>−15.99</w:t>
            </w:r>
          </w:p>
        </w:tc>
      </w:tr>
      <w:tr>
        <w:tc>
          <w:tcPr>
            <w:tcW w:type="dxa" w:w="4822"/>
          </w:tcPr>
          <w:p>
            <w:pPr>
              <w:spacing w:after="0"/>
            </w:pPr>
            <w:r>
              <w:rPr>
                <w:sz w:val="16"/>
              </w:rPr>
              <w:t>Phase 4: optimise</w:t>
            </w:r>
          </w:p>
        </w:tc>
        <w:tc>
          <w:tcPr>
            <w:tcW w:type="dxa" w:w="1113"/>
          </w:tcPr>
          <w:p>
            <w:pPr>
              <w:spacing w:after="0"/>
            </w:pPr>
            <w:r>
              <w:rPr>
                <w:sz w:val="16"/>
              </w:rPr>
              <w:t>25–36</w:t>
            </w:r>
          </w:p>
        </w:tc>
        <w:tc>
          <w:tcPr>
            <w:tcW w:type="dxa" w:w="1113"/>
          </w:tcPr>
          <w:p>
            <w:pPr>
              <w:spacing w:after="0"/>
            </w:pPr>
            <w:r>
              <w:rPr>
                <w:sz w:val="16"/>
              </w:rPr>
              <w:t>7.23</w:t>
            </w:r>
          </w:p>
        </w:tc>
        <w:tc>
          <w:tcPr>
            <w:tcW w:type="dxa" w:w="2597"/>
          </w:tcPr>
          <w:p>
            <w:pPr>
              <w:spacing w:after="0"/>
            </w:pPr>
            <w:r>
              <w:rPr>
                <w:sz w:val="16"/>
              </w:rPr>
              <w:t>0.00</w:t>
            </w:r>
          </w:p>
        </w:tc>
        <w:tc>
          <w:tcPr>
            <w:tcW w:type="dxa" w:w="1298"/>
          </w:tcPr>
          <w:p>
            <w:pPr>
              <w:spacing w:after="0"/>
            </w:pPr>
            <w:r>
              <w:rPr>
                <w:sz w:val="16"/>
              </w:rPr>
              <w:t>1.20</w:t>
            </w:r>
          </w:p>
        </w:tc>
        <w:tc>
          <w:tcPr>
            <w:tcW w:type="dxa" w:w="4080"/>
          </w:tcPr>
          <w:p>
            <w:pPr>
              <w:spacing w:after="0"/>
            </w:pPr>
            <w:r>
              <w:rPr>
                <w:sz w:val="16"/>
              </w:rPr>
              <w:t>−22.02</w:t>
            </w:r>
          </w:p>
        </w:tc>
      </w:tr>
      <w:tr>
        <w:tc>
          <w:tcPr>
            <w:tcW w:type="dxa" w:w="4822"/>
          </w:tcPr>
          <w:p>
            <w:pPr>
              <w:spacing w:after="0"/>
            </w:pPr>
            <w:r>
              <w:rPr>
                <w:sz w:val="16"/>
              </w:rPr>
              <w:t>Years 4 and 5</w:t>
            </w:r>
          </w:p>
        </w:tc>
        <w:tc>
          <w:tcPr>
            <w:tcW w:type="dxa" w:w="1113"/>
          </w:tcPr>
          <w:p>
            <w:pPr>
              <w:spacing w:after="0"/>
            </w:pPr>
            <w:r>
              <w:rPr>
                <w:sz w:val="16"/>
              </w:rPr>
              <w:t>37–60</w:t>
            </w:r>
          </w:p>
        </w:tc>
        <w:tc>
          <w:tcPr>
            <w:tcW w:type="dxa" w:w="1113"/>
          </w:tcPr>
          <w:p>
            <w:pPr>
              <w:spacing w:after="0"/>
            </w:pPr>
            <w:r>
              <w:rPr>
                <w:sz w:val="16"/>
              </w:rPr>
              <w:t>14.73</w:t>
            </w:r>
          </w:p>
        </w:tc>
        <w:tc>
          <w:tcPr>
            <w:tcW w:type="dxa" w:w="2597"/>
          </w:tcPr>
          <w:p>
            <w:pPr>
              <w:spacing w:after="0"/>
            </w:pPr>
            <w:r>
              <w:rPr>
                <w:sz w:val="16"/>
              </w:rPr>
              <w:t>0.00</w:t>
            </w:r>
          </w:p>
        </w:tc>
        <w:tc>
          <w:tcPr>
            <w:tcW w:type="dxa" w:w="1298"/>
          </w:tcPr>
          <w:p>
            <w:pPr>
              <w:spacing w:after="0"/>
            </w:pPr>
            <w:r>
              <w:rPr>
                <w:sz w:val="16"/>
              </w:rPr>
              <w:t>4.76</w:t>
            </w:r>
          </w:p>
        </w:tc>
        <w:tc>
          <w:tcPr>
            <w:tcW w:type="dxa" w:w="4080"/>
          </w:tcPr>
          <w:p>
            <w:pPr>
              <w:spacing w:after="0"/>
            </w:pPr>
            <w:r>
              <w:rPr>
                <w:sz w:val="16"/>
              </w:rPr>
              <w:t>−32.00</w:t>
            </w:r>
          </w:p>
        </w:tc>
      </w:tr>
    </w:tbl>
    <w:p/>
    <w:p>
      <w:pPr>
        <w:pStyle w:val="SourceLine"/>
      </w:pPr>
      <w:r>
        <w:t xml:space="preserve">CSV: </w:t>
      </w:r>
      <w:r>
        <w:rPr>
          <w:rFonts w:ascii="Consolas" w:hAnsi="Consolas"/>
          <w:color w:val="6B6B6B"/>
          <w:sz w:val="18"/>
        </w:rPr>
        <w:t>outputs/round3/tables/appB2_phase_budget.csv</w:t>
      </w:r>
      <w:r>
        <w:t>.</w:t>
      </w:r>
    </w:p>
    <w:p>
      <w:r>
        <w:rPr>
          <w:rStyle w:val="FieldLabel"/>
        </w:rPr>
        <w:t>Figure:</w:t>
      </w:r>
      <w:r>
        <w:t xml:space="preserve"> </w:t>
      </w:r>
      <w:r>
        <w:rPr>
          <w:rFonts w:ascii="Consolas" w:hAnsi="Consolas"/>
          <w:color w:val="6B6B6B"/>
          <w:sz w:val="18"/>
        </w:rPr>
        <w:t>outputs/round3/figures/payday_balance_accounts.png</w:t>
      </w:r>
      <w:r>
        <w:t>.</w:t>
      </w:r>
    </w:p>
    <w:p>
      <w:r>
        <w:drawing>
          <wp:inline xmlns:a="http://schemas.openxmlformats.org/drawingml/2006/main" xmlns:pic="http://schemas.openxmlformats.org/drawingml/2006/picture">
            <wp:extent cx="7920000" cy="3630000"/>
            <wp:docPr id="15" name="Picture 15"/>
            <wp:cNvGraphicFramePr>
              <a:graphicFrameLocks noChangeAspect="1"/>
            </wp:cNvGraphicFramePr>
            <a:graphic>
              <a:graphicData uri="http://schemas.openxmlformats.org/drawingml/2006/picture">
                <pic:pic>
                  <pic:nvPicPr>
                    <pic:cNvPr id="0" name="payday_balance_accounts.png"/>
                    <pic:cNvPicPr/>
                  </pic:nvPicPr>
                  <pic:blipFill>
                    <a:blip r:embed="rId23"/>
                    <a:stretch>
                      <a:fillRect/>
                    </a:stretch>
                  </pic:blipFill>
                  <pic:spPr>
                    <a:xfrm>
                      <a:off x="0" y="0"/>
                      <a:ext cx="7920000" cy="3630000"/>
                    </a:xfrm>
                    <a:prstGeom prst="rect"/>
                  </pic:spPr>
                </pic:pic>
              </a:graphicData>
            </a:graphic>
          </wp:inline>
        </w:drawing>
      </w:r>
    </w:p>
    <w:p>
      <w:pPr>
        <w:pStyle w:val="SourceLine"/>
      </w:pPr>
      <w:r>
        <w:t>Caption: Plan balances (left) and new accounts above VND 10 million (right) by month, in three scenarios.</w:t>
      </w:r>
    </w:p>
    <w:p>
      <w:pPr>
        <w:pStyle w:val="SourceLine"/>
      </w:pPr>
      <w:r>
        <w:t>Source: authors' cohort model.</w:t>
      </w:r>
    </w:p>
    <w:p>
      <w:r>
        <w:br w:type="page"/>
      </w:r>
    </w:p>
    <w:p>
      <w:pPr>
        <w:pStyle w:val="Heading3"/>
      </w:pPr>
      <w:r>
        <w:t>B3. Levers on the cost per funded account</w:t>
      </w:r>
    </w:p>
    <w:p>
      <w:r>
        <w:rPr>
          <w:rStyle w:val="FieldLabel"/>
        </w:rPr>
        <w:t>Title:</w:t>
      </w:r>
      <w:r>
        <w:t xml:space="preserve"> </w:t>
      </w:r>
      <w:r>
        <w:t>A lean team is the biggest lever; waiving the bank fee is the cheapest</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4820"/>
            <w:shd w:val="clear" w:color="auto" w:fill="F3F3F3"/>
          </w:tcPr>
          <w:p>
            <w:pPr>
              <w:spacing w:after="0"/>
            </w:pPr>
            <w:r>
              <w:rPr>
                <w:b/>
                <w:sz w:val="18"/>
              </w:rPr>
              <w:t>Case</w:t>
            </w:r>
          </w:p>
        </w:tc>
        <w:tc>
          <w:tcPr>
            <w:tcW w:type="dxa" w:w="4419"/>
            <w:shd w:val="clear" w:color="auto" w:fill="F3F3F3"/>
          </w:tcPr>
          <w:p>
            <w:pPr>
              <w:spacing w:after="0"/>
            </w:pPr>
            <w:r>
              <w:rPr>
                <w:b/>
                <w:sz w:val="18"/>
              </w:rPr>
              <w:t>Net cost per new funded account, month 60 (VND million)</w:t>
            </w:r>
          </w:p>
        </w:tc>
        <w:tc>
          <w:tcPr>
            <w:tcW w:type="dxa" w:w="3133"/>
            <w:shd w:val="clear" w:color="auto" w:fill="F3F3F3"/>
          </w:tcPr>
          <w:p>
            <w:pPr>
              <w:spacing w:after="0"/>
            </w:pPr>
            <w:r>
              <w:rPr>
                <w:b/>
                <w:sz w:val="18"/>
              </w:rPr>
              <w:t>Cumulative cash, month 60 (VND billion)</w:t>
            </w:r>
          </w:p>
        </w:tc>
        <w:tc>
          <w:tcPr>
            <w:tcW w:type="dxa" w:w="1366"/>
            <w:shd w:val="clear" w:color="auto" w:fill="F3F3F3"/>
          </w:tcPr>
          <w:p>
            <w:pPr>
              <w:spacing w:after="0"/>
            </w:pPr>
            <w:r>
              <w:rPr>
                <w:b/>
                <w:sz w:val="18"/>
              </w:rPr>
              <w:t>NPV (VND billion)</w:t>
            </w:r>
          </w:p>
        </w:tc>
        <w:tc>
          <w:tcPr>
            <w:tcW w:type="dxa" w:w="1285"/>
            <w:shd w:val="clear" w:color="auto" w:fill="F3F3F3"/>
          </w:tcPr>
          <w:p>
            <w:pPr>
              <w:spacing w:after="0"/>
            </w:pPr>
            <w:r>
              <w:rPr>
                <w:b/>
                <w:sz w:val="18"/>
              </w:rPr>
              <w:t>Break-even month</w:t>
            </w:r>
          </w:p>
        </w:tc>
      </w:tr>
      <w:tr>
        <w:tc>
          <w:tcPr>
            <w:tcW w:type="dxa" w:w="4820"/>
          </w:tcPr>
          <w:p>
            <w:pPr>
              <w:spacing w:after="0"/>
            </w:pPr>
            <w:r>
              <w:rPr>
                <w:sz w:val="18"/>
              </w:rPr>
              <w:t>Base case</w:t>
            </w:r>
          </w:p>
        </w:tc>
        <w:tc>
          <w:tcPr>
            <w:tcW w:type="dxa" w:w="4419"/>
          </w:tcPr>
          <w:p>
            <w:pPr>
              <w:spacing w:after="0"/>
            </w:pPr>
            <w:r>
              <w:rPr>
                <w:sz w:val="18"/>
              </w:rPr>
              <w:t>1.29</w:t>
            </w:r>
          </w:p>
        </w:tc>
        <w:tc>
          <w:tcPr>
            <w:tcW w:type="dxa" w:w="3133"/>
          </w:tcPr>
          <w:p>
            <w:pPr>
              <w:spacing w:after="0"/>
            </w:pPr>
            <w:r>
              <w:rPr>
                <w:sz w:val="18"/>
              </w:rPr>
              <w:t>−32.0</w:t>
            </w:r>
          </w:p>
        </w:tc>
        <w:tc>
          <w:tcPr>
            <w:tcW w:type="dxa" w:w="1366"/>
          </w:tcPr>
          <w:p>
            <w:pPr>
              <w:spacing w:after="0"/>
            </w:pPr>
            <w:r>
              <w:rPr>
                <w:sz w:val="18"/>
              </w:rPr>
              <w:t>−25.0</w:t>
            </w:r>
          </w:p>
        </w:tc>
        <w:tc>
          <w:tcPr>
            <w:tcW w:type="dxa" w:w="1285"/>
          </w:tcPr>
          <w:p>
            <w:pPr>
              <w:spacing w:after="0"/>
            </w:pPr>
            <w:r>
              <w:rPr>
                <w:sz w:val="18"/>
              </w:rPr>
              <w:t>none</w:t>
            </w:r>
          </w:p>
        </w:tc>
      </w:tr>
      <w:tr>
        <w:tc>
          <w:tcPr>
            <w:tcW w:type="dxa" w:w="4820"/>
          </w:tcPr>
          <w:p>
            <w:pPr>
              <w:spacing w:after="0"/>
            </w:pPr>
            <w:r>
              <w:rPr>
                <w:sz w:val="18"/>
              </w:rPr>
              <w:t>Partner bank waives the collection fee</w:t>
            </w:r>
          </w:p>
        </w:tc>
        <w:tc>
          <w:tcPr>
            <w:tcW w:type="dxa" w:w="4419"/>
          </w:tcPr>
          <w:p>
            <w:pPr>
              <w:spacing w:after="0"/>
            </w:pPr>
            <w:r>
              <w:rPr>
                <w:sz w:val="18"/>
              </w:rPr>
              <w:t>1.17</w:t>
            </w:r>
          </w:p>
        </w:tc>
        <w:tc>
          <w:tcPr>
            <w:tcW w:type="dxa" w:w="3133"/>
          </w:tcPr>
          <w:p>
            <w:pPr>
              <w:spacing w:after="0"/>
            </w:pPr>
            <w:r>
              <w:rPr>
                <w:sz w:val="18"/>
              </w:rPr>
              <w:t>−29.2</w:t>
            </w:r>
          </w:p>
        </w:tc>
        <w:tc>
          <w:tcPr>
            <w:tcW w:type="dxa" w:w="1366"/>
          </w:tcPr>
          <w:p>
            <w:pPr>
              <w:spacing w:after="0"/>
            </w:pPr>
            <w:r>
              <w:rPr>
                <w:sz w:val="18"/>
              </w:rPr>
              <w:t>−23.0</w:t>
            </w:r>
          </w:p>
        </w:tc>
        <w:tc>
          <w:tcPr>
            <w:tcW w:type="dxa" w:w="1285"/>
          </w:tcPr>
          <w:p>
            <w:pPr>
              <w:spacing w:after="0"/>
            </w:pPr>
            <w:r>
              <w:rPr>
                <w:sz w:val="18"/>
              </w:rPr>
              <w:t>none</w:t>
            </w:r>
          </w:p>
        </w:tc>
      </w:tr>
      <w:tr>
        <w:tc>
          <w:tcPr>
            <w:tcW w:type="dxa" w:w="4820"/>
          </w:tcPr>
          <w:p>
            <w:pPr>
              <w:spacing w:after="0"/>
            </w:pPr>
            <w:r>
              <w:rPr>
                <w:sz w:val="18"/>
              </w:rPr>
              <w:t>Lean team: 4 IT staff, lower overheads</w:t>
            </w:r>
          </w:p>
        </w:tc>
        <w:tc>
          <w:tcPr>
            <w:tcW w:type="dxa" w:w="4419"/>
          </w:tcPr>
          <w:p>
            <w:pPr>
              <w:spacing w:after="0"/>
            </w:pPr>
            <w:r>
              <w:rPr>
                <w:sz w:val="18"/>
              </w:rPr>
              <w:t>0.85</w:t>
            </w:r>
          </w:p>
        </w:tc>
        <w:tc>
          <w:tcPr>
            <w:tcW w:type="dxa" w:w="3133"/>
          </w:tcPr>
          <w:p>
            <w:pPr>
              <w:spacing w:after="0"/>
            </w:pPr>
            <w:r>
              <w:rPr>
                <w:sz w:val="18"/>
              </w:rPr>
              <w:t>−21.2</w:t>
            </w:r>
          </w:p>
        </w:tc>
        <w:tc>
          <w:tcPr>
            <w:tcW w:type="dxa" w:w="1366"/>
          </w:tcPr>
          <w:p>
            <w:pPr>
              <w:spacing w:after="0"/>
            </w:pPr>
            <w:r>
              <w:rPr>
                <w:sz w:val="18"/>
              </w:rPr>
              <w:t>−16.8</w:t>
            </w:r>
          </w:p>
        </w:tc>
        <w:tc>
          <w:tcPr>
            <w:tcW w:type="dxa" w:w="1285"/>
          </w:tcPr>
          <w:p>
            <w:pPr>
              <w:spacing w:after="0"/>
            </w:pPr>
            <w:r>
              <w:rPr>
                <w:sz w:val="18"/>
              </w:rPr>
              <w:t>none</w:t>
            </w:r>
          </w:p>
        </w:tc>
      </w:tr>
      <w:tr>
        <w:tc>
          <w:tcPr>
            <w:tcW w:type="dxa" w:w="4820"/>
          </w:tcPr>
          <w:p>
            <w:pPr>
              <w:spacing w:after="0"/>
            </w:pPr>
            <w:r>
              <w:rPr>
                <w:sz w:val="18"/>
              </w:rPr>
              <w:t>Upside yields: Golden Egg margin 1.5%, 40% of fund fees</w:t>
            </w:r>
          </w:p>
        </w:tc>
        <w:tc>
          <w:tcPr>
            <w:tcW w:type="dxa" w:w="4419"/>
          </w:tcPr>
          <w:p>
            <w:pPr>
              <w:spacing w:after="0"/>
            </w:pPr>
            <w:r>
              <w:rPr>
                <w:sz w:val="18"/>
              </w:rPr>
              <w:t>1.15</w:t>
            </w:r>
          </w:p>
        </w:tc>
        <w:tc>
          <w:tcPr>
            <w:tcW w:type="dxa" w:w="3133"/>
          </w:tcPr>
          <w:p>
            <w:pPr>
              <w:spacing w:after="0"/>
            </w:pPr>
            <w:r>
              <w:rPr>
                <w:sz w:val="18"/>
              </w:rPr>
              <w:t>−28.5</w:t>
            </w:r>
          </w:p>
        </w:tc>
        <w:tc>
          <w:tcPr>
            <w:tcW w:type="dxa" w:w="1366"/>
          </w:tcPr>
          <w:p>
            <w:pPr>
              <w:spacing w:after="0"/>
            </w:pPr>
            <w:r>
              <w:rPr>
                <w:sz w:val="18"/>
              </w:rPr>
              <w:t>−22.7</w:t>
            </w:r>
          </w:p>
        </w:tc>
        <w:tc>
          <w:tcPr>
            <w:tcW w:type="dxa" w:w="1285"/>
          </w:tcPr>
          <w:p>
            <w:pPr>
              <w:spacing w:after="0"/>
            </w:pPr>
            <w:r>
              <w:rPr>
                <w:sz w:val="18"/>
              </w:rPr>
              <w:t>none</w:t>
            </w:r>
          </w:p>
        </w:tc>
      </w:tr>
      <w:tr>
        <w:tc>
          <w:tcPr>
            <w:tcW w:type="dxa" w:w="4820"/>
          </w:tcPr>
          <w:p>
            <w:pPr>
              <w:spacing w:after="0"/>
            </w:pPr>
            <w:r>
              <w:rPr>
                <w:sz w:val="18"/>
              </w:rPr>
              <w:t>Upside enrolment in every channel</w:t>
            </w:r>
          </w:p>
        </w:tc>
        <w:tc>
          <w:tcPr>
            <w:tcW w:type="dxa" w:w="4419"/>
          </w:tcPr>
          <w:p>
            <w:pPr>
              <w:spacing w:after="0"/>
            </w:pPr>
            <w:r>
              <w:rPr>
                <w:sz w:val="18"/>
              </w:rPr>
              <w:t>0.68</w:t>
            </w:r>
          </w:p>
        </w:tc>
        <w:tc>
          <w:tcPr>
            <w:tcW w:type="dxa" w:w="3133"/>
          </w:tcPr>
          <w:p>
            <w:pPr>
              <w:spacing w:after="0"/>
            </w:pPr>
            <w:r>
              <w:rPr>
                <w:sz w:val="18"/>
              </w:rPr>
              <w:t>−30.8</w:t>
            </w:r>
          </w:p>
        </w:tc>
        <w:tc>
          <w:tcPr>
            <w:tcW w:type="dxa" w:w="1366"/>
          </w:tcPr>
          <w:p>
            <w:pPr>
              <w:spacing w:after="0"/>
            </w:pPr>
            <w:r>
              <w:rPr>
                <w:sz w:val="18"/>
              </w:rPr>
              <w:t>−24.5</w:t>
            </w:r>
          </w:p>
        </w:tc>
        <w:tc>
          <w:tcPr>
            <w:tcW w:type="dxa" w:w="1285"/>
          </w:tcPr>
          <w:p>
            <w:pPr>
              <w:spacing w:after="0"/>
            </w:pPr>
            <w:r>
              <w:rPr>
                <w:sz w:val="18"/>
              </w:rPr>
              <w:t>none</w:t>
            </w:r>
          </w:p>
        </w:tc>
      </w:tr>
      <w:tr>
        <w:tc>
          <w:tcPr>
            <w:tcW w:type="dxa" w:w="4820"/>
          </w:tcPr>
          <w:p>
            <w:pPr>
              <w:spacing w:after="0"/>
            </w:pPr>
            <w:r>
              <w:rPr>
                <w:sz w:val="18"/>
              </w:rPr>
              <w:t>Fee waived and lean team</w:t>
            </w:r>
          </w:p>
        </w:tc>
        <w:tc>
          <w:tcPr>
            <w:tcW w:type="dxa" w:w="4419"/>
          </w:tcPr>
          <w:p>
            <w:pPr>
              <w:spacing w:after="0"/>
            </w:pPr>
            <w:r>
              <w:rPr>
                <w:sz w:val="18"/>
              </w:rPr>
              <w:t>0.74</w:t>
            </w:r>
          </w:p>
        </w:tc>
        <w:tc>
          <w:tcPr>
            <w:tcW w:type="dxa" w:w="3133"/>
          </w:tcPr>
          <w:p>
            <w:pPr>
              <w:spacing w:after="0"/>
            </w:pPr>
            <w:r>
              <w:rPr>
                <w:sz w:val="18"/>
              </w:rPr>
              <w:t>−18.4</w:t>
            </w:r>
          </w:p>
        </w:tc>
        <w:tc>
          <w:tcPr>
            <w:tcW w:type="dxa" w:w="1366"/>
          </w:tcPr>
          <w:p>
            <w:pPr>
              <w:spacing w:after="0"/>
            </w:pPr>
            <w:r>
              <w:rPr>
                <w:sz w:val="18"/>
              </w:rPr>
              <w:t>−14.8</w:t>
            </w:r>
          </w:p>
        </w:tc>
        <w:tc>
          <w:tcPr>
            <w:tcW w:type="dxa" w:w="1285"/>
          </w:tcPr>
          <w:p>
            <w:pPr>
              <w:spacing w:after="0"/>
            </w:pPr>
            <w:r>
              <w:rPr>
                <w:sz w:val="18"/>
              </w:rPr>
              <w:t>none</w:t>
            </w:r>
          </w:p>
        </w:tc>
      </w:tr>
      <w:tr>
        <w:tc>
          <w:tcPr>
            <w:tcW w:type="dxa" w:w="4820"/>
          </w:tcPr>
          <w:p>
            <w:pPr>
              <w:spacing w:after="0"/>
            </w:pPr>
            <w:r>
              <w:rPr>
                <w:sz w:val="18"/>
              </w:rPr>
              <w:t>Fee waived, lean team, upside yields</w:t>
            </w:r>
          </w:p>
        </w:tc>
        <w:tc>
          <w:tcPr>
            <w:tcW w:type="dxa" w:w="4419"/>
          </w:tcPr>
          <w:p>
            <w:pPr>
              <w:spacing w:after="0"/>
            </w:pPr>
            <w:r>
              <w:rPr>
                <w:sz w:val="18"/>
              </w:rPr>
              <w:t>0.60</w:t>
            </w:r>
          </w:p>
        </w:tc>
        <w:tc>
          <w:tcPr>
            <w:tcW w:type="dxa" w:w="3133"/>
          </w:tcPr>
          <w:p>
            <w:pPr>
              <w:spacing w:after="0"/>
            </w:pPr>
            <w:r>
              <w:rPr>
                <w:sz w:val="18"/>
              </w:rPr>
              <w:t>−14.9</w:t>
            </w:r>
          </w:p>
        </w:tc>
        <w:tc>
          <w:tcPr>
            <w:tcW w:type="dxa" w:w="1366"/>
          </w:tcPr>
          <w:p>
            <w:pPr>
              <w:spacing w:after="0"/>
            </w:pPr>
            <w:r>
              <w:rPr>
                <w:sz w:val="18"/>
              </w:rPr>
              <w:t>−12.6</w:t>
            </w:r>
          </w:p>
        </w:tc>
        <w:tc>
          <w:tcPr>
            <w:tcW w:type="dxa" w:w="1285"/>
          </w:tcPr>
          <w:p>
            <w:pPr>
              <w:spacing w:after="0"/>
            </w:pPr>
            <w:r>
              <w:rPr>
                <w:sz w:val="18"/>
              </w:rPr>
              <w:t>58</w:t>
            </w:r>
          </w:p>
        </w:tc>
      </w:tr>
      <w:tr>
        <w:tc>
          <w:tcPr>
            <w:tcW w:type="dxa" w:w="4820"/>
          </w:tcPr>
          <w:p>
            <w:pPr>
              <w:spacing w:after="0"/>
            </w:pPr>
            <w:r>
              <w:rPr>
                <w:sz w:val="18"/>
              </w:rPr>
              <w:t>Fee waived, lean team, upside yields and enrolment</w:t>
            </w:r>
          </w:p>
        </w:tc>
        <w:tc>
          <w:tcPr>
            <w:tcW w:type="dxa" w:w="4419"/>
          </w:tcPr>
          <w:p>
            <w:pPr>
              <w:spacing w:after="0"/>
            </w:pPr>
            <w:r>
              <w:rPr>
                <w:sz w:val="18"/>
              </w:rPr>
              <w:t>0.18</w:t>
            </w:r>
          </w:p>
        </w:tc>
        <w:tc>
          <w:tcPr>
            <w:tcW w:type="dxa" w:w="3133"/>
          </w:tcPr>
          <w:p>
            <w:pPr>
              <w:spacing w:after="0"/>
            </w:pPr>
            <w:r>
              <w:rPr>
                <w:sz w:val="18"/>
              </w:rPr>
              <w:t>−8.2</w:t>
            </w:r>
          </w:p>
        </w:tc>
        <w:tc>
          <w:tcPr>
            <w:tcW w:type="dxa" w:w="1366"/>
          </w:tcPr>
          <w:p>
            <w:pPr>
              <w:spacing w:after="0"/>
            </w:pPr>
            <w:r>
              <w:rPr>
                <w:sz w:val="18"/>
              </w:rPr>
              <w:t>−8.3</w:t>
            </w:r>
          </w:p>
        </w:tc>
        <w:tc>
          <w:tcPr>
            <w:tcW w:type="dxa" w:w="1285"/>
          </w:tcPr>
          <w:p>
            <w:pPr>
              <w:spacing w:after="0"/>
            </w:pPr>
            <w:r>
              <w:rPr>
                <w:sz w:val="18"/>
              </w:rPr>
              <w:t>39</w:t>
            </w:r>
          </w:p>
        </w:tc>
      </w:tr>
      <w:tr>
        <w:tc>
          <w:tcPr>
            <w:tcW w:type="dxa" w:w="4820"/>
          </w:tcPr>
          <w:p>
            <w:pPr>
              <w:spacing w:after="0"/>
            </w:pPr>
            <w:r>
              <w:rPr>
                <w:sz w:val="18"/>
              </w:rPr>
              <w:t>All inputs at upside (upside scenario)</w:t>
            </w:r>
          </w:p>
        </w:tc>
        <w:tc>
          <w:tcPr>
            <w:tcW w:type="dxa" w:w="4419"/>
          </w:tcPr>
          <w:p>
            <w:pPr>
              <w:spacing w:after="0"/>
            </w:pPr>
            <w:r>
              <w:rPr>
                <w:sz w:val="18"/>
              </w:rPr>
              <w:t>0.00</w:t>
            </w:r>
          </w:p>
        </w:tc>
        <w:tc>
          <w:tcPr>
            <w:tcW w:type="dxa" w:w="3133"/>
          </w:tcPr>
          <w:p>
            <w:pPr>
              <w:spacing w:after="0"/>
            </w:pPr>
            <w:r>
              <w:rPr>
                <w:sz w:val="18"/>
              </w:rPr>
              <w:t>21.9</w:t>
            </w:r>
          </w:p>
        </w:tc>
        <w:tc>
          <w:tcPr>
            <w:tcW w:type="dxa" w:w="1366"/>
          </w:tcPr>
          <w:p>
            <w:pPr>
              <w:spacing w:after="0"/>
            </w:pPr>
            <w:r>
              <w:rPr>
                <w:sz w:val="18"/>
              </w:rPr>
              <w:t>11.0</w:t>
            </w:r>
          </w:p>
        </w:tc>
        <w:tc>
          <w:tcPr>
            <w:tcW w:type="dxa" w:w="1285"/>
          </w:tcPr>
          <w:p>
            <w:pPr>
              <w:spacing w:after="0"/>
            </w:pPr>
            <w:r>
              <w:rPr>
                <w:sz w:val="18"/>
              </w:rPr>
              <w:t>24</w:t>
            </w:r>
          </w:p>
        </w:tc>
      </w:tr>
      <w:tr>
        <w:tc>
          <w:tcPr>
            <w:tcW w:type="dxa" w:w="4820"/>
          </w:tcPr>
          <w:p>
            <w:pPr>
              <w:spacing w:after="0"/>
            </w:pPr>
            <w:r>
              <w:rPr>
                <w:sz w:val="18"/>
              </w:rPr>
              <w:t>DNSE's own bonds in the Golden Egg core (margin about 1.2 points; rejected, decision D7)</w:t>
            </w:r>
          </w:p>
        </w:tc>
        <w:tc>
          <w:tcPr>
            <w:tcW w:type="dxa" w:w="4419"/>
          </w:tcPr>
          <w:p>
            <w:pPr>
              <w:spacing w:after="0"/>
            </w:pPr>
            <w:r>
              <w:rPr>
                <w:sz w:val="18"/>
              </w:rPr>
              <w:t>1.13</w:t>
            </w:r>
          </w:p>
        </w:tc>
        <w:tc>
          <w:tcPr>
            <w:tcW w:type="dxa" w:w="3133"/>
          </w:tcPr>
          <w:p>
            <w:pPr>
              <w:spacing w:after="0"/>
            </w:pPr>
            <w:r>
              <w:rPr>
                <w:sz w:val="18"/>
              </w:rPr>
              <w:t>−28.1</w:t>
            </w:r>
          </w:p>
        </w:tc>
        <w:tc>
          <w:tcPr>
            <w:tcW w:type="dxa" w:w="1366"/>
          </w:tcPr>
          <w:p>
            <w:pPr>
              <w:spacing w:after="0"/>
            </w:pPr>
            <w:r>
              <w:rPr>
                <w:sz w:val="18"/>
              </w:rPr>
              <w:t>−22.4</w:t>
            </w:r>
          </w:p>
        </w:tc>
        <w:tc>
          <w:tcPr>
            <w:tcW w:type="dxa" w:w="1285"/>
          </w:tcPr>
          <w:p>
            <w:pPr>
              <w:spacing w:after="0"/>
            </w:pPr>
            <w:r>
              <w:rPr>
                <w:sz w:val="18"/>
              </w:rPr>
              <w:t>none</w:t>
            </w:r>
          </w:p>
        </w:tc>
      </w:tr>
      <w:tr>
        <w:tc>
          <w:tcPr>
            <w:tcW w:type="dxa" w:w="4820"/>
          </w:tcPr>
          <w:p>
            <w:pPr>
              <w:spacing w:after="0"/>
            </w:pPr>
            <w:r>
              <w:rPr>
                <w:sz w:val="18"/>
              </w:rPr>
              <w:t>Half of the team cost treated as shared platform spending (incremental view)</w:t>
            </w:r>
          </w:p>
        </w:tc>
        <w:tc>
          <w:tcPr>
            <w:tcW w:type="dxa" w:w="4419"/>
          </w:tcPr>
          <w:p>
            <w:pPr>
              <w:spacing w:after="0"/>
            </w:pPr>
            <w:r>
              <w:rPr>
                <w:sz w:val="18"/>
              </w:rPr>
              <w:t>0.86</w:t>
            </w:r>
          </w:p>
        </w:tc>
        <w:tc>
          <w:tcPr>
            <w:tcW w:type="dxa" w:w="3133"/>
          </w:tcPr>
          <w:p>
            <w:pPr>
              <w:spacing w:after="0"/>
            </w:pPr>
            <w:r>
              <w:rPr>
                <w:sz w:val="18"/>
              </w:rPr>
              <w:t>−21.4</w:t>
            </w:r>
          </w:p>
        </w:tc>
        <w:tc>
          <w:tcPr>
            <w:tcW w:type="dxa" w:w="1366"/>
          </w:tcPr>
          <w:p>
            <w:pPr>
              <w:spacing w:after="0"/>
            </w:pPr>
            <w:r>
              <w:rPr>
                <w:sz w:val="18"/>
              </w:rPr>
              <w:t>−16.8</w:t>
            </w:r>
          </w:p>
        </w:tc>
        <w:tc>
          <w:tcPr>
            <w:tcW w:type="dxa" w:w="1285"/>
          </w:tcPr>
          <w:p>
            <w:pPr>
              <w:spacing w:after="0"/>
            </w:pPr>
            <w:r>
              <w:rPr>
                <w:sz w:val="18"/>
              </w:rPr>
              <w:t>none</w:t>
            </w:r>
          </w:p>
        </w:tc>
      </w:tr>
    </w:tbl>
    <w:p/>
    <w:p>
      <w:pPr>
        <w:pStyle w:val="SourceLine"/>
      </w:pPr>
      <w:r>
        <w:t xml:space="preserve">CSV: </w:t>
      </w:r>
      <w:r>
        <w:rPr>
          <w:rFonts w:ascii="Consolas" w:hAnsi="Consolas"/>
          <w:color w:val="6B6B6B"/>
          <w:sz w:val="18"/>
        </w:rPr>
        <w:t>outputs/round3/tables/appB3_levers.csv</w:t>
      </w:r>
      <w:r>
        <w:t>.</w:t>
      </w:r>
    </w:p>
    <w:p>
      <w:pPr>
        <w:pStyle w:val="SourceLine"/>
      </w:pPr>
      <w:r>
        <w:t>Source: authors' cohort model.</w:t>
      </w:r>
    </w:p>
    <w:p>
      <w:r>
        <w:br w:type="page"/>
      </w:r>
    </w:p>
    <w:p>
      <w:pPr>
        <w:pStyle w:val="Heading3"/>
      </w:pPr>
      <w:r>
        <w:t>B4. Stress tests</w:t>
      </w:r>
    </w:p>
    <w:p>
      <w:r>
        <w:rPr>
          <w:rStyle w:val="FieldLabel"/>
        </w:rPr>
        <w:t>Title:</w:t>
      </w:r>
      <w:r>
        <w:t xml:space="preserve"> </w:t>
      </w:r>
      <w:r>
        <w:t>Shocks hit the KPI far more than the cash</w:t>
      </w:r>
    </w:p>
    <w:p>
      <w:r>
        <w:rPr>
          <w:rStyle w:val="FieldLabel"/>
        </w:rPr>
        <w:t>Table:</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6174"/>
            <w:shd w:val="clear" w:color="auto" w:fill="F3F3F3"/>
          </w:tcPr>
          <w:p>
            <w:pPr>
              <w:spacing w:after="0"/>
            </w:pPr>
            <w:r>
              <w:rPr>
                <w:b/>
                <w:sz w:val="18"/>
              </w:rPr>
              <w:t>Case</w:t>
            </w:r>
          </w:p>
        </w:tc>
        <w:tc>
          <w:tcPr>
            <w:tcW w:type="dxa" w:w="4425"/>
            <w:shd w:val="clear" w:color="auto" w:fill="F3F3F3"/>
          </w:tcPr>
          <w:p>
            <w:pPr>
              <w:spacing w:after="0"/>
            </w:pPr>
            <w:r>
              <w:rPr>
                <w:b/>
                <w:sz w:val="18"/>
              </w:rPr>
              <w:t>New accounts above VND 10 million, month 36</w:t>
            </w:r>
          </w:p>
        </w:tc>
        <w:tc>
          <w:tcPr>
            <w:tcW w:type="dxa" w:w="617"/>
            <w:shd w:val="clear" w:color="auto" w:fill="F3F3F3"/>
          </w:tcPr>
          <w:p>
            <w:pPr>
              <w:spacing w:after="0"/>
            </w:pPr>
            <w:r>
              <w:rPr>
                <w:b/>
                <w:sz w:val="18"/>
              </w:rPr>
              <w:t>Change</w:t>
            </w:r>
          </w:p>
        </w:tc>
        <w:tc>
          <w:tcPr>
            <w:tcW w:type="dxa" w:w="3807"/>
            <w:shd w:val="clear" w:color="auto" w:fill="F3F3F3"/>
          </w:tcPr>
          <w:p>
            <w:pPr>
              <w:spacing w:after="0"/>
            </w:pPr>
            <w:r>
              <w:rPr>
                <w:b/>
                <w:sz w:val="18"/>
              </w:rPr>
              <w:t>Change in month-60 cash (VND billion)</w:t>
            </w:r>
          </w:p>
        </w:tc>
      </w:tr>
      <w:tr>
        <w:tc>
          <w:tcPr>
            <w:tcW w:type="dxa" w:w="6174"/>
          </w:tcPr>
          <w:p>
            <w:pPr>
              <w:spacing w:after="0"/>
            </w:pPr>
            <w:r>
              <w:rPr>
                <w:sz w:val="18"/>
              </w:rPr>
              <w:t>Base case, no shock</w:t>
            </w:r>
          </w:p>
        </w:tc>
        <w:tc>
          <w:tcPr>
            <w:tcW w:type="dxa" w:w="4425"/>
          </w:tcPr>
          <w:p>
            <w:pPr>
              <w:spacing w:after="0"/>
            </w:pPr>
            <w:r>
              <w:rPr>
                <w:sz w:val="18"/>
              </w:rPr>
              <w:t>14,871</w:t>
            </w:r>
          </w:p>
        </w:tc>
        <w:tc>
          <w:tcPr>
            <w:tcW w:type="dxa" w:w="617"/>
          </w:tcPr>
          <w:p>
            <w:pPr>
              <w:spacing w:after="0"/>
            </w:pPr>
            <w:r>
              <w:rPr>
                <w:sz w:val="18"/>
              </w:rPr>
              <w:t>0.0%</w:t>
            </w:r>
          </w:p>
        </w:tc>
        <w:tc>
          <w:tcPr>
            <w:tcW w:type="dxa" w:w="3807"/>
          </w:tcPr>
          <w:p>
            <w:pPr>
              <w:spacing w:after="0"/>
            </w:pPr>
            <w:r>
              <w:rPr>
                <w:sz w:val="18"/>
              </w:rPr>
              <w:t>0.00</w:t>
            </w:r>
          </w:p>
        </w:tc>
      </w:tr>
      <w:tr>
        <w:tc>
          <w:tcPr>
            <w:tcW w:type="dxa" w:w="6174"/>
          </w:tcPr>
          <w:p>
            <w:pPr>
              <w:spacing w:after="0"/>
            </w:pPr>
            <w:r>
              <w:rPr>
                <w:sz w:val="18"/>
              </w:rPr>
              <w:t>Market fall in year 2: stop and withdrawal rates three times normal in months 13 to 15</w:t>
            </w:r>
          </w:p>
        </w:tc>
        <w:tc>
          <w:tcPr>
            <w:tcW w:type="dxa" w:w="4425"/>
          </w:tcPr>
          <w:p>
            <w:pPr>
              <w:spacing w:after="0"/>
            </w:pPr>
            <w:r>
              <w:rPr>
                <w:sz w:val="18"/>
              </w:rPr>
              <w:t>13,043</w:t>
            </w:r>
          </w:p>
        </w:tc>
        <w:tc>
          <w:tcPr>
            <w:tcW w:type="dxa" w:w="617"/>
          </w:tcPr>
          <w:p>
            <w:pPr>
              <w:spacing w:after="0"/>
            </w:pPr>
            <w:r>
              <w:rPr>
                <w:sz w:val="18"/>
              </w:rPr>
              <w:t>−12.3%</w:t>
            </w:r>
          </w:p>
        </w:tc>
        <w:tc>
          <w:tcPr>
            <w:tcW w:type="dxa" w:w="3807"/>
          </w:tcPr>
          <w:p>
            <w:pPr>
              <w:spacing w:after="0"/>
            </w:pPr>
            <w:r>
              <w:rPr>
                <w:sz w:val="18"/>
              </w:rPr>
              <w:t>−0.35</w:t>
            </w:r>
          </w:p>
        </w:tc>
      </w:tr>
      <w:tr>
        <w:tc>
          <w:tcPr>
            <w:tcW w:type="dxa" w:w="6174"/>
          </w:tcPr>
          <w:p>
            <w:pPr>
              <w:spacing w:after="0"/>
            </w:pPr>
            <w:r>
              <w:rPr>
                <w:sz w:val="18"/>
              </w:rPr>
              <w:t>Failed payday run in month 9: 15% of contributing savers stop; enrolment 30% lower in months 9 to 11</w:t>
            </w:r>
          </w:p>
        </w:tc>
        <w:tc>
          <w:tcPr>
            <w:tcW w:type="dxa" w:w="4425"/>
          </w:tcPr>
          <w:p>
            <w:pPr>
              <w:spacing w:after="0"/>
            </w:pPr>
            <w:r>
              <w:rPr>
                <w:sz w:val="18"/>
              </w:rPr>
              <w:t>13,725</w:t>
            </w:r>
          </w:p>
        </w:tc>
        <w:tc>
          <w:tcPr>
            <w:tcW w:type="dxa" w:w="617"/>
          </w:tcPr>
          <w:p>
            <w:pPr>
              <w:spacing w:after="0"/>
            </w:pPr>
            <w:r>
              <w:rPr>
                <w:sz w:val="18"/>
              </w:rPr>
              <w:t>−7.7%</w:t>
            </w:r>
          </w:p>
        </w:tc>
        <w:tc>
          <w:tcPr>
            <w:tcW w:type="dxa" w:w="3807"/>
          </w:tcPr>
          <w:p>
            <w:pPr>
              <w:spacing w:after="0"/>
            </w:pPr>
            <w:r>
              <w:rPr>
                <w:sz w:val="18"/>
              </w:rPr>
              <w:t>−0.21</w:t>
            </w:r>
          </w:p>
        </w:tc>
      </w:tr>
      <w:tr>
        <w:tc>
          <w:tcPr>
            <w:tcW w:type="dxa" w:w="6174"/>
          </w:tcPr>
          <w:p>
            <w:pPr>
              <w:spacing w:after="0"/>
            </w:pPr>
            <w:r>
              <w:rPr>
                <w:sz w:val="18"/>
              </w:rPr>
              <w:t>Both shocks</w:t>
            </w:r>
          </w:p>
        </w:tc>
        <w:tc>
          <w:tcPr>
            <w:tcW w:type="dxa" w:w="4425"/>
          </w:tcPr>
          <w:p>
            <w:pPr>
              <w:spacing w:after="0"/>
            </w:pPr>
            <w:r>
              <w:rPr>
                <w:sz w:val="18"/>
              </w:rPr>
              <w:t>12,118</w:t>
            </w:r>
          </w:p>
        </w:tc>
        <w:tc>
          <w:tcPr>
            <w:tcW w:type="dxa" w:w="617"/>
          </w:tcPr>
          <w:p>
            <w:pPr>
              <w:spacing w:after="0"/>
            </w:pPr>
            <w:r>
              <w:rPr>
                <w:sz w:val="18"/>
              </w:rPr>
              <w:t>−18.5%</w:t>
            </w:r>
          </w:p>
        </w:tc>
        <w:tc>
          <w:tcPr>
            <w:tcW w:type="dxa" w:w="3807"/>
          </w:tcPr>
          <w:p>
            <w:pPr>
              <w:spacing w:after="0"/>
            </w:pPr>
            <w:r>
              <w:rPr>
                <w:sz w:val="18"/>
              </w:rPr>
              <w:t>−0.51</w:t>
            </w:r>
          </w:p>
        </w:tc>
      </w:tr>
    </w:tbl>
    <w:p/>
    <w:p>
      <w:pPr>
        <w:pStyle w:val="SourceLine"/>
      </w:pPr>
      <w:r>
        <w:t xml:space="preserve">CSV: </w:t>
      </w:r>
      <w:r>
        <w:rPr>
          <w:rFonts w:ascii="Consolas" w:hAnsi="Consolas"/>
          <w:color w:val="6B6B6B"/>
          <w:sz w:val="18"/>
        </w:rPr>
        <w:t>outputs/round3/tables/appB4_stress.csv</w:t>
      </w:r>
      <w:r>
        <w:t>.</w:t>
      </w:r>
    </w:p>
    <w:p>
      <w:pPr>
        <w:pStyle w:val="SourceLine"/>
      </w:pPr>
      <w:r>
        <w:t>Source: authors' cohort model (calendar engine).</w:t>
      </w:r>
    </w:p>
    <w:p>
      <w:r>
        <w:br w:type="page"/>
      </w:r>
    </w:p>
    <w:p>
      <w:pPr>
        <w:pStyle w:val="Heading3"/>
      </w:pPr>
      <w:r>
        <w:t>B5. Cash tiers and pilot size</w:t>
      </w:r>
    </w:p>
    <w:p>
      <w:r>
        <w:rPr>
          <w:rStyle w:val="FieldLabel"/>
        </w:rPr>
        <w:t>Title:</w:t>
      </w:r>
      <w:r>
        <w:t xml:space="preserve"> </w:t>
      </w:r>
      <w:r>
        <w:t>Cash tiers pay only if the bank fee is waived and persistence rises</w:t>
      </w:r>
    </w:p>
    <w:p>
      <w:r>
        <w:rPr>
          <w:rStyle w:val="FieldLabel"/>
        </w:rPr>
        <w:t>Text:</w:t>
      </w:r>
    </w:p>
    <w:p>
      <w:pPr>
        <w:pStyle w:val="ListBullet"/>
      </w:pPr>
      <w:r>
        <w:t>A 45,000-account pilot can detect a 9.9-point gain in the six-contribution rate; 20,000 accounts could not.</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1633"/>
            <w:shd w:val="clear" w:color="auto" w:fill="F3F3F3"/>
          </w:tcPr>
          <w:p>
            <w:pPr>
              <w:spacing w:after="0"/>
            </w:pPr>
            <w:r>
              <w:rPr>
                <w:b/>
                <w:sz w:val="18"/>
              </w:rPr>
              <w:t>Bank fee</w:t>
            </w:r>
          </w:p>
        </w:tc>
        <w:tc>
          <w:tcPr>
            <w:tcW w:type="dxa" w:w="6532"/>
            <w:shd w:val="clear" w:color="auto" w:fill="F3F3F3"/>
          </w:tcPr>
          <w:p>
            <w:pPr>
              <w:spacing w:after="0"/>
            </w:pPr>
            <w:r>
              <w:rPr>
                <w:b/>
                <w:sz w:val="18"/>
              </w:rPr>
              <w:t>Reward design</w:t>
            </w:r>
          </w:p>
        </w:tc>
        <w:tc>
          <w:tcPr>
            <w:tcW w:type="dxa" w:w="2722"/>
            <w:shd w:val="clear" w:color="auto" w:fill="F3F3F3"/>
          </w:tcPr>
          <w:p>
            <w:pPr>
              <w:spacing w:after="0"/>
            </w:pPr>
            <w:r>
              <w:rPr>
                <w:b/>
                <w:sz w:val="18"/>
              </w:rPr>
              <w:t>Reward cost, % of revenue</w:t>
            </w:r>
          </w:p>
        </w:tc>
        <w:tc>
          <w:tcPr>
            <w:tcW w:type="dxa" w:w="1198"/>
            <w:shd w:val="clear" w:color="auto" w:fill="F3F3F3"/>
          </w:tcPr>
          <w:p>
            <w:pPr>
              <w:spacing w:after="0"/>
            </w:pPr>
            <w:r>
              <w:rPr>
                <w:b/>
                <w:sz w:val="18"/>
              </w:rPr>
              <w:t>CAC ceiling</w:t>
            </w:r>
          </w:p>
        </w:tc>
        <w:tc>
          <w:tcPr>
            <w:tcW w:type="dxa" w:w="2939"/>
            <w:shd w:val="clear" w:color="auto" w:fill="F3F3F3"/>
          </w:tcPr>
          <w:p>
            <w:pPr>
              <w:spacing w:after="0"/>
            </w:pPr>
            <w:r>
              <w:rPr>
                <w:b/>
                <w:sz w:val="18"/>
              </w:rPr>
              <w:t>12-contribution rate needed</w:t>
            </w:r>
          </w:p>
        </w:tc>
      </w:tr>
      <w:tr>
        <w:tc>
          <w:tcPr>
            <w:tcW w:type="dxa" w:w="1633"/>
          </w:tcPr>
          <w:p>
            <w:pPr>
              <w:spacing w:after="0"/>
            </w:pPr>
            <w:r>
              <w:rPr>
                <w:sz w:val="18"/>
              </w:rPr>
              <w:t>Base bank fee</w:t>
            </w:r>
          </w:p>
        </w:tc>
        <w:tc>
          <w:tcPr>
            <w:tcW w:type="dxa" w:w="6532"/>
          </w:tcPr>
          <w:p>
            <w:pPr>
              <w:spacing w:after="0"/>
            </w:pPr>
            <w:r>
              <w:rPr>
                <w:sz w:val="18"/>
              </w:rPr>
              <w:t>Round 2 tiers made small: 10k / 20k / 50k gifts, 0.1-point fee rebate from 6, Golden Egg +0.2 points from 12</w:t>
            </w:r>
          </w:p>
        </w:tc>
        <w:tc>
          <w:tcPr>
            <w:tcW w:type="dxa" w:w="2722"/>
          </w:tcPr>
          <w:p>
            <w:pPr>
              <w:spacing w:after="0"/>
            </w:pPr>
            <w:r>
              <w:rPr>
                <w:sz w:val="18"/>
              </w:rPr>
              <w:t>41.2%</w:t>
            </w:r>
          </w:p>
        </w:tc>
        <w:tc>
          <w:tcPr>
            <w:tcW w:type="dxa" w:w="1198"/>
          </w:tcPr>
          <w:p>
            <w:pPr>
              <w:spacing w:after="0"/>
            </w:pPr>
            <w:r>
              <w:rPr>
                <w:sz w:val="18"/>
              </w:rPr>
              <w:t>VND 36,712</w:t>
            </w:r>
          </w:p>
        </w:tc>
        <w:tc>
          <w:tcPr>
            <w:tcW w:type="dxa" w:w="2939"/>
          </w:tcPr>
          <w:p>
            <w:pPr>
              <w:spacing w:after="0"/>
            </w:pPr>
            <w:r>
              <w:rPr>
                <w:sz w:val="18"/>
              </w:rPr>
              <w:t>not reachable</w:t>
            </w:r>
          </w:p>
        </w:tc>
      </w:tr>
      <w:tr>
        <w:tc>
          <w:tcPr>
            <w:tcW w:type="dxa" w:w="1633"/>
          </w:tcPr>
          <w:p>
            <w:pPr>
              <w:spacing w:after="0"/>
            </w:pPr>
            <w:r>
              <w:rPr>
                <w:sz w:val="18"/>
              </w:rPr>
              <w:t>Base bank fee</w:t>
            </w:r>
          </w:p>
        </w:tc>
        <w:tc>
          <w:tcPr>
            <w:tcW w:type="dxa" w:w="6532"/>
          </w:tcPr>
          <w:p>
            <w:pPr>
              <w:spacing w:after="0"/>
            </w:pPr>
            <w:r>
              <w:rPr>
                <w:sz w:val="18"/>
              </w:rPr>
              <w:t>Tested option: 30k gift at 12, 0.1-point fee rebate from 6</w:t>
            </w:r>
          </w:p>
        </w:tc>
        <w:tc>
          <w:tcPr>
            <w:tcW w:type="dxa" w:w="2722"/>
          </w:tcPr>
          <w:p>
            <w:pPr>
              <w:spacing w:after="0"/>
            </w:pPr>
            <w:r>
              <w:rPr>
                <w:sz w:val="18"/>
              </w:rPr>
              <w:t>14.2%</w:t>
            </w:r>
          </w:p>
        </w:tc>
        <w:tc>
          <w:tcPr>
            <w:tcW w:type="dxa" w:w="1198"/>
          </w:tcPr>
          <w:p>
            <w:pPr>
              <w:spacing w:after="0"/>
            </w:pPr>
            <w:r>
              <w:rPr>
                <w:sz w:val="18"/>
              </w:rPr>
              <w:t>VND 96,158</w:t>
            </w:r>
          </w:p>
        </w:tc>
        <w:tc>
          <w:tcPr>
            <w:tcW w:type="dxa" w:w="2939"/>
          </w:tcPr>
          <w:p>
            <w:pPr>
              <w:spacing w:after="0"/>
            </w:pPr>
            <w:r>
              <w:rPr>
                <w:sz w:val="18"/>
              </w:rPr>
              <w:t>not reachable</w:t>
            </w:r>
          </w:p>
        </w:tc>
      </w:tr>
      <w:tr>
        <w:tc>
          <w:tcPr>
            <w:tcW w:type="dxa" w:w="1633"/>
          </w:tcPr>
          <w:p>
            <w:pPr>
              <w:spacing w:after="0"/>
            </w:pPr>
            <w:r>
              <w:rPr>
                <w:sz w:val="18"/>
              </w:rPr>
              <w:t>Base bank fee</w:t>
            </w:r>
          </w:p>
        </w:tc>
        <w:tc>
          <w:tcPr>
            <w:tcW w:type="dxa" w:w="6532"/>
          </w:tcPr>
          <w:p>
            <w:pPr>
              <w:spacing w:after="0"/>
            </w:pPr>
            <w:r>
              <w:rPr>
                <w:sz w:val="18"/>
              </w:rPr>
              <w:t>MVP (decision D1): non-cash features only</w:t>
            </w:r>
          </w:p>
        </w:tc>
        <w:tc>
          <w:tcPr>
            <w:tcW w:type="dxa" w:w="2722"/>
          </w:tcPr>
          <w:p>
            <w:pPr>
              <w:spacing w:after="0"/>
            </w:pPr>
            <w:r>
              <w:rPr>
                <w:sz w:val="18"/>
              </w:rPr>
              <w:t>0.0%</w:t>
            </w:r>
          </w:p>
        </w:tc>
        <w:tc>
          <w:tcPr>
            <w:tcW w:type="dxa" w:w="1198"/>
          </w:tcPr>
          <w:p>
            <w:pPr>
              <w:spacing w:after="0"/>
            </w:pPr>
            <w:r>
              <w:rPr>
                <w:sz w:val="18"/>
              </w:rPr>
              <w:t>VND 127,512</w:t>
            </w:r>
          </w:p>
        </w:tc>
        <w:tc>
          <w:tcPr>
            <w:tcW w:type="dxa" w:w="2939"/>
          </w:tcPr>
          <w:p>
            <w:pPr>
              <w:spacing w:after="0"/>
            </w:pPr>
            <w:r>
              <w:rPr>
                <w:sz w:val="18"/>
              </w:rPr>
              <w:t>64.5%</w:t>
            </w:r>
          </w:p>
        </w:tc>
      </w:tr>
      <w:tr>
        <w:tc>
          <w:tcPr>
            <w:tcW w:type="dxa" w:w="1633"/>
          </w:tcPr>
          <w:p>
            <w:pPr>
              <w:spacing w:after="0"/>
            </w:pPr>
            <w:r>
              <w:rPr>
                <w:sz w:val="18"/>
              </w:rPr>
              <w:t>Bank fee waived</w:t>
            </w:r>
          </w:p>
        </w:tc>
        <w:tc>
          <w:tcPr>
            <w:tcW w:type="dxa" w:w="6532"/>
          </w:tcPr>
          <w:p>
            <w:pPr>
              <w:spacing w:after="0"/>
            </w:pPr>
            <w:r>
              <w:rPr>
                <w:sz w:val="18"/>
              </w:rPr>
              <w:t>Round 2 tiers made small: 10k / 20k / 50k gifts, 0.1-point fee rebate from 6, Golden Egg +0.2 points from 12</w:t>
            </w:r>
          </w:p>
        </w:tc>
        <w:tc>
          <w:tcPr>
            <w:tcW w:type="dxa" w:w="2722"/>
          </w:tcPr>
          <w:p>
            <w:pPr>
              <w:spacing w:after="0"/>
            </w:pPr>
            <w:r>
              <w:rPr>
                <w:sz w:val="18"/>
              </w:rPr>
              <w:t>41.2%</w:t>
            </w:r>
          </w:p>
        </w:tc>
        <w:tc>
          <w:tcPr>
            <w:tcW w:type="dxa" w:w="1198"/>
          </w:tcPr>
          <w:p>
            <w:pPr>
              <w:spacing w:after="0"/>
            </w:pPr>
            <w:r>
              <w:rPr>
                <w:sz w:val="18"/>
              </w:rPr>
              <w:t>VND 108,077</w:t>
            </w:r>
          </w:p>
        </w:tc>
        <w:tc>
          <w:tcPr>
            <w:tcW w:type="dxa" w:w="2939"/>
          </w:tcPr>
          <w:p>
            <w:pPr>
              <w:spacing w:after="0"/>
            </w:pPr>
            <w:r>
              <w:rPr>
                <w:sz w:val="18"/>
              </w:rPr>
              <w:t>not reachable</w:t>
            </w:r>
          </w:p>
        </w:tc>
      </w:tr>
      <w:tr>
        <w:tc>
          <w:tcPr>
            <w:tcW w:type="dxa" w:w="1633"/>
          </w:tcPr>
          <w:p>
            <w:pPr>
              <w:spacing w:after="0"/>
            </w:pPr>
            <w:r>
              <w:rPr>
                <w:sz w:val="18"/>
              </w:rPr>
              <w:t>Bank fee waived</w:t>
            </w:r>
          </w:p>
        </w:tc>
        <w:tc>
          <w:tcPr>
            <w:tcW w:type="dxa" w:w="6532"/>
          </w:tcPr>
          <w:p>
            <w:pPr>
              <w:spacing w:after="0"/>
            </w:pPr>
            <w:r>
              <w:rPr>
                <w:sz w:val="18"/>
              </w:rPr>
              <w:t>Tested option: 30k gift at 12, 0.1-point fee rebate from 6</w:t>
            </w:r>
          </w:p>
        </w:tc>
        <w:tc>
          <w:tcPr>
            <w:tcW w:type="dxa" w:w="2722"/>
          </w:tcPr>
          <w:p>
            <w:pPr>
              <w:spacing w:after="0"/>
            </w:pPr>
            <w:r>
              <w:rPr>
                <w:sz w:val="18"/>
              </w:rPr>
              <w:t>14.2%</w:t>
            </w:r>
          </w:p>
        </w:tc>
        <w:tc>
          <w:tcPr>
            <w:tcW w:type="dxa" w:w="1198"/>
          </w:tcPr>
          <w:p>
            <w:pPr>
              <w:spacing w:after="0"/>
            </w:pPr>
            <w:r>
              <w:rPr>
                <w:sz w:val="18"/>
              </w:rPr>
              <w:t>VND 167,523</w:t>
            </w:r>
          </w:p>
        </w:tc>
        <w:tc>
          <w:tcPr>
            <w:tcW w:type="dxa" w:w="2939"/>
          </w:tcPr>
          <w:p>
            <w:pPr>
              <w:spacing w:after="0"/>
            </w:pPr>
            <w:r>
              <w:rPr>
                <w:sz w:val="18"/>
              </w:rPr>
              <w:t>73.3%</w:t>
            </w:r>
          </w:p>
        </w:tc>
      </w:tr>
      <w:tr>
        <w:tc>
          <w:tcPr>
            <w:tcW w:type="dxa" w:w="1633"/>
          </w:tcPr>
          <w:p>
            <w:pPr>
              <w:spacing w:after="0"/>
            </w:pPr>
            <w:r>
              <w:rPr>
                <w:sz w:val="18"/>
              </w:rPr>
              <w:t>Bank fee waived</w:t>
            </w:r>
          </w:p>
        </w:tc>
        <w:tc>
          <w:tcPr>
            <w:tcW w:type="dxa" w:w="6532"/>
          </w:tcPr>
          <w:p>
            <w:pPr>
              <w:spacing w:after="0"/>
            </w:pPr>
            <w:r>
              <w:rPr>
                <w:sz w:val="18"/>
              </w:rPr>
              <w:t>MVP (decision D1): non-cash features only</w:t>
            </w:r>
          </w:p>
        </w:tc>
        <w:tc>
          <w:tcPr>
            <w:tcW w:type="dxa" w:w="2722"/>
          </w:tcPr>
          <w:p>
            <w:pPr>
              <w:spacing w:after="0"/>
            </w:pPr>
            <w:r>
              <w:rPr>
                <w:sz w:val="18"/>
              </w:rPr>
              <w:t>0.0%</w:t>
            </w:r>
          </w:p>
        </w:tc>
        <w:tc>
          <w:tcPr>
            <w:tcW w:type="dxa" w:w="1198"/>
          </w:tcPr>
          <w:p>
            <w:pPr>
              <w:spacing w:after="0"/>
            </w:pPr>
            <w:r>
              <w:rPr>
                <w:sz w:val="18"/>
              </w:rPr>
              <w:t>VND 198,876</w:t>
            </w:r>
          </w:p>
        </w:tc>
        <w:tc>
          <w:tcPr>
            <w:tcW w:type="dxa" w:w="2939"/>
          </w:tcPr>
          <w:p>
            <w:pPr>
              <w:spacing w:after="0"/>
            </w:pPr>
            <w:r>
              <w:rPr>
                <w:sz w:val="18"/>
              </w:rPr>
              <w:t>64.5%</w:t>
            </w:r>
          </w:p>
        </w:tc>
      </w:tr>
    </w:tbl>
    <w:p/>
    <w:p>
      <w:pPr>
        <w:pStyle w:val="SourceLine"/>
      </w:pPr>
      <w:r>
        <w:t xml:space="preserve">CSV: </w:t>
      </w:r>
      <w:r>
        <w:rPr>
          <w:rFonts w:ascii="Consolas" w:hAnsi="Consolas"/>
          <w:color w:val="6B6B6B"/>
          <w:sz w:val="18"/>
        </w:rPr>
        <w:t>outputs/round3/tables/appB5_tiers.csv</w:t>
      </w:r>
      <w:r>
        <w:t>.</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1767"/>
            <w:shd w:val="clear" w:color="auto" w:fill="F3F3F3"/>
          </w:tcPr>
          <w:p>
            <w:pPr>
              <w:spacing w:after="0"/>
            </w:pPr>
            <w:r>
              <w:rPr>
                <w:b/>
                <w:sz w:val="18"/>
              </w:rPr>
              <w:t>Pilot accounts</w:t>
            </w:r>
          </w:p>
        </w:tc>
        <w:tc>
          <w:tcPr>
            <w:tcW w:type="dxa" w:w="2777"/>
            <w:shd w:val="clear" w:color="auto" w:fill="F3F3F3"/>
          </w:tcPr>
          <w:p>
            <w:pPr>
              <w:spacing w:after="0"/>
            </w:pPr>
            <w:r>
              <w:rPr>
                <w:b/>
                <w:sz w:val="18"/>
              </w:rPr>
              <w:t>Savers per treated arm</w:t>
            </w:r>
          </w:p>
        </w:tc>
        <w:tc>
          <w:tcPr>
            <w:tcW w:type="dxa" w:w="2904"/>
            <w:shd w:val="clear" w:color="auto" w:fill="F3F3F3"/>
          </w:tcPr>
          <w:p>
            <w:pPr>
              <w:spacing w:after="0"/>
            </w:pPr>
            <w:r>
              <w:rPr>
                <w:b/>
                <w:sz w:val="18"/>
              </w:rPr>
              <w:t>Enrolment, 95% interval</w:t>
            </w:r>
          </w:p>
        </w:tc>
        <w:tc>
          <w:tcPr>
            <w:tcW w:type="dxa" w:w="4166"/>
            <w:shd w:val="clear" w:color="auto" w:fill="F3F3F3"/>
          </w:tcPr>
          <w:p>
            <w:pPr>
              <w:spacing w:after="0"/>
            </w:pPr>
            <w:r>
              <w:rPr>
                <w:b/>
                <w:sz w:val="18"/>
              </w:rPr>
              <w:t>Smallest detectable gain (points)</w:t>
            </w:r>
          </w:p>
        </w:tc>
        <w:tc>
          <w:tcPr>
            <w:tcW w:type="dxa" w:w="3409"/>
            <w:shd w:val="clear" w:color="auto" w:fill="F3F3F3"/>
          </w:tcPr>
          <w:p>
            <w:pPr>
              <w:spacing w:after="0"/>
            </w:pPr>
            <w:r>
              <w:rPr>
                <w:b/>
                <w:sz w:val="18"/>
              </w:rPr>
              <w:t>Outreach cost (VND million)</w:t>
            </w:r>
          </w:p>
        </w:tc>
      </w:tr>
      <w:tr>
        <w:tc>
          <w:tcPr>
            <w:tcW w:type="dxa" w:w="1767"/>
          </w:tcPr>
          <w:p>
            <w:pPr>
              <w:spacing w:after="0"/>
            </w:pPr>
            <w:r>
              <w:rPr>
                <w:sz w:val="18"/>
              </w:rPr>
              <w:t>20,000</w:t>
            </w:r>
          </w:p>
        </w:tc>
        <w:tc>
          <w:tcPr>
            <w:tcW w:type="dxa" w:w="2777"/>
          </w:tcPr>
          <w:p>
            <w:pPr>
              <w:spacing w:after="0"/>
            </w:pPr>
            <w:r>
              <w:rPr>
                <w:sz w:val="18"/>
              </w:rPr>
              <w:t>133</w:t>
            </w:r>
          </w:p>
        </w:tc>
        <w:tc>
          <w:tcPr>
            <w:tcW w:type="dxa" w:w="2904"/>
          </w:tcPr>
          <w:p>
            <w:pPr>
              <w:spacing w:after="0"/>
            </w:pPr>
            <w:r>
              <w:rPr>
                <w:sz w:val="18"/>
              </w:rPr>
              <w:t>1.76–2.24%</w:t>
            </w:r>
          </w:p>
        </w:tc>
        <w:tc>
          <w:tcPr>
            <w:tcW w:type="dxa" w:w="4166"/>
          </w:tcPr>
          <w:p>
            <w:pPr>
              <w:spacing w:after="0"/>
            </w:pPr>
            <w:r>
              <w:rPr>
                <w:sz w:val="18"/>
              </w:rPr>
              <w:t>14.8</w:t>
            </w:r>
          </w:p>
        </w:tc>
        <w:tc>
          <w:tcPr>
            <w:tcW w:type="dxa" w:w="3409"/>
          </w:tcPr>
          <w:p>
            <w:pPr>
              <w:spacing w:after="0"/>
            </w:pPr>
            <w:r>
              <w:rPr>
                <w:sz w:val="18"/>
              </w:rPr>
              <w:t>17.3</w:t>
            </w:r>
          </w:p>
        </w:tc>
      </w:tr>
      <w:tr>
        <w:tc>
          <w:tcPr>
            <w:tcW w:type="dxa" w:w="1767"/>
          </w:tcPr>
          <w:p>
            <w:pPr>
              <w:spacing w:after="0"/>
            </w:pPr>
            <w:r>
              <w:rPr>
                <w:sz w:val="18"/>
              </w:rPr>
              <w:t>30,000</w:t>
            </w:r>
          </w:p>
        </w:tc>
        <w:tc>
          <w:tcPr>
            <w:tcW w:type="dxa" w:w="2777"/>
          </w:tcPr>
          <w:p>
            <w:pPr>
              <w:spacing w:after="0"/>
            </w:pPr>
            <w:r>
              <w:rPr>
                <w:sz w:val="18"/>
              </w:rPr>
              <w:t>200</w:t>
            </w:r>
          </w:p>
        </w:tc>
        <w:tc>
          <w:tcPr>
            <w:tcW w:type="dxa" w:w="2904"/>
          </w:tcPr>
          <w:p>
            <w:pPr>
              <w:spacing w:after="0"/>
            </w:pPr>
            <w:r>
              <w:rPr>
                <w:sz w:val="18"/>
              </w:rPr>
              <w:t>1.81–2.19%</w:t>
            </w:r>
          </w:p>
        </w:tc>
        <w:tc>
          <w:tcPr>
            <w:tcW w:type="dxa" w:w="4166"/>
          </w:tcPr>
          <w:p>
            <w:pPr>
              <w:spacing w:after="0"/>
            </w:pPr>
            <w:r>
              <w:rPr>
                <w:sz w:val="18"/>
              </w:rPr>
              <w:t>12.1</w:t>
            </w:r>
          </w:p>
        </w:tc>
        <w:tc>
          <w:tcPr>
            <w:tcW w:type="dxa" w:w="3409"/>
          </w:tcPr>
          <w:p>
            <w:pPr>
              <w:spacing w:after="0"/>
            </w:pPr>
            <w:r>
              <w:rPr>
                <w:sz w:val="18"/>
              </w:rPr>
              <w:t>26.0</w:t>
            </w:r>
          </w:p>
        </w:tc>
      </w:tr>
      <w:tr>
        <w:tc>
          <w:tcPr>
            <w:tcW w:type="dxa" w:w="1767"/>
          </w:tcPr>
          <w:p>
            <w:pPr>
              <w:spacing w:after="0"/>
            </w:pPr>
            <w:r>
              <w:rPr>
                <w:sz w:val="18"/>
              </w:rPr>
              <w:t>45,000</w:t>
            </w:r>
          </w:p>
        </w:tc>
        <w:tc>
          <w:tcPr>
            <w:tcW w:type="dxa" w:w="2777"/>
          </w:tcPr>
          <w:p>
            <w:pPr>
              <w:spacing w:after="0"/>
            </w:pPr>
            <w:r>
              <w:rPr>
                <w:sz w:val="18"/>
              </w:rPr>
              <w:t>300</w:t>
            </w:r>
          </w:p>
        </w:tc>
        <w:tc>
          <w:tcPr>
            <w:tcW w:type="dxa" w:w="2904"/>
          </w:tcPr>
          <w:p>
            <w:pPr>
              <w:spacing w:after="0"/>
            </w:pPr>
            <w:r>
              <w:rPr>
                <w:sz w:val="18"/>
              </w:rPr>
              <w:t>1.84–2.16%</w:t>
            </w:r>
          </w:p>
        </w:tc>
        <w:tc>
          <w:tcPr>
            <w:tcW w:type="dxa" w:w="4166"/>
          </w:tcPr>
          <w:p>
            <w:pPr>
              <w:spacing w:after="0"/>
            </w:pPr>
            <w:r>
              <w:rPr>
                <w:sz w:val="18"/>
              </w:rPr>
              <w:t>9.9</w:t>
            </w:r>
          </w:p>
        </w:tc>
        <w:tc>
          <w:tcPr>
            <w:tcW w:type="dxa" w:w="3409"/>
          </w:tcPr>
          <w:p>
            <w:pPr>
              <w:spacing w:after="0"/>
            </w:pPr>
            <w:r>
              <w:rPr>
                <w:sz w:val="18"/>
              </w:rPr>
              <w:t>39.0</w:t>
            </w:r>
          </w:p>
        </w:tc>
      </w:tr>
      <w:tr>
        <w:tc>
          <w:tcPr>
            <w:tcW w:type="dxa" w:w="1767"/>
          </w:tcPr>
          <w:p>
            <w:pPr>
              <w:spacing w:after="0"/>
            </w:pPr>
            <w:r>
              <w:rPr>
                <w:sz w:val="18"/>
              </w:rPr>
              <w:t>60,000</w:t>
            </w:r>
          </w:p>
        </w:tc>
        <w:tc>
          <w:tcPr>
            <w:tcW w:type="dxa" w:w="2777"/>
          </w:tcPr>
          <w:p>
            <w:pPr>
              <w:spacing w:after="0"/>
            </w:pPr>
            <w:r>
              <w:rPr>
                <w:sz w:val="18"/>
              </w:rPr>
              <w:t>400</w:t>
            </w:r>
          </w:p>
        </w:tc>
        <w:tc>
          <w:tcPr>
            <w:tcW w:type="dxa" w:w="2904"/>
          </w:tcPr>
          <w:p>
            <w:pPr>
              <w:spacing w:after="0"/>
            </w:pPr>
            <w:r>
              <w:rPr>
                <w:sz w:val="18"/>
              </w:rPr>
              <w:t>1.86–2.14%</w:t>
            </w:r>
          </w:p>
        </w:tc>
        <w:tc>
          <w:tcPr>
            <w:tcW w:type="dxa" w:w="4166"/>
          </w:tcPr>
          <w:p>
            <w:pPr>
              <w:spacing w:after="0"/>
            </w:pPr>
            <w:r>
              <w:rPr>
                <w:sz w:val="18"/>
              </w:rPr>
              <w:t>8.6</w:t>
            </w:r>
          </w:p>
        </w:tc>
        <w:tc>
          <w:tcPr>
            <w:tcW w:type="dxa" w:w="3409"/>
          </w:tcPr>
          <w:p>
            <w:pPr>
              <w:spacing w:after="0"/>
            </w:pPr>
            <w:r>
              <w:rPr>
                <w:sz w:val="18"/>
              </w:rPr>
              <w:t>52.0</w:t>
            </w:r>
          </w:p>
        </w:tc>
      </w:tr>
    </w:tbl>
    <w:p/>
    <w:p>
      <w:pPr>
        <w:pStyle w:val="SourceLine"/>
      </w:pPr>
      <w:r>
        <w:t xml:space="preserve">CSV: </w:t>
      </w:r>
      <w:r>
        <w:rPr>
          <w:rFonts w:ascii="Consolas" w:hAnsi="Consolas"/>
          <w:color w:val="6B6B6B"/>
          <w:sz w:val="18"/>
        </w:rPr>
        <w:t>outputs/round3/tables/appB6_pilot_power.csv</w:t>
      </w:r>
      <w:r>
        <w:t>.</w:t>
      </w:r>
    </w:p>
    <w:p>
      <w:pPr>
        <w:pStyle w:val="SourceLine"/>
      </w:pPr>
      <w:r>
        <w:t>Source: authors' cohort model.</w:t>
      </w:r>
    </w:p>
    <w:p>
      <w:r>
        <w:br w:type="page"/>
      </w:r>
    </w:p>
    <w:p>
      <w:pPr>
        <w:pStyle w:val="Heading3"/>
      </w:pPr>
      <w:r>
        <w:t>B6. All decision gates</w:t>
      </w:r>
    </w:p>
    <w:p>
      <w:r>
        <w:rPr>
          <w:rStyle w:val="FieldLabel"/>
        </w:rPr>
        <w:t>Title:</w:t>
      </w:r>
      <w:r>
        <w:t xml:space="preserve"> </w:t>
      </w:r>
      <w:r>
        <w:t>Seventeen measures across four gates, each with an owner</w:t>
      </w:r>
    </w:p>
    <w:p>
      <w:r>
        <w:rPr>
          <w:rStyle w:val="FieldLabel"/>
        </w:rPr>
        <w:t>Table: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1519"/>
            <w:shd w:val="clear" w:color="auto" w:fill="F3F3F3"/>
          </w:tcPr>
          <w:p>
            <w:pPr>
              <w:spacing w:after="0"/>
            </w:pPr>
            <w:r>
              <w:rPr>
                <w:b/>
                <w:sz w:val="16"/>
              </w:rPr>
              <w:t>Gate</w:t>
            </w:r>
          </w:p>
        </w:tc>
        <w:tc>
          <w:tcPr>
            <w:tcW w:type="dxa" w:w="3376"/>
            <w:shd w:val="clear" w:color="auto" w:fill="F3F3F3"/>
          </w:tcPr>
          <w:p>
            <w:pPr>
              <w:spacing w:after="0"/>
            </w:pPr>
            <w:r>
              <w:rPr>
                <w:b/>
                <w:sz w:val="16"/>
              </w:rPr>
              <w:t>Measure</w:t>
            </w:r>
          </w:p>
        </w:tc>
        <w:tc>
          <w:tcPr>
            <w:tcW w:type="dxa" w:w="3038"/>
            <w:shd w:val="clear" w:color="auto" w:fill="F3F3F3"/>
          </w:tcPr>
          <w:p>
            <w:pPr>
              <w:spacing w:after="0"/>
            </w:pPr>
            <w:r>
              <w:rPr>
                <w:b/>
                <w:sz w:val="16"/>
              </w:rPr>
              <w:t>Scale if</w:t>
            </w:r>
          </w:p>
        </w:tc>
        <w:tc>
          <w:tcPr>
            <w:tcW w:type="dxa" w:w="3376"/>
            <w:shd w:val="clear" w:color="auto" w:fill="F3F3F3"/>
          </w:tcPr>
          <w:p>
            <w:pPr>
              <w:spacing w:after="0"/>
            </w:pPr>
            <w:r>
              <w:rPr>
                <w:b/>
                <w:sz w:val="16"/>
              </w:rPr>
              <w:t>Adjust if</w:t>
            </w:r>
          </w:p>
        </w:tc>
        <w:tc>
          <w:tcPr>
            <w:tcW w:type="dxa" w:w="2870"/>
            <w:shd w:val="clear" w:color="auto" w:fill="F3F3F3"/>
          </w:tcPr>
          <w:p>
            <w:pPr>
              <w:spacing w:after="0"/>
            </w:pPr>
            <w:r>
              <w:rPr>
                <w:b/>
                <w:sz w:val="16"/>
              </w:rPr>
              <w:t>Stop if</w:t>
            </w:r>
          </w:p>
        </w:tc>
        <w:tc>
          <w:tcPr>
            <w:tcW w:type="dxa" w:w="844"/>
            <w:shd w:val="clear" w:color="auto" w:fill="F3F3F3"/>
          </w:tcPr>
          <w:p>
            <w:pPr>
              <w:spacing w:after="0"/>
            </w:pPr>
            <w:r>
              <w:rPr>
                <w:b/>
                <w:sz w:val="16"/>
              </w:rPr>
              <w:t>Owner</w:t>
            </w:r>
          </w:p>
        </w:tc>
      </w:tr>
      <w:tr>
        <w:tc>
          <w:tcPr>
            <w:tcW w:type="dxa" w:w="1519"/>
          </w:tcPr>
          <w:p>
            <w:pPr>
              <w:spacing w:after="0"/>
            </w:pPr>
            <w:r>
              <w:rPr>
                <w:sz w:val="16"/>
              </w:rPr>
              <w:t>Gate 0: before the pilot</w:t>
            </w:r>
          </w:p>
        </w:tc>
        <w:tc>
          <w:tcPr>
            <w:tcW w:type="dxa" w:w="3376"/>
          </w:tcPr>
          <w:p>
            <w:pPr>
              <w:spacing w:after="0"/>
            </w:pPr>
            <w:r>
              <w:rPr>
                <w:sz w:val="16"/>
              </w:rPr>
              <w:t>Partner terms signed: bank fee per contribution; share of fund fees paid to DNSE; DNSE's margin on bank bonds in Golden Egg</w:t>
            </w:r>
          </w:p>
        </w:tc>
        <w:tc>
          <w:tcPr>
            <w:tcW w:type="dxa" w:w="3038"/>
          </w:tcPr>
          <w:p>
            <w:pPr>
              <w:spacing w:after="0"/>
            </w:pPr>
            <w:r>
              <w:rPr>
                <w:sz w:val="16"/>
              </w:rPr>
              <w:t>Fee ≤ VND 3,300; fund share ≥ 30%; margin ≥ 0.6 points</w:t>
            </w:r>
          </w:p>
        </w:tc>
        <w:tc>
          <w:tcPr>
            <w:tcW w:type="dxa" w:w="3376"/>
          </w:tcPr>
          <w:p>
            <w:pPr>
              <w:spacing w:after="0"/>
            </w:pPr>
            <w:r>
              <w:rPr>
                <w:sz w:val="16"/>
              </w:rPr>
              <w:t>Worse on any term: re-run the model and renegotiate before the pilot</w:t>
            </w:r>
          </w:p>
        </w:tc>
        <w:tc>
          <w:tcPr>
            <w:tcW w:type="dxa" w:w="2870"/>
          </w:tcPr>
          <w:p>
            <w:pPr>
              <w:spacing w:after="0"/>
            </w:pPr>
            <w:r>
              <w:rPr>
                <w:sz w:val="16"/>
              </w:rPr>
              <w:t>Fund or bank partner not signed (launch dependency)</w:t>
            </w:r>
          </w:p>
        </w:tc>
        <w:tc>
          <w:tcPr>
            <w:tcW w:type="dxa" w:w="844"/>
          </w:tcPr>
          <w:p>
            <w:pPr>
              <w:spacing w:after="0"/>
            </w:pPr>
            <w:r>
              <w:rPr>
                <w:sz w:val="16"/>
              </w:rPr>
              <w:t>CFO</w:t>
            </w:r>
          </w:p>
        </w:tc>
      </w:tr>
      <w:tr>
        <w:tc>
          <w:tcPr>
            <w:tcW w:type="dxa" w:w="1519"/>
          </w:tcPr>
          <w:p>
            <w:pPr>
              <w:spacing w:after="0"/>
            </w:pPr>
            <w:r>
              <w:rPr>
                <w:sz w:val="16"/>
              </w:rPr>
              <w:t>Gate 0: before the pilot</w:t>
            </w:r>
          </w:p>
        </w:tc>
        <w:tc>
          <w:tcPr>
            <w:tcW w:type="dxa" w:w="3376"/>
          </w:tcPr>
          <w:p>
            <w:pPr>
              <w:spacing w:after="0"/>
            </w:pPr>
            <w:r>
              <w:rPr>
                <w:sz w:val="16"/>
              </w:rPr>
              <w:t>Bank fee per contribution (virtual-account collection), VND</w:t>
            </w:r>
          </w:p>
        </w:tc>
        <w:tc>
          <w:tcPr>
            <w:tcW w:type="dxa" w:w="3038"/>
          </w:tcPr>
          <w:p>
            <w:pPr>
              <w:spacing w:after="0"/>
            </w:pPr>
            <w:r>
              <w:rPr>
                <w:sz w:val="16"/>
              </w:rPr>
              <w:t>0 (partner bank keeps the deposits)</w:t>
            </w:r>
          </w:p>
        </w:tc>
        <w:tc>
          <w:tcPr>
            <w:tcW w:type="dxa" w:w="3376"/>
          </w:tcPr>
          <w:p>
            <w:pPr>
              <w:spacing w:after="0"/>
            </w:pPr>
            <w:r>
              <w:rPr>
                <w:sz w:val="16"/>
              </w:rPr>
              <w:t>1 to 3,300 (list price)</w:t>
            </w:r>
          </w:p>
        </w:tc>
        <w:tc>
          <w:tcPr>
            <w:tcW w:type="dxa" w:w="2870"/>
          </w:tcPr>
          <w:p>
            <w:pPr>
              <w:spacing w:after="0"/>
            </w:pPr>
            <w:r>
              <w:rPr>
                <w:sz w:val="16"/>
              </w:rPr>
              <w:t>&gt; 6,191: a dormant saver no longer pays back</w:t>
            </w:r>
          </w:p>
        </w:tc>
        <w:tc>
          <w:tcPr>
            <w:tcW w:type="dxa" w:w="844"/>
          </w:tcPr>
          <w:p>
            <w:pPr>
              <w:spacing w:after="0"/>
            </w:pPr>
            <w:r>
              <w:rPr>
                <w:sz w:val="16"/>
              </w:rPr>
              <w:t>CFO</w:t>
            </w:r>
          </w:p>
        </w:tc>
      </w:tr>
      <w:tr>
        <w:tc>
          <w:tcPr>
            <w:tcW w:type="dxa" w:w="1519"/>
          </w:tcPr>
          <w:p>
            <w:pPr>
              <w:spacing w:after="0"/>
            </w:pPr>
            <w:r>
              <w:rPr>
                <w:sz w:val="16"/>
              </w:rPr>
              <w:t>Gate 0: before the pilot</w:t>
            </w:r>
          </w:p>
        </w:tc>
        <w:tc>
          <w:tcPr>
            <w:tcW w:type="dxa" w:w="3376"/>
          </w:tcPr>
          <w:p>
            <w:pPr>
              <w:spacing w:after="0"/>
            </w:pPr>
            <w:r>
              <w:rPr>
                <w:sz w:val="16"/>
              </w:rPr>
              <w:t>Shadow payday runs with staff accounts: transfers credited on time</w:t>
            </w:r>
          </w:p>
        </w:tc>
        <w:tc>
          <w:tcPr>
            <w:tcW w:type="dxa" w:w="3038"/>
          </w:tcPr>
          <w:p>
            <w:pPr>
              <w:spacing w:after="0"/>
            </w:pPr>
            <w:r>
              <w:rPr>
                <w:sz w:val="16"/>
              </w:rPr>
              <w:t>≥ 99.5%</w:t>
            </w:r>
          </w:p>
        </w:tc>
        <w:tc>
          <w:tcPr>
            <w:tcW w:type="dxa" w:w="3376"/>
          </w:tcPr>
          <w:p>
            <w:pPr>
              <w:spacing w:after="0"/>
            </w:pPr>
            <w:r>
              <w:rPr>
                <w:sz w:val="16"/>
              </w:rPr>
              <w:t>-</w:t>
            </w:r>
          </w:p>
        </w:tc>
        <w:tc>
          <w:tcPr>
            <w:tcW w:type="dxa" w:w="2870"/>
          </w:tcPr>
          <w:p>
            <w:pPr>
              <w:spacing w:after="0"/>
            </w:pPr>
            <w:r>
              <w:rPr>
                <w:sz w:val="16"/>
              </w:rPr>
              <w:t>&lt; 99.5%: delay the pilot</w:t>
            </w:r>
          </w:p>
        </w:tc>
        <w:tc>
          <w:tcPr>
            <w:tcW w:type="dxa" w:w="844"/>
          </w:tcPr>
          <w:p>
            <w:pPr>
              <w:spacing w:after="0"/>
            </w:pPr>
            <w:r>
              <w:rPr>
                <w:sz w:val="16"/>
              </w:rPr>
              <w:t>CTO</w:t>
            </w:r>
          </w:p>
        </w:tc>
      </w:tr>
      <w:tr>
        <w:tc>
          <w:tcPr>
            <w:tcW w:type="dxa" w:w="1519"/>
          </w:tcPr>
          <w:p>
            <w:pPr>
              <w:spacing w:after="0"/>
            </w:pPr>
            <w:r>
              <w:rPr>
                <w:sz w:val="16"/>
              </w:rPr>
              <w:t>Gate 1: pilot read-out</w:t>
            </w:r>
          </w:p>
        </w:tc>
        <w:tc>
          <w:tcPr>
            <w:tcW w:type="dxa" w:w="3376"/>
          </w:tcPr>
          <w:p>
            <w:pPr>
              <w:spacing w:after="0"/>
            </w:pPr>
            <w:r>
              <w:rPr>
                <w:sz w:val="16"/>
              </w:rPr>
              <w:t>Projected net cost per new account above VND 10 million by month 60 (model re-run with the pilot's measured values and the signed terms), VND million</w:t>
            </w:r>
          </w:p>
        </w:tc>
        <w:tc>
          <w:tcPr>
            <w:tcW w:type="dxa" w:w="3038"/>
          </w:tcPr>
          <w:p>
            <w:pPr>
              <w:spacing w:after="0"/>
            </w:pPr>
            <w:r>
              <w:rPr>
                <w:sz w:val="16"/>
              </w:rPr>
              <w:t>≤ 1.6 (1.25 x plan)</w:t>
            </w:r>
          </w:p>
        </w:tc>
        <w:tc>
          <w:tcPr>
            <w:tcW w:type="dxa" w:w="3376"/>
          </w:tcPr>
          <w:p>
            <w:pPr>
              <w:spacing w:after="0"/>
            </w:pPr>
            <w:r>
              <w:rPr>
                <w:sz w:val="16"/>
              </w:rPr>
              <w:t>1.6 to 2.6</w:t>
            </w:r>
          </w:p>
        </w:tc>
        <w:tc>
          <w:tcPr>
            <w:tcW w:type="dxa" w:w="2870"/>
          </w:tcPr>
          <w:p>
            <w:pPr>
              <w:spacing w:after="0"/>
            </w:pPr>
            <w:r>
              <w:rPr>
                <w:sz w:val="16"/>
              </w:rPr>
              <w:t>&gt; 2.6 (2 x plan)</w:t>
            </w:r>
          </w:p>
        </w:tc>
        <w:tc>
          <w:tcPr>
            <w:tcW w:type="dxa" w:w="844"/>
          </w:tcPr>
          <w:p>
            <w:pPr>
              <w:spacing w:after="0"/>
            </w:pPr>
            <w:r>
              <w:rPr>
                <w:sz w:val="16"/>
              </w:rPr>
              <w:t>CFO</w:t>
            </w:r>
          </w:p>
        </w:tc>
      </w:tr>
      <w:tr>
        <w:tc>
          <w:tcPr>
            <w:tcW w:type="dxa" w:w="1519"/>
          </w:tcPr>
          <w:p>
            <w:pPr>
              <w:spacing w:after="0"/>
            </w:pPr>
            <w:r>
              <w:rPr>
                <w:sz w:val="16"/>
              </w:rPr>
              <w:t>Gate 1: pilot read-out</w:t>
            </w:r>
          </w:p>
        </w:tc>
        <w:tc>
          <w:tcPr>
            <w:tcW w:type="dxa" w:w="3376"/>
          </w:tcPr>
          <w:p>
            <w:pPr>
              <w:spacing w:after="0"/>
            </w:pPr>
            <w:r>
              <w:rPr>
                <w:sz w:val="16"/>
              </w:rPr>
              <w:t>Enrolment rate of treated dormant accounts (set-up and first contribution within 60 days)</w:t>
            </w:r>
          </w:p>
        </w:tc>
        <w:tc>
          <w:tcPr>
            <w:tcW w:type="dxa" w:w="3038"/>
          </w:tcPr>
          <w:p>
            <w:pPr>
              <w:spacing w:after="0"/>
            </w:pPr>
            <w:r>
              <w:rPr>
                <w:sz w:val="16"/>
              </w:rPr>
              <w:t>≥ 1.5%</w:t>
            </w:r>
          </w:p>
        </w:tc>
        <w:tc>
          <w:tcPr>
            <w:tcW w:type="dxa" w:w="3376"/>
          </w:tcPr>
          <w:p>
            <w:pPr>
              <w:spacing w:after="0"/>
            </w:pPr>
            <w:r>
              <w:rPr>
                <w:sz w:val="16"/>
              </w:rPr>
              <w:t>1.0% to 1.5%</w:t>
            </w:r>
          </w:p>
        </w:tc>
        <w:tc>
          <w:tcPr>
            <w:tcW w:type="dxa" w:w="2870"/>
          </w:tcPr>
          <w:p>
            <w:pPr>
              <w:spacing w:after="0"/>
            </w:pPr>
            <w:r>
              <w:rPr>
                <w:sz w:val="16"/>
              </w:rPr>
              <w:t>&lt; 1.0%</w:t>
            </w:r>
          </w:p>
        </w:tc>
        <w:tc>
          <w:tcPr>
            <w:tcW w:type="dxa" w:w="844"/>
          </w:tcPr>
          <w:p>
            <w:pPr>
              <w:spacing w:after="0"/>
            </w:pPr>
            <w:r>
              <w:rPr>
                <w:sz w:val="16"/>
              </w:rPr>
              <w:t>Head of Product</w:t>
            </w:r>
          </w:p>
        </w:tc>
      </w:tr>
      <w:tr>
        <w:tc>
          <w:tcPr>
            <w:tcW w:type="dxa" w:w="1519"/>
          </w:tcPr>
          <w:p>
            <w:pPr>
              <w:spacing w:after="0"/>
            </w:pPr>
            <w:r>
              <w:rPr>
                <w:sz w:val="16"/>
              </w:rPr>
              <w:t>Gate 1: pilot read-out</w:t>
            </w:r>
          </w:p>
        </w:tc>
        <w:tc>
          <w:tcPr>
            <w:tcW w:type="dxa" w:w="3376"/>
          </w:tcPr>
          <w:p>
            <w:pPr>
              <w:spacing w:after="0"/>
            </w:pPr>
            <w:r>
              <w:rPr>
                <w:sz w:val="16"/>
              </w:rPr>
              <w:t>Savers making three contributions in a row</w:t>
            </w:r>
          </w:p>
        </w:tc>
        <w:tc>
          <w:tcPr>
            <w:tcW w:type="dxa" w:w="3038"/>
          </w:tcPr>
          <w:p>
            <w:pPr>
              <w:spacing w:after="0"/>
            </w:pPr>
            <w:r>
              <w:rPr>
                <w:sz w:val="16"/>
              </w:rPr>
              <w:t>≥ 81.0%</w:t>
            </w:r>
          </w:p>
        </w:tc>
        <w:tc>
          <w:tcPr>
            <w:tcW w:type="dxa" w:w="3376"/>
          </w:tcPr>
          <w:p>
            <w:pPr>
              <w:spacing w:after="0"/>
            </w:pPr>
            <w:r>
              <w:rPr>
                <w:sz w:val="16"/>
              </w:rPr>
              <w:t>60.0% to 81.0%</w:t>
            </w:r>
          </w:p>
        </w:tc>
        <w:tc>
          <w:tcPr>
            <w:tcW w:type="dxa" w:w="2870"/>
          </w:tcPr>
          <w:p>
            <w:pPr>
              <w:spacing w:after="0"/>
            </w:pPr>
            <w:r>
              <w:rPr>
                <w:sz w:val="16"/>
              </w:rPr>
              <w:t>&lt; 60.0%</w:t>
            </w:r>
          </w:p>
        </w:tc>
        <w:tc>
          <w:tcPr>
            <w:tcW w:type="dxa" w:w="844"/>
          </w:tcPr>
          <w:p>
            <w:pPr>
              <w:spacing w:after="0"/>
            </w:pPr>
            <w:r>
              <w:rPr>
                <w:sz w:val="16"/>
              </w:rPr>
              <w:t>Head of Product</w:t>
            </w:r>
          </w:p>
        </w:tc>
      </w:tr>
      <w:tr>
        <w:tc>
          <w:tcPr>
            <w:tcW w:type="dxa" w:w="1519"/>
          </w:tcPr>
          <w:p>
            <w:pPr>
              <w:spacing w:after="0"/>
            </w:pPr>
            <w:r>
              <w:rPr>
                <w:sz w:val="16"/>
              </w:rPr>
              <w:t>Gate 1: pilot read-out</w:t>
            </w:r>
          </w:p>
        </w:tc>
        <w:tc>
          <w:tcPr>
            <w:tcW w:type="dxa" w:w="3376"/>
          </w:tcPr>
          <w:p>
            <w:pPr>
              <w:spacing w:after="0"/>
            </w:pPr>
            <w:r>
              <w:rPr>
                <w:sz w:val="16"/>
              </w:rPr>
              <w:t>Average monthly contribution, VND</w:t>
            </w:r>
          </w:p>
        </w:tc>
        <w:tc>
          <w:tcPr>
            <w:tcW w:type="dxa" w:w="3038"/>
          </w:tcPr>
          <w:p>
            <w:pPr>
              <w:spacing w:after="0"/>
            </w:pPr>
            <w:r>
              <w:rPr>
                <w:sz w:val="16"/>
              </w:rPr>
              <w:t>≥ 1,000,000</w:t>
            </w:r>
          </w:p>
        </w:tc>
        <w:tc>
          <w:tcPr>
            <w:tcW w:type="dxa" w:w="3376"/>
          </w:tcPr>
          <w:p>
            <w:pPr>
              <w:spacing w:after="0"/>
            </w:pPr>
            <w:r>
              <w:rPr>
                <w:sz w:val="16"/>
              </w:rPr>
              <w:t>716,502 to 1,000,000</w:t>
            </w:r>
          </w:p>
        </w:tc>
        <w:tc>
          <w:tcPr>
            <w:tcW w:type="dxa" w:w="2870"/>
          </w:tcPr>
          <w:p>
            <w:pPr>
              <w:spacing w:after="0"/>
            </w:pPr>
            <w:r>
              <w:rPr>
                <w:sz w:val="16"/>
              </w:rPr>
              <w:t>&lt; 716,502</w:t>
            </w:r>
          </w:p>
        </w:tc>
        <w:tc>
          <w:tcPr>
            <w:tcW w:type="dxa" w:w="844"/>
          </w:tcPr>
          <w:p>
            <w:pPr>
              <w:spacing w:after="0"/>
            </w:pPr>
            <w:r>
              <w:rPr>
                <w:sz w:val="16"/>
              </w:rPr>
              <w:t>CFO</w:t>
            </w:r>
          </w:p>
        </w:tc>
      </w:tr>
      <w:tr>
        <w:tc>
          <w:tcPr>
            <w:tcW w:type="dxa" w:w="1519"/>
          </w:tcPr>
          <w:p>
            <w:pPr>
              <w:spacing w:after="0"/>
            </w:pPr>
            <w:r>
              <w:rPr>
                <w:sz w:val="16"/>
              </w:rPr>
              <w:t>Gate 1: pilot read-out</w:t>
            </w:r>
          </w:p>
        </w:tc>
        <w:tc>
          <w:tcPr>
            <w:tcW w:type="dxa" w:w="3376"/>
          </w:tcPr>
          <w:p>
            <w:pPr>
              <w:spacing w:after="0"/>
            </w:pPr>
            <w:r>
              <w:rPr>
                <w:sz w:val="16"/>
              </w:rPr>
              <w:t>Share of plan inflows that is new money (tagged by source)</w:t>
            </w:r>
          </w:p>
        </w:tc>
        <w:tc>
          <w:tcPr>
            <w:tcW w:type="dxa" w:w="3038"/>
          </w:tcPr>
          <w:p>
            <w:pPr>
              <w:spacing w:after="0"/>
            </w:pPr>
            <w:r>
              <w:rPr>
                <w:sz w:val="16"/>
              </w:rPr>
              <w:t>≥ 80%</w:t>
            </w:r>
          </w:p>
        </w:tc>
        <w:tc>
          <w:tcPr>
            <w:tcW w:type="dxa" w:w="3376"/>
          </w:tcPr>
          <w:p>
            <w:pPr>
              <w:spacing w:after="0"/>
            </w:pPr>
            <w:r>
              <w:rPr>
                <w:sz w:val="16"/>
              </w:rPr>
              <w:t>60% to 80%</w:t>
            </w:r>
          </w:p>
        </w:tc>
        <w:tc>
          <w:tcPr>
            <w:tcW w:type="dxa" w:w="2870"/>
          </w:tcPr>
          <w:p>
            <w:pPr>
              <w:spacing w:after="0"/>
            </w:pPr>
            <w:r>
              <w:rPr>
                <w:sz w:val="16"/>
              </w:rPr>
              <w:t>&lt; 60%</w:t>
            </w:r>
          </w:p>
        </w:tc>
        <w:tc>
          <w:tcPr>
            <w:tcW w:type="dxa" w:w="844"/>
          </w:tcPr>
          <w:p>
            <w:pPr>
              <w:spacing w:after="0"/>
            </w:pPr>
            <w:r>
              <w:rPr>
                <w:sz w:val="16"/>
              </w:rPr>
              <w:t>CFO</w:t>
            </w:r>
          </w:p>
        </w:tc>
      </w:tr>
      <w:tr>
        <w:tc>
          <w:tcPr>
            <w:tcW w:type="dxa" w:w="1519"/>
          </w:tcPr>
          <w:p>
            <w:pPr>
              <w:spacing w:after="0"/>
            </w:pPr>
            <w:r>
              <w:rPr>
                <w:sz w:val="16"/>
              </w:rPr>
              <w:t>Gate 1: pilot read-out</w:t>
            </w:r>
          </w:p>
        </w:tc>
        <w:tc>
          <w:tcPr>
            <w:tcW w:type="dxa" w:w="3376"/>
          </w:tcPr>
          <w:p>
            <w:pPr>
              <w:spacing w:after="0"/>
            </w:pPr>
            <w:r>
              <w:rPr>
                <w:sz w:val="16"/>
              </w:rPr>
              <w:t>Scheduled transfers credited on time</w:t>
            </w:r>
          </w:p>
        </w:tc>
        <w:tc>
          <w:tcPr>
            <w:tcW w:type="dxa" w:w="3038"/>
          </w:tcPr>
          <w:p>
            <w:pPr>
              <w:spacing w:after="0"/>
            </w:pPr>
            <w:r>
              <w:rPr>
                <w:sz w:val="16"/>
              </w:rPr>
              <w:t>≥ 99.5%</w:t>
            </w:r>
          </w:p>
        </w:tc>
        <w:tc>
          <w:tcPr>
            <w:tcW w:type="dxa" w:w="3376"/>
          </w:tcPr>
          <w:p>
            <w:pPr>
              <w:spacing w:after="0"/>
            </w:pPr>
            <w:r>
              <w:rPr>
                <w:sz w:val="16"/>
              </w:rPr>
              <w:t>-</w:t>
            </w:r>
          </w:p>
        </w:tc>
        <w:tc>
          <w:tcPr>
            <w:tcW w:type="dxa" w:w="2870"/>
          </w:tcPr>
          <w:p>
            <w:pPr>
              <w:spacing w:after="0"/>
            </w:pPr>
            <w:r>
              <w:rPr>
                <w:sz w:val="16"/>
              </w:rPr>
              <w:t>&lt; 99.5% (launch gate)</w:t>
            </w:r>
          </w:p>
        </w:tc>
        <w:tc>
          <w:tcPr>
            <w:tcW w:type="dxa" w:w="844"/>
          </w:tcPr>
          <w:p>
            <w:pPr>
              <w:spacing w:after="0"/>
            </w:pPr>
            <w:r>
              <w:rPr>
                <w:sz w:val="16"/>
              </w:rPr>
              <w:t>CTO</w:t>
            </w:r>
          </w:p>
        </w:tc>
      </w:tr>
      <w:tr>
        <w:tc>
          <w:tcPr>
            <w:tcW w:type="dxa" w:w="1519"/>
          </w:tcPr>
          <w:p>
            <w:pPr>
              <w:spacing w:after="0"/>
            </w:pPr>
            <w:r>
              <w:rPr>
                <w:sz w:val="16"/>
              </w:rPr>
              <w:t>Gate 1: pilot read-out</w:t>
            </w:r>
          </w:p>
        </w:tc>
        <w:tc>
          <w:tcPr>
            <w:tcW w:type="dxa" w:w="3376"/>
          </w:tcPr>
          <w:p>
            <w:pPr>
              <w:spacing w:after="0"/>
            </w:pPr>
            <w:r>
              <w:rPr>
                <w:sz w:val="16"/>
              </w:rPr>
              <w:t>Compliance: SSC notice filed; model portfolios signed off by a licensed adviser</w:t>
            </w:r>
          </w:p>
        </w:tc>
        <w:tc>
          <w:tcPr>
            <w:tcW w:type="dxa" w:w="3038"/>
          </w:tcPr>
          <w:p>
            <w:pPr>
              <w:spacing w:after="0"/>
            </w:pPr>
            <w:r>
              <w:rPr>
                <w:sz w:val="16"/>
              </w:rPr>
              <w:t>Written confirmation</w:t>
            </w:r>
          </w:p>
        </w:tc>
        <w:tc>
          <w:tcPr>
            <w:tcW w:type="dxa" w:w="3376"/>
          </w:tcPr>
          <w:p>
            <w:pPr>
              <w:spacing w:after="0"/>
            </w:pPr>
            <w:r>
              <w:rPr>
                <w:sz w:val="16"/>
              </w:rPr>
              <w:t>-</w:t>
            </w:r>
          </w:p>
        </w:tc>
        <w:tc>
          <w:tcPr>
            <w:tcW w:type="dxa" w:w="2870"/>
          </w:tcPr>
          <w:p>
            <w:pPr>
              <w:spacing w:after="0"/>
            </w:pPr>
            <w:r>
              <w:rPr>
                <w:sz w:val="16"/>
              </w:rPr>
              <w:t>Missing (launch gate)</w:t>
            </w:r>
          </w:p>
        </w:tc>
        <w:tc>
          <w:tcPr>
            <w:tcW w:type="dxa" w:w="844"/>
          </w:tcPr>
          <w:p>
            <w:pPr>
              <w:spacing w:after="0"/>
            </w:pPr>
            <w:r>
              <w:rPr>
                <w:sz w:val="16"/>
              </w:rPr>
              <w:t>Compliance</w:t>
            </w:r>
          </w:p>
        </w:tc>
      </w:tr>
      <w:tr>
        <w:tc>
          <w:tcPr>
            <w:tcW w:type="dxa" w:w="1519"/>
          </w:tcPr>
          <w:p>
            <w:pPr>
              <w:spacing w:after="0"/>
            </w:pPr>
            <w:r>
              <w:rPr>
                <w:sz w:val="16"/>
              </w:rPr>
              <w:t>Gate 2: first roll-out year</w:t>
            </w:r>
          </w:p>
        </w:tc>
        <w:tc>
          <w:tcPr>
            <w:tcW w:type="dxa" w:w="3376"/>
          </w:tcPr>
          <w:p>
            <w:pPr>
              <w:spacing w:after="0"/>
            </w:pPr>
            <w:r>
              <w:rPr>
                <w:sz w:val="16"/>
              </w:rPr>
              <w:t>Funded savers (three or more contributions in a row)</w:t>
            </w:r>
          </w:p>
        </w:tc>
        <w:tc>
          <w:tcPr>
            <w:tcW w:type="dxa" w:w="3038"/>
          </w:tcPr>
          <w:p>
            <w:pPr>
              <w:spacing w:after="0"/>
            </w:pPr>
            <w:r>
              <w:rPr>
                <w:sz w:val="16"/>
              </w:rPr>
              <w:t>≥ 3,962 (80% of plan)</w:t>
            </w:r>
          </w:p>
        </w:tc>
        <w:tc>
          <w:tcPr>
            <w:tcW w:type="dxa" w:w="3376"/>
          </w:tcPr>
          <w:p>
            <w:pPr>
              <w:spacing w:after="0"/>
            </w:pPr>
            <w:r>
              <w:rPr>
                <w:sz w:val="16"/>
              </w:rPr>
              <w:t>2,476 to 3,962</w:t>
            </w:r>
          </w:p>
        </w:tc>
        <w:tc>
          <w:tcPr>
            <w:tcW w:type="dxa" w:w="2870"/>
          </w:tcPr>
          <w:p>
            <w:pPr>
              <w:spacing w:after="0"/>
            </w:pPr>
            <w:r>
              <w:rPr>
                <w:sz w:val="16"/>
              </w:rPr>
              <w:t>&lt; 2,476 for two quarters</w:t>
            </w:r>
          </w:p>
        </w:tc>
        <w:tc>
          <w:tcPr>
            <w:tcW w:type="dxa" w:w="844"/>
          </w:tcPr>
          <w:p>
            <w:pPr>
              <w:spacing w:after="0"/>
            </w:pPr>
            <w:r>
              <w:rPr>
                <w:sz w:val="16"/>
              </w:rPr>
              <w:t>Head of Product</w:t>
            </w:r>
          </w:p>
        </w:tc>
      </w:tr>
      <w:tr>
        <w:tc>
          <w:tcPr>
            <w:tcW w:type="dxa" w:w="1519"/>
          </w:tcPr>
          <w:p>
            <w:pPr>
              <w:spacing w:after="0"/>
            </w:pPr>
            <w:r>
              <w:rPr>
                <w:sz w:val="16"/>
              </w:rPr>
              <w:t>Gate 2: first roll-out year</w:t>
            </w:r>
          </w:p>
        </w:tc>
        <w:tc>
          <w:tcPr>
            <w:tcW w:type="dxa" w:w="3376"/>
          </w:tcPr>
          <w:p>
            <w:pPr>
              <w:spacing w:after="0"/>
            </w:pPr>
            <w:r>
              <w:rPr>
                <w:sz w:val="16"/>
              </w:rPr>
              <w:t>Plan balances, VND billion</w:t>
            </w:r>
          </w:p>
        </w:tc>
        <w:tc>
          <w:tcPr>
            <w:tcW w:type="dxa" w:w="3038"/>
          </w:tcPr>
          <w:p>
            <w:pPr>
              <w:spacing w:after="0"/>
            </w:pPr>
            <w:r>
              <w:rPr>
                <w:sz w:val="16"/>
              </w:rPr>
              <w:t>≥ 24.1 (80% of plan)</w:t>
            </w:r>
          </w:p>
        </w:tc>
        <w:tc>
          <w:tcPr>
            <w:tcW w:type="dxa" w:w="3376"/>
          </w:tcPr>
          <w:p>
            <w:pPr>
              <w:spacing w:after="0"/>
            </w:pPr>
            <w:r>
              <w:rPr>
                <w:sz w:val="16"/>
              </w:rPr>
              <w:t>15.1 to 24.1</w:t>
            </w:r>
          </w:p>
        </w:tc>
        <w:tc>
          <w:tcPr>
            <w:tcW w:type="dxa" w:w="2870"/>
          </w:tcPr>
          <w:p>
            <w:pPr>
              <w:spacing w:after="0"/>
            </w:pPr>
            <w:r>
              <w:rPr>
                <w:sz w:val="16"/>
              </w:rPr>
              <w:t>&lt; 15.1 for two quarters</w:t>
            </w:r>
          </w:p>
        </w:tc>
        <w:tc>
          <w:tcPr>
            <w:tcW w:type="dxa" w:w="844"/>
          </w:tcPr>
          <w:p>
            <w:pPr>
              <w:spacing w:after="0"/>
            </w:pPr>
            <w:r>
              <w:rPr>
                <w:sz w:val="16"/>
              </w:rPr>
              <w:t>CFO</w:t>
            </w:r>
          </w:p>
        </w:tc>
      </w:tr>
      <w:tr>
        <w:tc>
          <w:tcPr>
            <w:tcW w:type="dxa" w:w="1519"/>
          </w:tcPr>
          <w:p>
            <w:pPr>
              <w:spacing w:after="0"/>
            </w:pPr>
            <w:r>
              <w:rPr>
                <w:sz w:val="16"/>
              </w:rPr>
              <w:t>Gate 2: first roll-out year</w:t>
            </w:r>
          </w:p>
        </w:tc>
        <w:tc>
          <w:tcPr>
            <w:tcW w:type="dxa" w:w="3376"/>
          </w:tcPr>
          <w:p>
            <w:pPr>
              <w:spacing w:after="0"/>
            </w:pPr>
            <w:r>
              <w:rPr>
                <w:sz w:val="16"/>
              </w:rPr>
              <w:t>Acquisition cost per funded saver, VND</w:t>
            </w:r>
          </w:p>
        </w:tc>
        <w:tc>
          <w:tcPr>
            <w:tcW w:type="dxa" w:w="3038"/>
          </w:tcPr>
          <w:p>
            <w:pPr>
              <w:spacing w:after="0"/>
            </w:pPr>
            <w:r>
              <w:rPr>
                <w:sz w:val="16"/>
              </w:rPr>
              <w:t>≤ 127,512 (CAC ceiling)</w:t>
            </w:r>
          </w:p>
        </w:tc>
        <w:tc>
          <w:tcPr>
            <w:tcW w:type="dxa" w:w="3376"/>
          </w:tcPr>
          <w:p>
            <w:pPr>
              <w:spacing w:after="0"/>
            </w:pPr>
            <w:r>
              <w:rPr>
                <w:sz w:val="16"/>
              </w:rPr>
              <w:t>-</w:t>
            </w:r>
          </w:p>
        </w:tc>
        <w:tc>
          <w:tcPr>
            <w:tcW w:type="dxa" w:w="2870"/>
          </w:tcPr>
          <w:p>
            <w:pPr>
              <w:spacing w:after="0"/>
            </w:pPr>
            <w:r>
              <w:rPr>
                <w:sz w:val="16"/>
              </w:rPr>
              <w:t>&gt; 127,512 for two quarters</w:t>
            </w:r>
          </w:p>
        </w:tc>
        <w:tc>
          <w:tcPr>
            <w:tcW w:type="dxa" w:w="844"/>
          </w:tcPr>
          <w:p>
            <w:pPr>
              <w:spacing w:after="0"/>
            </w:pPr>
            <w:r>
              <w:rPr>
                <w:sz w:val="16"/>
              </w:rPr>
              <w:t>CFO</w:t>
            </w:r>
          </w:p>
        </w:tc>
      </w:tr>
      <w:tr>
        <w:tc>
          <w:tcPr>
            <w:tcW w:type="dxa" w:w="1519"/>
          </w:tcPr>
          <w:p>
            <w:pPr>
              <w:spacing w:after="0"/>
            </w:pPr>
            <w:r>
              <w:rPr>
                <w:sz w:val="16"/>
              </w:rPr>
              <w:t>Gate 3: scale-up review</w:t>
            </w:r>
          </w:p>
        </w:tc>
        <w:tc>
          <w:tcPr>
            <w:tcW w:type="dxa" w:w="3376"/>
          </w:tcPr>
          <w:p>
            <w:pPr>
              <w:spacing w:after="0"/>
            </w:pPr>
            <w:r>
              <w:rPr>
                <w:sz w:val="16"/>
              </w:rPr>
              <w:t>Monthly plan revenue against monthly running cost</w:t>
            </w:r>
          </w:p>
        </w:tc>
        <w:tc>
          <w:tcPr>
            <w:tcW w:type="dxa" w:w="3038"/>
          </w:tcPr>
          <w:p>
            <w:pPr>
              <w:spacing w:after="0"/>
            </w:pPr>
            <w:r>
              <w:rPr>
                <w:sz w:val="16"/>
              </w:rPr>
              <w:t>≥ 16% (plan)</w:t>
            </w:r>
          </w:p>
        </w:tc>
        <w:tc>
          <w:tcPr>
            <w:tcW w:type="dxa" w:w="3376"/>
          </w:tcPr>
          <w:p>
            <w:pPr>
              <w:spacing w:after="0"/>
            </w:pPr>
            <w:r>
              <w:rPr>
                <w:sz w:val="16"/>
              </w:rPr>
              <w:t>-</w:t>
            </w:r>
          </w:p>
        </w:tc>
        <w:tc>
          <w:tcPr>
            <w:tcW w:type="dxa" w:w="2870"/>
          </w:tcPr>
          <w:p>
            <w:pPr>
              <w:spacing w:after="0"/>
            </w:pPr>
            <w:r>
              <w:rPr>
                <w:sz w:val="16"/>
              </w:rPr>
              <w:t>&lt; 2% (downside path): review the revenue model</w:t>
            </w:r>
          </w:p>
        </w:tc>
        <w:tc>
          <w:tcPr>
            <w:tcW w:type="dxa" w:w="844"/>
          </w:tcPr>
          <w:p>
            <w:pPr>
              <w:spacing w:after="0"/>
            </w:pPr>
            <w:r>
              <w:rPr>
                <w:sz w:val="16"/>
              </w:rPr>
              <w:t>CFO</w:t>
            </w:r>
          </w:p>
        </w:tc>
      </w:tr>
      <w:tr>
        <w:tc>
          <w:tcPr>
            <w:tcW w:type="dxa" w:w="1519"/>
          </w:tcPr>
          <w:p>
            <w:pPr>
              <w:spacing w:after="0"/>
            </w:pPr>
            <w:r>
              <w:rPr>
                <w:sz w:val="16"/>
              </w:rPr>
              <w:t>Gate 3: scale-up review</w:t>
            </w:r>
          </w:p>
        </w:tc>
        <w:tc>
          <w:tcPr>
            <w:tcW w:type="dxa" w:w="3376"/>
          </w:tcPr>
          <w:p>
            <w:pPr>
              <w:spacing w:after="0"/>
            </w:pPr>
            <w:r>
              <w:rPr>
                <w:sz w:val="16"/>
              </w:rPr>
              <w:t>New accounts above VND 10 million from the plan</w:t>
            </w:r>
          </w:p>
        </w:tc>
        <w:tc>
          <w:tcPr>
            <w:tcW w:type="dxa" w:w="3038"/>
          </w:tcPr>
          <w:p>
            <w:pPr>
              <w:spacing w:after="0"/>
            </w:pPr>
            <w:r>
              <w:rPr>
                <w:sz w:val="16"/>
              </w:rPr>
              <w:t>≥ 6,171 (80% of plan)</w:t>
            </w:r>
          </w:p>
        </w:tc>
        <w:tc>
          <w:tcPr>
            <w:tcW w:type="dxa" w:w="3376"/>
          </w:tcPr>
          <w:p>
            <w:pPr>
              <w:spacing w:after="0"/>
            </w:pPr>
            <w:r>
              <w:rPr>
                <w:sz w:val="16"/>
              </w:rPr>
              <w:t>-</w:t>
            </w:r>
          </w:p>
        </w:tc>
        <w:tc>
          <w:tcPr>
            <w:tcW w:type="dxa" w:w="2870"/>
          </w:tcPr>
          <w:p>
            <w:pPr>
              <w:spacing w:after="0"/>
            </w:pPr>
            <w:r>
              <w:rPr>
                <w:sz w:val="16"/>
              </w:rPr>
              <w:t>&lt; 1,140 (downside path)</w:t>
            </w:r>
          </w:p>
        </w:tc>
        <w:tc>
          <w:tcPr>
            <w:tcW w:type="dxa" w:w="844"/>
          </w:tcPr>
          <w:p>
            <w:pPr>
              <w:spacing w:after="0"/>
            </w:pPr>
            <w:r>
              <w:rPr>
                <w:sz w:val="16"/>
              </w:rPr>
              <w:t>CEO</w:t>
            </w:r>
          </w:p>
        </w:tc>
      </w:tr>
      <w:tr>
        <w:tc>
          <w:tcPr>
            <w:tcW w:type="dxa" w:w="1519"/>
          </w:tcPr>
          <w:p>
            <w:pPr>
              <w:spacing w:after="0"/>
            </w:pPr>
            <w:r>
              <w:rPr>
                <w:sz w:val="16"/>
              </w:rPr>
              <w:t>Gate 3: scale-up review</w:t>
            </w:r>
          </w:p>
        </w:tc>
        <w:tc>
          <w:tcPr>
            <w:tcW w:type="dxa" w:w="3376"/>
          </w:tcPr>
          <w:p>
            <w:pPr>
              <w:spacing w:after="0"/>
            </w:pPr>
            <w:r>
              <w:rPr>
                <w:sz w:val="16"/>
              </w:rPr>
              <w:t>Employer channel: share of employees who enrol after the HR session</w:t>
            </w:r>
          </w:p>
        </w:tc>
        <w:tc>
          <w:tcPr>
            <w:tcW w:type="dxa" w:w="3038"/>
          </w:tcPr>
          <w:p>
            <w:pPr>
              <w:spacing w:after="0"/>
            </w:pPr>
            <w:r>
              <w:rPr>
                <w:sz w:val="16"/>
              </w:rPr>
              <w:t>≥ 39%</w:t>
            </w:r>
          </w:p>
        </w:tc>
        <w:tc>
          <w:tcPr>
            <w:tcW w:type="dxa" w:w="3376"/>
          </w:tcPr>
          <w:p>
            <w:pPr>
              <w:spacing w:after="0"/>
            </w:pPr>
            <w:r>
              <w:rPr>
                <w:sz w:val="16"/>
              </w:rPr>
              <w:t>20% to 39%: lower the cost per employer</w:t>
            </w:r>
          </w:p>
        </w:tc>
        <w:tc>
          <w:tcPr>
            <w:tcW w:type="dxa" w:w="2870"/>
          </w:tcPr>
          <w:p>
            <w:pPr>
              <w:spacing w:after="0"/>
            </w:pPr>
            <w:r>
              <w:rPr>
                <w:sz w:val="16"/>
              </w:rPr>
              <w:t>&lt; 20%: stop the channel</w:t>
            </w:r>
          </w:p>
        </w:tc>
        <w:tc>
          <w:tcPr>
            <w:tcW w:type="dxa" w:w="844"/>
          </w:tcPr>
          <w:p>
            <w:pPr>
              <w:spacing w:after="0"/>
            </w:pPr>
            <w:r>
              <w:rPr>
                <w:sz w:val="16"/>
              </w:rPr>
              <w:t>Head of Product</w:t>
            </w:r>
          </w:p>
        </w:tc>
      </w:tr>
      <w:tr>
        <w:tc>
          <w:tcPr>
            <w:tcW w:type="dxa" w:w="1519"/>
          </w:tcPr>
          <w:p>
            <w:pPr>
              <w:spacing w:after="0"/>
            </w:pPr>
            <w:r>
              <w:rPr>
                <w:sz w:val="16"/>
              </w:rPr>
              <w:t>Gate 3: scale-up review</w:t>
            </w:r>
          </w:p>
        </w:tc>
        <w:tc>
          <w:tcPr>
            <w:tcW w:type="dxa" w:w="3376"/>
          </w:tcPr>
          <w:p>
            <w:pPr>
              <w:spacing w:after="0"/>
            </w:pPr>
            <w:r>
              <w:rPr>
                <w:sz w:val="16"/>
              </w:rPr>
              <w:t>Net cost per new account above VND 10 million to date, VND million</w:t>
            </w:r>
          </w:p>
        </w:tc>
        <w:tc>
          <w:tcPr>
            <w:tcW w:type="dxa" w:w="3038"/>
          </w:tcPr>
          <w:p>
            <w:pPr>
              <w:spacing w:after="0"/>
            </w:pPr>
            <w:r>
              <w:rPr>
                <w:sz w:val="16"/>
              </w:rPr>
              <w:t>≤ 2.6 (1.25 x plan)</w:t>
            </w:r>
          </w:p>
        </w:tc>
        <w:tc>
          <w:tcPr>
            <w:tcW w:type="dxa" w:w="3376"/>
          </w:tcPr>
          <w:p>
            <w:pPr>
              <w:spacing w:after="0"/>
            </w:pPr>
            <w:r>
              <w:rPr>
                <w:sz w:val="16"/>
              </w:rPr>
              <w:t>2.6 to 4.1</w:t>
            </w:r>
          </w:p>
        </w:tc>
        <w:tc>
          <w:tcPr>
            <w:tcW w:type="dxa" w:w="2870"/>
          </w:tcPr>
          <w:p>
            <w:pPr>
              <w:spacing w:after="0"/>
            </w:pPr>
            <w:r>
              <w:rPr>
                <w:sz w:val="16"/>
              </w:rPr>
              <w:t>&gt; 4.1: fold into the core app team or stop</w:t>
            </w:r>
          </w:p>
        </w:tc>
        <w:tc>
          <w:tcPr>
            <w:tcW w:type="dxa" w:w="844"/>
          </w:tcPr>
          <w:p>
            <w:pPr>
              <w:spacing w:after="0"/>
            </w:pPr>
            <w:r>
              <w:rPr>
                <w:sz w:val="16"/>
              </w:rPr>
              <w:t>CFO</w:t>
            </w:r>
          </w:p>
        </w:tc>
      </w:tr>
    </w:tbl>
    <w:p/>
    <w:p>
      <w:pPr>
        <w:pStyle w:val="SourceLine"/>
      </w:pPr>
      <w:r>
        <w:t xml:space="preserve">CSV: </w:t>
      </w:r>
      <w:r>
        <w:rPr>
          <w:rFonts w:ascii="Consolas" w:hAnsi="Consolas"/>
          <w:color w:val="6B6B6B"/>
          <w:sz w:val="18"/>
        </w:rPr>
        <w:t>outputs/round3/tables/appB7_gates.csv</w:t>
      </w:r>
      <w:r>
        <w:t>.</w:t>
      </w:r>
    </w:p>
    <w:p>
      <w:pPr>
        <w:pStyle w:val="SourceLine"/>
      </w:pPr>
      <w:r>
        <w:t>Source: authors' cohort model.</w:t>
      </w:r>
    </w:p>
    <w:p>
      <w:r>
        <w:rPr>
          <w:i/>
        </w:rPr>
        <w:t>Ghi chú cho người dựng slide: bảng dài, tách thành 2 slide (Gate 0–1 và Gate 2–3).</w:t>
      </w:r>
    </w:p>
    <w:p>
      <w:r>
        <w:br w:type="page"/>
      </w:r>
    </w:p>
    <w:p>
      <w:pPr>
        <w:pStyle w:val="Heading3"/>
      </w:pPr>
      <w:r>
        <w:t>B7. Risk register</w:t>
      </w:r>
    </w:p>
    <w:p>
      <w:r>
        <w:rPr>
          <w:rStyle w:val="FieldLabel"/>
        </w:rPr>
        <w:t>Title:</w:t>
      </w:r>
      <w:r>
        <w:t xml:space="preserve"> </w:t>
      </w:r>
      <w:r>
        <w:t>Six risks, each with an early warning and an owner</w:t>
      </w:r>
    </w:p>
    <w:p>
      <w:r>
        <w:rPr>
          <w:rStyle w:val="FieldLabel"/>
        </w:rPr>
        <w:t>Table: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401"/>
            <w:shd w:val="clear" w:color="auto" w:fill="F3F3F3"/>
          </w:tcPr>
          <w:p>
            <w:pPr>
              <w:spacing w:after="0"/>
            </w:pPr>
            <w:r>
              <w:rPr>
                <w:b/>
                <w:sz w:val="16"/>
              </w:rPr>
              <w:t>ID</w:t>
            </w:r>
          </w:p>
        </w:tc>
        <w:tc>
          <w:tcPr>
            <w:tcW w:type="dxa" w:w="4006"/>
            <w:shd w:val="clear" w:color="auto" w:fill="F3F3F3"/>
          </w:tcPr>
          <w:p>
            <w:pPr>
              <w:spacing w:after="0"/>
            </w:pPr>
            <w:r>
              <w:rPr>
                <w:b/>
                <w:sz w:val="16"/>
              </w:rPr>
              <w:t>Risk</w:t>
            </w:r>
          </w:p>
        </w:tc>
        <w:tc>
          <w:tcPr>
            <w:tcW w:type="dxa" w:w="1269"/>
            <w:shd w:val="clear" w:color="auto" w:fill="F3F3F3"/>
          </w:tcPr>
          <w:p>
            <w:pPr>
              <w:spacing w:after="0"/>
            </w:pPr>
            <w:r>
              <w:rPr>
                <w:b/>
                <w:sz w:val="16"/>
              </w:rPr>
              <w:t>Likelihood × impact</w:t>
            </w:r>
          </w:p>
        </w:tc>
        <w:tc>
          <w:tcPr>
            <w:tcW w:type="dxa" w:w="4006"/>
            <w:shd w:val="clear" w:color="auto" w:fill="F3F3F3"/>
          </w:tcPr>
          <w:p>
            <w:pPr>
              <w:spacing w:after="0"/>
            </w:pPr>
            <w:r>
              <w:rPr>
                <w:b/>
                <w:sz w:val="16"/>
              </w:rPr>
              <w:t>Mitigation</w:t>
            </w:r>
          </w:p>
        </w:tc>
        <w:tc>
          <w:tcPr>
            <w:tcW w:type="dxa" w:w="4006"/>
            <w:shd w:val="clear" w:color="auto" w:fill="F3F3F3"/>
          </w:tcPr>
          <w:p>
            <w:pPr>
              <w:spacing w:after="0"/>
            </w:pPr>
            <w:r>
              <w:rPr>
                <w:b/>
                <w:sz w:val="16"/>
              </w:rPr>
              <w:t>Early warning</w:t>
            </w:r>
          </w:p>
        </w:tc>
        <w:tc>
          <w:tcPr>
            <w:tcW w:type="dxa" w:w="1335"/>
            <w:shd w:val="clear" w:color="auto" w:fill="F3F3F3"/>
          </w:tcPr>
          <w:p>
            <w:pPr>
              <w:spacing w:after="0"/>
            </w:pPr>
            <w:r>
              <w:rPr>
                <w:b/>
                <w:sz w:val="16"/>
              </w:rPr>
              <w:t>Owner</w:t>
            </w:r>
          </w:p>
        </w:tc>
      </w:tr>
      <w:tr>
        <w:tc>
          <w:tcPr>
            <w:tcW w:type="dxa" w:w="401"/>
          </w:tcPr>
          <w:p>
            <w:pPr>
              <w:spacing w:after="0"/>
            </w:pPr>
            <w:r>
              <w:rPr>
                <w:sz w:val="16"/>
              </w:rPr>
              <w:t>R1</w:t>
            </w:r>
          </w:p>
        </w:tc>
        <w:tc>
          <w:tcPr>
            <w:tcW w:type="dxa" w:w="4006"/>
          </w:tcPr>
          <w:p>
            <w:pPr>
              <w:spacing w:after="0"/>
            </w:pPr>
            <w:r>
              <w:rPr>
                <w:sz w:val="16"/>
              </w:rPr>
              <w:t>A payday transfer or the app fails on a payday</w:t>
            </w:r>
          </w:p>
        </w:tc>
        <w:tc>
          <w:tcPr>
            <w:tcW w:type="dxa" w:w="1269"/>
          </w:tcPr>
          <w:p>
            <w:pPr>
              <w:spacing w:after="0"/>
            </w:pPr>
            <w:r>
              <w:rPr>
                <w:sz w:val="16"/>
              </w:rPr>
              <w:t>4 × 5 = 20</w:t>
            </w:r>
          </w:p>
        </w:tc>
        <w:tc>
          <w:tcPr>
            <w:tcW w:type="dxa" w:w="4006"/>
          </w:tcPr>
          <w:p>
            <w:pPr>
              <w:spacing w:after="0"/>
            </w:pPr>
            <w:r>
              <w:rPr>
                <w:sz w:val="16"/>
              </w:rPr>
              <w:t>Shadow payday runs before launch; contribution scheduler kept apart from the pre-trade buying-power check; no app release in the days before peak contribution dates; staged releases; status page and post-incident note</w:t>
            </w:r>
          </w:p>
        </w:tc>
        <w:tc>
          <w:tcPr>
            <w:tcW w:type="dxa" w:w="4006"/>
          </w:tcPr>
          <w:p>
            <w:pPr>
              <w:spacing w:after="0"/>
            </w:pPr>
            <w:r>
              <w:rPr>
                <w:sz w:val="16"/>
              </w:rPr>
              <w:t>Contributions credited on time below 99.5% in any month</w:t>
            </w:r>
          </w:p>
        </w:tc>
        <w:tc>
          <w:tcPr>
            <w:tcW w:type="dxa" w:w="1335"/>
          </w:tcPr>
          <w:p>
            <w:pPr>
              <w:spacing w:after="0"/>
            </w:pPr>
            <w:r>
              <w:rPr>
                <w:sz w:val="16"/>
              </w:rPr>
              <w:t>CTO</w:t>
            </w:r>
          </w:p>
        </w:tc>
      </w:tr>
      <w:tr>
        <w:tc>
          <w:tcPr>
            <w:tcW w:type="dxa" w:w="401"/>
          </w:tcPr>
          <w:p>
            <w:pPr>
              <w:spacing w:after="0"/>
            </w:pPr>
            <w:r>
              <w:rPr>
                <w:sz w:val="16"/>
              </w:rPr>
              <w:t>R2</w:t>
            </w:r>
          </w:p>
        </w:tc>
        <w:tc>
          <w:tcPr>
            <w:tcW w:type="dxa" w:w="4006"/>
          </w:tcPr>
          <w:p>
            <w:pPr>
              <w:spacing w:after="0"/>
            </w:pPr>
            <w:r>
              <w:rPr>
                <w:sz w:val="16"/>
              </w:rPr>
              <w:t>Too few dormant accounts enrol</w:t>
            </w:r>
          </w:p>
        </w:tc>
        <w:tc>
          <w:tcPr>
            <w:tcW w:type="dxa" w:w="1269"/>
          </w:tcPr>
          <w:p>
            <w:pPr>
              <w:spacing w:after="0"/>
            </w:pPr>
            <w:r>
              <w:rPr>
                <w:sz w:val="16"/>
              </w:rPr>
              <w:t>4 × 4 = 16</w:t>
            </w:r>
          </w:p>
        </w:tc>
        <w:tc>
          <w:tcPr>
            <w:tcW w:type="dxa" w:w="4006"/>
          </w:tcPr>
          <w:p>
            <w:pPr>
              <w:spacing w:after="0"/>
            </w:pPr>
            <w:r>
              <w:rPr>
                <w:sz w:val="16"/>
              </w:rPr>
              <w:t>Randomised pilot with 45,000 accounts before any roll-out; Gate 1 stop line at 1.0%; plan step at account opening; message tests across arms</w:t>
            </w:r>
          </w:p>
        </w:tc>
        <w:tc>
          <w:tcPr>
            <w:tcW w:type="dxa" w:w="4006"/>
          </w:tcPr>
          <w:p>
            <w:pPr>
              <w:spacing w:after="0"/>
            </w:pPr>
            <w:r>
              <w:rPr>
                <w:sz w:val="16"/>
              </w:rPr>
              <w:t>Enrolment of treated accounts below 1.0% at month 6</w:t>
            </w:r>
          </w:p>
        </w:tc>
        <w:tc>
          <w:tcPr>
            <w:tcW w:type="dxa" w:w="1335"/>
          </w:tcPr>
          <w:p>
            <w:pPr>
              <w:spacing w:after="0"/>
            </w:pPr>
            <w:r>
              <w:rPr>
                <w:sz w:val="16"/>
              </w:rPr>
              <w:t>Head of Product</w:t>
            </w:r>
          </w:p>
        </w:tc>
      </w:tr>
      <w:tr>
        <w:tc>
          <w:tcPr>
            <w:tcW w:type="dxa" w:w="401"/>
          </w:tcPr>
          <w:p>
            <w:pPr>
              <w:spacing w:after="0"/>
            </w:pPr>
            <w:r>
              <w:rPr>
                <w:sz w:val="16"/>
              </w:rPr>
              <w:t>R4</w:t>
            </w:r>
          </w:p>
        </w:tc>
        <w:tc>
          <w:tcPr>
            <w:tcW w:type="dxa" w:w="4006"/>
          </w:tcPr>
          <w:p>
            <w:pPr>
              <w:spacing w:after="0"/>
            </w:pPr>
            <w:r>
              <w:rPr>
                <w:sz w:val="16"/>
              </w:rPr>
              <w:t>The regulator objects to Golden Egg's role or to the advice flow</w:t>
            </w:r>
          </w:p>
        </w:tc>
        <w:tc>
          <w:tcPr>
            <w:tcW w:type="dxa" w:w="1269"/>
          </w:tcPr>
          <w:p>
            <w:pPr>
              <w:spacing w:after="0"/>
            </w:pPr>
            <w:r>
              <w:rPr>
                <w:sz w:val="16"/>
              </w:rPr>
              <w:t>3 × 5 = 15</w:t>
            </w:r>
          </w:p>
        </w:tc>
        <w:tc>
          <w:tcPr>
            <w:tcW w:type="dxa" w:w="4006"/>
          </w:tcPr>
          <w:p>
            <w:pPr>
              <w:spacing w:after="0"/>
            </w:pPr>
            <w:r>
              <w:rPr>
                <w:sz w:val="16"/>
              </w:rPr>
              <w:t>SSC notice and pre-consultation before launch; model plans signed by a licensed adviser; bond funds ready as the alternative safe core</w:t>
            </w:r>
          </w:p>
        </w:tc>
        <w:tc>
          <w:tcPr>
            <w:tcW w:type="dxa" w:w="4006"/>
          </w:tcPr>
          <w:p>
            <w:pPr>
              <w:spacing w:after="0"/>
            </w:pPr>
            <w:r>
              <w:rPr>
                <w:sz w:val="16"/>
              </w:rPr>
              <w:t>Written query or objection from the SSC</w:t>
            </w:r>
          </w:p>
        </w:tc>
        <w:tc>
          <w:tcPr>
            <w:tcW w:type="dxa" w:w="1335"/>
          </w:tcPr>
          <w:p>
            <w:pPr>
              <w:spacing w:after="0"/>
            </w:pPr>
            <w:r>
              <w:rPr>
                <w:sz w:val="16"/>
              </w:rPr>
              <w:t>Compliance and Legal</w:t>
            </w:r>
          </w:p>
        </w:tc>
      </w:tr>
      <w:tr>
        <w:tc>
          <w:tcPr>
            <w:tcW w:type="dxa" w:w="401"/>
          </w:tcPr>
          <w:p>
            <w:pPr>
              <w:spacing w:after="0"/>
            </w:pPr>
            <w:r>
              <w:rPr>
                <w:sz w:val="16"/>
              </w:rPr>
              <w:t>R3</w:t>
            </w:r>
          </w:p>
        </w:tc>
        <w:tc>
          <w:tcPr>
            <w:tcW w:type="dxa" w:w="4006"/>
          </w:tcPr>
          <w:p>
            <w:pPr>
              <w:spacing w:after="0"/>
            </w:pPr>
            <w:r>
              <w:rPr>
                <w:sz w:val="16"/>
              </w:rPr>
              <w:t>Partner terms leave too little per saver (bank fee, fund-fee share, bond margin)</w:t>
            </w:r>
          </w:p>
        </w:tc>
        <w:tc>
          <w:tcPr>
            <w:tcW w:type="dxa" w:w="1269"/>
          </w:tcPr>
          <w:p>
            <w:pPr>
              <w:spacing w:after="0"/>
            </w:pPr>
            <w:r>
              <w:rPr>
                <w:sz w:val="16"/>
              </w:rPr>
              <w:t>3 × 4 = 12</w:t>
            </w:r>
          </w:p>
        </w:tc>
        <w:tc>
          <w:tcPr>
            <w:tcW w:type="dxa" w:w="4006"/>
          </w:tcPr>
          <w:p>
            <w:pPr>
              <w:spacing w:after="0"/>
            </w:pPr>
            <w:r>
              <w:rPr>
                <w:sz w:val="16"/>
              </w:rPr>
              <w:t>Gate 0 terms: collection fee target VND 0 (the bank keeps the deposits), fund-fee share &gt;= 30%, bond margin &gt;= 0.6 points; re-run the model before the pilot</w:t>
            </w:r>
          </w:p>
        </w:tc>
        <w:tc>
          <w:tcPr>
            <w:tcW w:type="dxa" w:w="4006"/>
          </w:tcPr>
          <w:p>
            <w:pPr>
              <w:spacing w:after="0"/>
            </w:pPr>
            <w:r>
              <w:rPr>
                <w:sz w:val="16"/>
              </w:rPr>
              <w:t>Signed fee above VND 6,191 per contribution</w:t>
            </w:r>
          </w:p>
        </w:tc>
        <w:tc>
          <w:tcPr>
            <w:tcW w:type="dxa" w:w="1335"/>
          </w:tcPr>
          <w:p>
            <w:pPr>
              <w:spacing w:after="0"/>
            </w:pPr>
            <w:r>
              <w:rPr>
                <w:sz w:val="16"/>
              </w:rPr>
              <w:t>CFO</w:t>
            </w:r>
          </w:p>
        </w:tc>
      </w:tr>
      <w:tr>
        <w:tc>
          <w:tcPr>
            <w:tcW w:type="dxa" w:w="401"/>
          </w:tcPr>
          <w:p>
            <w:pPr>
              <w:spacing w:after="0"/>
            </w:pPr>
            <w:r>
              <w:rPr>
                <w:sz w:val="16"/>
              </w:rPr>
              <w:t>R5</w:t>
            </w:r>
          </w:p>
        </w:tc>
        <w:tc>
          <w:tcPr>
            <w:tcW w:type="dxa" w:w="4006"/>
          </w:tcPr>
          <w:p>
            <w:pPr>
              <w:spacing w:after="0"/>
            </w:pPr>
            <w:r>
              <w:rPr>
                <w:sz w:val="16"/>
              </w:rPr>
              <w:t>A market fall or a conflict of interest damages trust</w:t>
            </w:r>
          </w:p>
        </w:tc>
        <w:tc>
          <w:tcPr>
            <w:tcW w:type="dxa" w:w="1269"/>
          </w:tcPr>
          <w:p>
            <w:pPr>
              <w:spacing w:after="0"/>
            </w:pPr>
            <w:r>
              <w:rPr>
                <w:sz w:val="16"/>
              </w:rPr>
              <w:t>3 × 4 = 12</w:t>
            </w:r>
          </w:p>
        </w:tc>
        <w:tc>
          <w:tcPr>
            <w:tcW w:type="dxa" w:w="4006"/>
          </w:tcPr>
          <w:p>
            <w:pPr>
              <w:spacing w:after="0"/>
            </w:pPr>
            <w:r>
              <w:rPr>
                <w:sz w:val="16"/>
              </w:rPr>
              <w:t>Plans follow the goal horizon (no equities for goals under 3 years); no DNSE-issued bonds in the default plan; bad-month cost shown in VND before confirming</w:t>
            </w:r>
          </w:p>
        </w:tc>
        <w:tc>
          <w:tcPr>
            <w:tcW w:type="dxa" w:w="4006"/>
          </w:tcPr>
          <w:p>
            <w:pPr>
              <w:spacing w:after="0"/>
            </w:pPr>
            <w:r>
              <w:rPr>
                <w:sz w:val="16"/>
              </w:rPr>
              <w:t>Trust themes above 10% of Payday-related negative reviews</w:t>
            </w:r>
          </w:p>
        </w:tc>
        <w:tc>
          <w:tcPr>
            <w:tcW w:type="dxa" w:w="1335"/>
          </w:tcPr>
          <w:p>
            <w:pPr>
              <w:spacing w:after="0"/>
            </w:pPr>
            <w:r>
              <w:rPr>
                <w:sz w:val="16"/>
              </w:rPr>
              <w:t>Head of Product</w:t>
            </w:r>
          </w:p>
        </w:tc>
      </w:tr>
      <w:tr>
        <w:tc>
          <w:tcPr>
            <w:tcW w:type="dxa" w:w="401"/>
          </w:tcPr>
          <w:p>
            <w:pPr>
              <w:spacing w:after="0"/>
            </w:pPr>
            <w:r>
              <w:rPr>
                <w:sz w:val="16"/>
              </w:rPr>
              <w:t>R6</w:t>
            </w:r>
          </w:p>
        </w:tc>
        <w:tc>
          <w:tcPr>
            <w:tcW w:type="dxa" w:w="4006"/>
          </w:tcPr>
          <w:p>
            <w:pPr>
              <w:spacing w:after="0"/>
            </w:pPr>
            <w:r>
              <w:rPr>
                <w:sz w:val="16"/>
              </w:rPr>
              <w:t>Plan money is moved to trading or comes from existing balances</w:t>
            </w:r>
          </w:p>
        </w:tc>
        <w:tc>
          <w:tcPr>
            <w:tcW w:type="dxa" w:w="1269"/>
          </w:tcPr>
          <w:p>
            <w:pPr>
              <w:spacing w:after="0"/>
            </w:pPr>
            <w:r>
              <w:rPr>
                <w:sz w:val="16"/>
              </w:rPr>
              <w:t>3 × 3 = 9</w:t>
            </w:r>
          </w:p>
        </w:tc>
        <w:tc>
          <w:tcPr>
            <w:tcW w:type="dxa" w:w="4006"/>
          </w:tcPr>
          <w:p>
            <w:pPr>
              <w:spacing w:after="0"/>
            </w:pPr>
            <w:r>
              <w:rPr>
                <w:sz w:val="16"/>
              </w:rPr>
              <w:t>Inflows tagged by source; withdrawals go to the linked bank by default; a separate step with a goal reminder before moving money to buying power</w:t>
            </w:r>
          </w:p>
        </w:tc>
        <w:tc>
          <w:tcPr>
            <w:tcW w:type="dxa" w:w="4006"/>
          </w:tcPr>
          <w:p>
            <w:pPr>
              <w:spacing w:after="0"/>
            </w:pPr>
            <w:r>
              <w:rPr>
                <w:sz w:val="16"/>
              </w:rPr>
              <w:t>New money below 80% of inflows, or more than 10% of withdrawals moved to buying power</w:t>
            </w:r>
          </w:p>
        </w:tc>
        <w:tc>
          <w:tcPr>
            <w:tcW w:type="dxa" w:w="1335"/>
          </w:tcPr>
          <w:p>
            <w:pPr>
              <w:spacing w:after="0"/>
            </w:pPr>
            <w:r>
              <w:rPr>
                <w:sz w:val="16"/>
              </w:rPr>
              <w:t>CFO</w:t>
            </w:r>
          </w:p>
        </w:tc>
      </w:tr>
    </w:tbl>
    <w:p/>
    <w:p>
      <w:pPr>
        <w:pStyle w:val="SourceLine"/>
      </w:pPr>
      <w:r>
        <w:t xml:space="preserve">CSV: </w:t>
      </w:r>
      <w:r>
        <w:rPr>
          <w:rFonts w:ascii="Consolas" w:hAnsi="Consolas"/>
          <w:color w:val="6B6B6B"/>
          <w:sz w:val="18"/>
        </w:rPr>
        <w:t>outputs/round3/tables/appB8_risks.csv</w:t>
      </w:r>
      <w:r>
        <w:t>.</w:t>
      </w:r>
    </w:p>
    <w:p>
      <w:pPr>
        <w:pStyle w:val="SourceLine"/>
      </w:pPr>
      <w:r>
        <w:t>Source: authors' assessment; DNSE Securities (2023, 2026e); Market Times (2026); VnExpress (2026b).</w:t>
      </w:r>
    </w:p>
    <w:p>
      <w:r>
        <w:br w:type="page"/>
      </w:r>
    </w:p>
    <w:p>
      <w:pPr>
        <w:pStyle w:val="Heading3"/>
      </w:pPr>
      <w:r>
        <w:t>B8. Responsibilities (RACI)</w:t>
      </w:r>
    </w:p>
    <w:p>
      <w:r>
        <w:rPr>
          <w:rStyle w:val="FieldLabel"/>
        </w:rPr>
        <w:t>Title:</w:t>
      </w:r>
      <w:r>
        <w:t xml:space="preserve"> </w:t>
      </w:r>
      <w:r>
        <w:t>One accountable owner for every activity</w:t>
      </w:r>
    </w:p>
    <w:p>
      <w:r>
        <w:rPr>
          <w:rStyle w:val="FieldLabel"/>
        </w:rPr>
        <w:t>Table:</w:t>
      </w:r>
    </w:p>
    <w:tbl>
      <w:tblPr>
        <w:tblStyle w:val="TableGrid"/>
        <w:tblW w:type="auto" w:w="0"/>
        <w:jc w:val="center"/>
        <w:tblLayout w:type="fixed"/>
        <w:tblLook w:firstColumn="1" w:firstRow="1" w:lastColumn="0" w:lastRow="0" w:noHBand="0" w:noVBand="1" w:val="04A0"/>
      </w:tblPr>
      <w:tblGrid>
        <w:gridCol w:w="1669"/>
        <w:gridCol w:w="1669"/>
        <w:gridCol w:w="1669"/>
        <w:gridCol w:w="1669"/>
        <w:gridCol w:w="1669"/>
        <w:gridCol w:w="1669"/>
        <w:gridCol w:w="1669"/>
        <w:gridCol w:w="1669"/>
        <w:gridCol w:w="1669"/>
      </w:tblGrid>
      <w:tr>
        <w:trPr>
          <w:tblHeader w:val="true"/>
        </w:trPr>
        <w:tc>
          <w:tcPr>
            <w:tcW w:type="dxa" w:w="5564"/>
            <w:shd w:val="clear" w:color="auto" w:fill="F3F3F3"/>
          </w:tcPr>
          <w:p>
            <w:pPr>
              <w:spacing w:after="0"/>
            </w:pPr>
            <w:r>
              <w:rPr>
                <w:b/>
                <w:sz w:val="16"/>
              </w:rPr>
              <w:t>Activity</w:t>
            </w:r>
          </w:p>
        </w:tc>
        <w:tc>
          <w:tcPr>
            <w:tcW w:type="dxa" w:w="556"/>
            <w:shd w:val="clear" w:color="auto" w:fill="F3F3F3"/>
          </w:tcPr>
          <w:p>
            <w:pPr>
              <w:spacing w:after="0"/>
            </w:pPr>
            <w:r>
              <w:rPr>
                <w:b/>
                <w:sz w:val="16"/>
              </w:rPr>
              <w:t>CEO</w:t>
            </w:r>
          </w:p>
        </w:tc>
        <w:tc>
          <w:tcPr>
            <w:tcW w:type="dxa" w:w="556"/>
            <w:shd w:val="clear" w:color="auto" w:fill="F3F3F3"/>
          </w:tcPr>
          <w:p>
            <w:pPr>
              <w:spacing w:after="0"/>
            </w:pPr>
            <w:r>
              <w:rPr>
                <w:b/>
                <w:sz w:val="16"/>
              </w:rPr>
              <w:t>CFO</w:t>
            </w:r>
          </w:p>
        </w:tc>
        <w:tc>
          <w:tcPr>
            <w:tcW w:type="dxa" w:w="556"/>
            <w:shd w:val="clear" w:color="auto" w:fill="F3F3F3"/>
          </w:tcPr>
          <w:p>
            <w:pPr>
              <w:spacing w:after="0"/>
            </w:pPr>
            <w:r>
              <w:rPr>
                <w:b/>
                <w:sz w:val="16"/>
              </w:rPr>
              <w:t>CTO</w:t>
            </w:r>
          </w:p>
        </w:tc>
        <w:tc>
          <w:tcPr>
            <w:tcW w:type="dxa" w:w="1391"/>
            <w:shd w:val="clear" w:color="auto" w:fill="F3F3F3"/>
          </w:tcPr>
          <w:p>
            <w:pPr>
              <w:spacing w:after="0"/>
            </w:pPr>
            <w:r>
              <w:rPr>
                <w:b/>
                <w:sz w:val="16"/>
              </w:rPr>
              <w:t>Head of Product</w:t>
            </w:r>
          </w:p>
        </w:tc>
        <w:tc>
          <w:tcPr>
            <w:tcW w:type="dxa" w:w="1855"/>
            <w:shd w:val="clear" w:color="auto" w:fill="F3F3F3"/>
          </w:tcPr>
          <w:p>
            <w:pPr>
              <w:spacing w:after="0"/>
            </w:pPr>
            <w:r>
              <w:rPr>
                <w:b/>
                <w:sz w:val="16"/>
              </w:rPr>
              <w:t>Compliance and Legal</w:t>
            </w:r>
          </w:p>
        </w:tc>
        <w:tc>
          <w:tcPr>
            <w:tcW w:type="dxa" w:w="1577"/>
            <w:shd w:val="clear" w:color="auto" w:fill="F3F3F3"/>
          </w:tcPr>
          <w:p>
            <w:pPr>
              <w:spacing w:after="0"/>
            </w:pPr>
            <w:r>
              <w:rPr>
                <w:b/>
                <w:sz w:val="16"/>
              </w:rPr>
              <w:t>Marketing and CRM</w:t>
            </w:r>
          </w:p>
        </w:tc>
        <w:tc>
          <w:tcPr>
            <w:tcW w:type="dxa" w:w="1484"/>
            <w:shd w:val="clear" w:color="auto" w:fill="F3F3F3"/>
          </w:tcPr>
          <w:p>
            <w:pPr>
              <w:spacing w:after="0"/>
            </w:pPr>
            <w:r>
              <w:rPr>
                <w:b/>
                <w:sz w:val="16"/>
              </w:rPr>
              <w:t>Customer Service</w:t>
            </w:r>
          </w:p>
        </w:tc>
        <w:tc>
          <w:tcPr>
            <w:tcW w:type="dxa" w:w="1484"/>
            <w:shd w:val="clear" w:color="auto" w:fill="F3F3F3"/>
          </w:tcPr>
          <w:p>
            <w:pPr>
              <w:spacing w:after="0"/>
            </w:pPr>
            <w:r>
              <w:rPr>
                <w:b/>
                <w:sz w:val="16"/>
              </w:rPr>
              <w:t>Licensed adviser</w:t>
            </w:r>
          </w:p>
        </w:tc>
      </w:tr>
      <w:tr>
        <w:tc>
          <w:tcPr>
            <w:tcW w:type="dxa" w:w="5564"/>
          </w:tcPr>
          <w:p>
            <w:pPr>
              <w:spacing w:after="0"/>
            </w:pPr>
            <w:r>
              <w:rPr>
                <w:sz w:val="16"/>
              </w:rPr>
              <w:t>Gate decisions (months 3; 6; 12; 24)</w:t>
            </w:r>
          </w:p>
        </w:tc>
        <w:tc>
          <w:tcPr>
            <w:tcW w:type="dxa" w:w="556"/>
          </w:tcPr>
          <w:p>
            <w:pPr>
              <w:spacing w:after="0"/>
            </w:pPr>
            <w:r>
              <w:rPr>
                <w:sz w:val="16"/>
              </w:rPr>
              <w:t>A</w:t>
            </w:r>
          </w:p>
        </w:tc>
        <w:tc>
          <w:tcPr>
            <w:tcW w:type="dxa" w:w="556"/>
          </w:tcPr>
          <w:p>
            <w:pPr>
              <w:spacing w:after="0"/>
            </w:pPr>
            <w:r>
              <w:rPr>
                <w:sz w:val="16"/>
              </w:rPr>
              <w:t>R</w:t>
            </w:r>
          </w:p>
        </w:tc>
        <w:tc>
          <w:tcPr>
            <w:tcW w:type="dxa" w:w="556"/>
          </w:tcPr>
          <w:p>
            <w:pPr>
              <w:spacing w:after="0"/>
            </w:pPr>
            <w:r>
              <w:rPr>
                <w:sz w:val="16"/>
              </w:rPr>
              <w:t>C</w:t>
            </w:r>
          </w:p>
        </w:tc>
        <w:tc>
          <w:tcPr>
            <w:tcW w:type="dxa" w:w="1391"/>
          </w:tcPr>
          <w:p>
            <w:pPr>
              <w:spacing w:after="0"/>
            </w:pPr>
            <w:r>
              <w:rPr>
                <w:sz w:val="16"/>
              </w:rPr>
              <w:t>R</w:t>
            </w:r>
          </w:p>
        </w:tc>
        <w:tc>
          <w:tcPr>
            <w:tcW w:type="dxa" w:w="1855"/>
          </w:tcPr>
          <w:p>
            <w:pPr>
              <w:spacing w:after="0"/>
            </w:pPr>
            <w:r>
              <w:rPr>
                <w:sz w:val="16"/>
              </w:rPr>
              <w:t>C</w:t>
            </w:r>
          </w:p>
        </w:tc>
        <w:tc>
          <w:tcPr>
            <w:tcW w:type="dxa" w:w="1577"/>
          </w:tcPr>
          <w:p>
            <w:pPr>
              <w:spacing w:after="0"/>
            </w:pPr>
            <w:r>
              <w:rPr>
                <w:sz w:val="16"/>
              </w:rPr>
              <w:t>I</w:t>
            </w:r>
          </w:p>
        </w:tc>
        <w:tc>
          <w:tcPr>
            <w:tcW w:type="dxa" w:w="1484"/>
          </w:tcPr>
          <w:p>
            <w:pPr>
              <w:spacing w:after="0"/>
            </w:pPr>
            <w:r>
              <w:rPr>
                <w:sz w:val="16"/>
              </w:rPr>
              <w:t>I</w:t>
            </w:r>
          </w:p>
        </w:tc>
        <w:tc>
          <w:tcPr>
            <w:tcW w:type="dxa" w:w="1484"/>
          </w:tcPr>
          <w:p>
            <w:pPr>
              <w:spacing w:after="0"/>
            </w:pPr>
            <w:r>
              <w:rPr>
                <w:sz w:val="16"/>
              </w:rPr>
              <w:t>I</w:t>
            </w:r>
          </w:p>
        </w:tc>
      </w:tr>
      <w:tr>
        <w:tc>
          <w:tcPr>
            <w:tcW w:type="dxa" w:w="5564"/>
          </w:tcPr>
          <w:p>
            <w:pPr>
              <w:spacing w:after="0"/>
            </w:pPr>
            <w:r>
              <w:rPr>
                <w:sz w:val="16"/>
              </w:rPr>
              <w:t>Partner terms: virtual-account bank, fund managers, bond supply</w:t>
            </w:r>
          </w:p>
        </w:tc>
        <w:tc>
          <w:tcPr>
            <w:tcW w:type="dxa" w:w="556"/>
          </w:tcPr>
          <w:p>
            <w:pPr>
              <w:spacing w:after="0"/>
            </w:pPr>
            <w:r>
              <w:rPr>
                <w:sz w:val="16"/>
              </w:rPr>
              <w:t>I</w:t>
            </w:r>
          </w:p>
        </w:tc>
        <w:tc>
          <w:tcPr>
            <w:tcW w:type="dxa" w:w="556"/>
          </w:tcPr>
          <w:p>
            <w:pPr>
              <w:spacing w:after="0"/>
            </w:pPr>
            <w:r>
              <w:rPr>
                <w:sz w:val="16"/>
              </w:rPr>
              <w:t>A/R</w:t>
            </w:r>
          </w:p>
        </w:tc>
        <w:tc>
          <w:tcPr>
            <w:tcW w:type="dxa" w:w="556"/>
          </w:tcPr>
          <w:p>
            <w:pPr>
              <w:spacing w:after="0"/>
            </w:pPr>
            <w:r>
              <w:rPr>
                <w:sz w:val="16"/>
              </w:rPr>
              <w:t>C</w:t>
            </w:r>
          </w:p>
        </w:tc>
        <w:tc>
          <w:tcPr>
            <w:tcW w:type="dxa" w:w="1391"/>
          </w:tcPr>
          <w:p>
            <w:pPr>
              <w:spacing w:after="0"/>
            </w:pPr>
            <w:r>
              <w:rPr>
                <w:sz w:val="16"/>
              </w:rPr>
              <w:t>C</w:t>
            </w:r>
          </w:p>
        </w:tc>
        <w:tc>
          <w:tcPr>
            <w:tcW w:type="dxa" w:w="1855"/>
          </w:tcPr>
          <w:p>
            <w:pPr>
              <w:spacing w:after="0"/>
            </w:pPr>
            <w:r>
              <w:rPr>
                <w:sz w:val="16"/>
              </w:rPr>
              <w:t>C</w:t>
            </w:r>
          </w:p>
        </w:tc>
        <w:tc>
          <w:tcPr>
            <w:tcW w:type="dxa" w:w="1577"/>
          </w:tcPr>
          <w:p>
            <w:pPr>
              <w:spacing w:after="0"/>
            </w:pPr>
            <w:r>
              <w:rPr>
                <w:sz w:val="16"/>
              </w:rPr>
              <w:t>-</w:t>
            </w:r>
          </w:p>
        </w:tc>
        <w:tc>
          <w:tcPr>
            <w:tcW w:type="dxa" w:w="1484"/>
          </w:tcPr>
          <w:p>
            <w:pPr>
              <w:spacing w:after="0"/>
            </w:pPr>
            <w:r>
              <w:rPr>
                <w:sz w:val="16"/>
              </w:rPr>
              <w:t>-</w:t>
            </w:r>
          </w:p>
        </w:tc>
        <w:tc>
          <w:tcPr>
            <w:tcW w:type="dxa" w:w="1484"/>
          </w:tcPr>
          <w:p>
            <w:pPr>
              <w:spacing w:after="0"/>
            </w:pPr>
            <w:r>
              <w:rPr>
                <w:sz w:val="16"/>
              </w:rPr>
              <w:t>-</w:t>
            </w:r>
          </w:p>
        </w:tc>
      </w:tr>
      <w:tr>
        <w:tc>
          <w:tcPr>
            <w:tcW w:type="dxa" w:w="5564"/>
          </w:tcPr>
          <w:p>
            <w:pPr>
              <w:spacing w:after="0"/>
            </w:pPr>
            <w:r>
              <w:rPr>
                <w:sz w:val="16"/>
              </w:rPr>
              <w:t>SSC notice, legal opinions, review of promotions</w:t>
            </w:r>
          </w:p>
        </w:tc>
        <w:tc>
          <w:tcPr>
            <w:tcW w:type="dxa" w:w="556"/>
          </w:tcPr>
          <w:p>
            <w:pPr>
              <w:spacing w:after="0"/>
            </w:pPr>
            <w:r>
              <w:rPr>
                <w:sz w:val="16"/>
              </w:rPr>
              <w:t>I</w:t>
            </w:r>
          </w:p>
        </w:tc>
        <w:tc>
          <w:tcPr>
            <w:tcW w:type="dxa" w:w="556"/>
          </w:tcPr>
          <w:p>
            <w:pPr>
              <w:spacing w:after="0"/>
            </w:pPr>
            <w:r>
              <w:rPr>
                <w:sz w:val="16"/>
              </w:rPr>
              <w:t>I</w:t>
            </w:r>
          </w:p>
        </w:tc>
        <w:tc>
          <w:tcPr>
            <w:tcW w:type="dxa" w:w="556"/>
          </w:tcPr>
          <w:p>
            <w:pPr>
              <w:spacing w:after="0"/>
            </w:pPr>
            <w:r>
              <w:rPr>
                <w:sz w:val="16"/>
              </w:rPr>
              <w:t>I</w:t>
            </w:r>
          </w:p>
        </w:tc>
        <w:tc>
          <w:tcPr>
            <w:tcW w:type="dxa" w:w="1391"/>
          </w:tcPr>
          <w:p>
            <w:pPr>
              <w:spacing w:after="0"/>
            </w:pPr>
            <w:r>
              <w:rPr>
                <w:sz w:val="16"/>
              </w:rPr>
              <w:t>C</w:t>
            </w:r>
          </w:p>
        </w:tc>
        <w:tc>
          <w:tcPr>
            <w:tcW w:type="dxa" w:w="1855"/>
          </w:tcPr>
          <w:p>
            <w:pPr>
              <w:spacing w:after="0"/>
            </w:pPr>
            <w:r>
              <w:rPr>
                <w:sz w:val="16"/>
              </w:rPr>
              <w:t>A/R</w:t>
            </w:r>
          </w:p>
        </w:tc>
        <w:tc>
          <w:tcPr>
            <w:tcW w:type="dxa" w:w="1577"/>
          </w:tcPr>
          <w:p>
            <w:pPr>
              <w:spacing w:after="0"/>
            </w:pPr>
            <w:r>
              <w:rPr>
                <w:sz w:val="16"/>
              </w:rPr>
              <w:t>C</w:t>
            </w:r>
          </w:p>
        </w:tc>
        <w:tc>
          <w:tcPr>
            <w:tcW w:type="dxa" w:w="1484"/>
          </w:tcPr>
          <w:p>
            <w:pPr>
              <w:spacing w:after="0"/>
            </w:pPr>
            <w:r>
              <w:rPr>
                <w:sz w:val="16"/>
              </w:rPr>
              <w:t>-</w:t>
            </w:r>
          </w:p>
        </w:tc>
        <w:tc>
          <w:tcPr>
            <w:tcW w:type="dxa" w:w="1484"/>
          </w:tcPr>
          <w:p>
            <w:pPr>
              <w:spacing w:after="0"/>
            </w:pPr>
            <w:r>
              <w:rPr>
                <w:sz w:val="16"/>
              </w:rPr>
              <w:t>C</w:t>
            </w:r>
          </w:p>
        </w:tc>
      </w:tr>
      <w:tr>
        <w:tc>
          <w:tcPr>
            <w:tcW w:type="dxa" w:w="5564"/>
          </w:tcPr>
          <w:p>
            <w:pPr>
              <w:spacing w:after="0"/>
            </w:pPr>
            <w:r>
              <w:rPr>
                <w:sz w:val="16"/>
              </w:rPr>
              <w:t>Model plans and suitability rules</w:t>
            </w:r>
          </w:p>
        </w:tc>
        <w:tc>
          <w:tcPr>
            <w:tcW w:type="dxa" w:w="556"/>
          </w:tcPr>
          <w:p>
            <w:pPr>
              <w:spacing w:after="0"/>
            </w:pPr>
            <w:r>
              <w:rPr>
                <w:sz w:val="16"/>
              </w:rPr>
              <w:t>I</w:t>
            </w:r>
          </w:p>
        </w:tc>
        <w:tc>
          <w:tcPr>
            <w:tcW w:type="dxa" w:w="556"/>
          </w:tcPr>
          <w:p>
            <w:pPr>
              <w:spacing w:after="0"/>
            </w:pPr>
            <w:r>
              <w:rPr>
                <w:sz w:val="16"/>
              </w:rPr>
              <w:t>-</w:t>
            </w:r>
          </w:p>
        </w:tc>
        <w:tc>
          <w:tcPr>
            <w:tcW w:type="dxa" w:w="556"/>
          </w:tcPr>
          <w:p>
            <w:pPr>
              <w:spacing w:after="0"/>
            </w:pPr>
            <w:r>
              <w:rPr>
                <w:sz w:val="16"/>
              </w:rPr>
              <w:t>I</w:t>
            </w:r>
          </w:p>
        </w:tc>
        <w:tc>
          <w:tcPr>
            <w:tcW w:type="dxa" w:w="1391"/>
          </w:tcPr>
          <w:p>
            <w:pPr>
              <w:spacing w:after="0"/>
            </w:pPr>
            <w:r>
              <w:rPr>
                <w:sz w:val="16"/>
              </w:rPr>
              <w:t>C</w:t>
            </w:r>
          </w:p>
        </w:tc>
        <w:tc>
          <w:tcPr>
            <w:tcW w:type="dxa" w:w="1855"/>
          </w:tcPr>
          <w:p>
            <w:pPr>
              <w:spacing w:after="0"/>
            </w:pPr>
            <w:r>
              <w:rPr>
                <w:sz w:val="16"/>
              </w:rPr>
              <w:t>A</w:t>
            </w:r>
          </w:p>
        </w:tc>
        <w:tc>
          <w:tcPr>
            <w:tcW w:type="dxa" w:w="1577"/>
          </w:tcPr>
          <w:p>
            <w:pPr>
              <w:spacing w:after="0"/>
            </w:pPr>
            <w:r>
              <w:rPr>
                <w:sz w:val="16"/>
              </w:rPr>
              <w:t>-</w:t>
            </w:r>
          </w:p>
        </w:tc>
        <w:tc>
          <w:tcPr>
            <w:tcW w:type="dxa" w:w="1484"/>
          </w:tcPr>
          <w:p>
            <w:pPr>
              <w:spacing w:after="0"/>
            </w:pPr>
            <w:r>
              <w:rPr>
                <w:sz w:val="16"/>
              </w:rPr>
              <w:t>-</w:t>
            </w:r>
          </w:p>
        </w:tc>
        <w:tc>
          <w:tcPr>
            <w:tcW w:type="dxa" w:w="1484"/>
          </w:tcPr>
          <w:p>
            <w:pPr>
              <w:spacing w:after="0"/>
            </w:pPr>
            <w:r>
              <w:rPr>
                <w:sz w:val="16"/>
              </w:rPr>
              <w:t>R</w:t>
            </w:r>
          </w:p>
        </w:tc>
      </w:tr>
      <w:tr>
        <w:tc>
          <w:tcPr>
            <w:tcW w:type="dxa" w:w="5564"/>
          </w:tcPr>
          <w:p>
            <w:pPr>
              <w:spacing w:after="0"/>
            </w:pPr>
            <w:r>
              <w:rPr>
                <w:sz w:val="16"/>
              </w:rPr>
              <w:t>MVP build: scheduler, virtual accounts, allocation, dashboard</w:t>
            </w:r>
          </w:p>
        </w:tc>
        <w:tc>
          <w:tcPr>
            <w:tcW w:type="dxa" w:w="556"/>
          </w:tcPr>
          <w:p>
            <w:pPr>
              <w:spacing w:after="0"/>
            </w:pPr>
            <w:r>
              <w:rPr>
                <w:sz w:val="16"/>
              </w:rPr>
              <w:t>I</w:t>
            </w:r>
          </w:p>
        </w:tc>
        <w:tc>
          <w:tcPr>
            <w:tcW w:type="dxa" w:w="556"/>
          </w:tcPr>
          <w:p>
            <w:pPr>
              <w:spacing w:after="0"/>
            </w:pPr>
            <w:r>
              <w:rPr>
                <w:sz w:val="16"/>
              </w:rPr>
              <w:t>I</w:t>
            </w:r>
          </w:p>
        </w:tc>
        <w:tc>
          <w:tcPr>
            <w:tcW w:type="dxa" w:w="556"/>
          </w:tcPr>
          <w:p>
            <w:pPr>
              <w:spacing w:after="0"/>
            </w:pPr>
            <w:r>
              <w:rPr>
                <w:sz w:val="16"/>
              </w:rPr>
              <w:t>A/R</w:t>
            </w:r>
          </w:p>
        </w:tc>
        <w:tc>
          <w:tcPr>
            <w:tcW w:type="dxa" w:w="1391"/>
          </w:tcPr>
          <w:p>
            <w:pPr>
              <w:spacing w:after="0"/>
            </w:pPr>
            <w:r>
              <w:rPr>
                <w:sz w:val="16"/>
              </w:rPr>
              <w:t>C</w:t>
            </w:r>
          </w:p>
        </w:tc>
        <w:tc>
          <w:tcPr>
            <w:tcW w:type="dxa" w:w="1855"/>
          </w:tcPr>
          <w:p>
            <w:pPr>
              <w:spacing w:after="0"/>
            </w:pPr>
            <w:r>
              <w:rPr>
                <w:sz w:val="16"/>
              </w:rPr>
              <w:t>C</w:t>
            </w:r>
          </w:p>
        </w:tc>
        <w:tc>
          <w:tcPr>
            <w:tcW w:type="dxa" w:w="1577"/>
          </w:tcPr>
          <w:p>
            <w:pPr>
              <w:spacing w:after="0"/>
            </w:pPr>
            <w:r>
              <w:rPr>
                <w:sz w:val="16"/>
              </w:rPr>
              <w:t>-</w:t>
            </w:r>
          </w:p>
        </w:tc>
        <w:tc>
          <w:tcPr>
            <w:tcW w:type="dxa" w:w="1484"/>
          </w:tcPr>
          <w:p>
            <w:pPr>
              <w:spacing w:after="0"/>
            </w:pPr>
            <w:r>
              <w:rPr>
                <w:sz w:val="16"/>
              </w:rPr>
              <w:t>I</w:t>
            </w:r>
          </w:p>
        </w:tc>
        <w:tc>
          <w:tcPr>
            <w:tcW w:type="dxa" w:w="1484"/>
          </w:tcPr>
          <w:p>
            <w:pPr>
              <w:spacing w:after="0"/>
            </w:pPr>
            <w:r>
              <w:rPr>
                <w:sz w:val="16"/>
              </w:rPr>
              <w:t>-</w:t>
            </w:r>
          </w:p>
        </w:tc>
      </w:tr>
      <w:tr>
        <w:tc>
          <w:tcPr>
            <w:tcW w:type="dxa" w:w="5564"/>
          </w:tcPr>
          <w:p>
            <w:pPr>
              <w:spacing w:after="0"/>
            </w:pPr>
            <w:r>
              <w:rPr>
                <w:sz w:val="16"/>
              </w:rPr>
              <w:t>Shadow payday runs and the 99.5% reliability gate</w:t>
            </w:r>
          </w:p>
        </w:tc>
        <w:tc>
          <w:tcPr>
            <w:tcW w:type="dxa" w:w="556"/>
          </w:tcPr>
          <w:p>
            <w:pPr>
              <w:spacing w:after="0"/>
            </w:pPr>
            <w:r>
              <w:rPr>
                <w:sz w:val="16"/>
              </w:rPr>
              <w:t>I</w:t>
            </w:r>
          </w:p>
        </w:tc>
        <w:tc>
          <w:tcPr>
            <w:tcW w:type="dxa" w:w="556"/>
          </w:tcPr>
          <w:p>
            <w:pPr>
              <w:spacing w:after="0"/>
            </w:pPr>
            <w:r>
              <w:rPr>
                <w:sz w:val="16"/>
              </w:rPr>
              <w:t>I</w:t>
            </w:r>
          </w:p>
        </w:tc>
        <w:tc>
          <w:tcPr>
            <w:tcW w:type="dxa" w:w="556"/>
          </w:tcPr>
          <w:p>
            <w:pPr>
              <w:spacing w:after="0"/>
            </w:pPr>
            <w:r>
              <w:rPr>
                <w:sz w:val="16"/>
              </w:rPr>
              <w:t>A/R</w:t>
            </w:r>
          </w:p>
        </w:tc>
        <w:tc>
          <w:tcPr>
            <w:tcW w:type="dxa" w:w="1391"/>
          </w:tcPr>
          <w:p>
            <w:pPr>
              <w:spacing w:after="0"/>
            </w:pPr>
            <w:r>
              <w:rPr>
                <w:sz w:val="16"/>
              </w:rPr>
              <w:t>C</w:t>
            </w:r>
          </w:p>
        </w:tc>
        <w:tc>
          <w:tcPr>
            <w:tcW w:type="dxa" w:w="1855"/>
          </w:tcPr>
          <w:p>
            <w:pPr>
              <w:spacing w:after="0"/>
            </w:pPr>
            <w:r>
              <w:rPr>
                <w:sz w:val="16"/>
              </w:rPr>
              <w:t>I</w:t>
            </w:r>
          </w:p>
        </w:tc>
        <w:tc>
          <w:tcPr>
            <w:tcW w:type="dxa" w:w="1577"/>
          </w:tcPr>
          <w:p>
            <w:pPr>
              <w:spacing w:after="0"/>
            </w:pPr>
            <w:r>
              <w:rPr>
                <w:sz w:val="16"/>
              </w:rPr>
              <w:t>-</w:t>
            </w:r>
          </w:p>
        </w:tc>
        <w:tc>
          <w:tcPr>
            <w:tcW w:type="dxa" w:w="1484"/>
          </w:tcPr>
          <w:p>
            <w:pPr>
              <w:spacing w:after="0"/>
            </w:pPr>
            <w:r>
              <w:rPr>
                <w:sz w:val="16"/>
              </w:rPr>
              <w:t>I</w:t>
            </w:r>
          </w:p>
        </w:tc>
        <w:tc>
          <w:tcPr>
            <w:tcW w:type="dxa" w:w="1484"/>
          </w:tcPr>
          <w:p>
            <w:pPr>
              <w:spacing w:after="0"/>
            </w:pPr>
            <w:r>
              <w:rPr>
                <w:sz w:val="16"/>
              </w:rPr>
              <w:t>-</w:t>
            </w:r>
          </w:p>
        </w:tc>
      </w:tr>
      <w:tr>
        <w:tc>
          <w:tcPr>
            <w:tcW w:type="dxa" w:w="5564"/>
          </w:tcPr>
          <w:p>
            <w:pPr>
              <w:spacing w:after="0"/>
            </w:pPr>
            <w:r>
              <w:rPr>
                <w:sz w:val="16"/>
              </w:rPr>
              <w:t>Randomised pilot: design and read-out</w:t>
            </w:r>
          </w:p>
        </w:tc>
        <w:tc>
          <w:tcPr>
            <w:tcW w:type="dxa" w:w="556"/>
          </w:tcPr>
          <w:p>
            <w:pPr>
              <w:spacing w:after="0"/>
            </w:pPr>
            <w:r>
              <w:rPr>
                <w:sz w:val="16"/>
              </w:rPr>
              <w:t>I</w:t>
            </w:r>
          </w:p>
        </w:tc>
        <w:tc>
          <w:tcPr>
            <w:tcW w:type="dxa" w:w="556"/>
          </w:tcPr>
          <w:p>
            <w:pPr>
              <w:spacing w:after="0"/>
            </w:pPr>
            <w:r>
              <w:rPr>
                <w:sz w:val="16"/>
              </w:rPr>
              <w:t>C</w:t>
            </w:r>
          </w:p>
        </w:tc>
        <w:tc>
          <w:tcPr>
            <w:tcW w:type="dxa" w:w="556"/>
          </w:tcPr>
          <w:p>
            <w:pPr>
              <w:spacing w:after="0"/>
            </w:pPr>
            <w:r>
              <w:rPr>
                <w:sz w:val="16"/>
              </w:rPr>
              <w:t>C</w:t>
            </w:r>
          </w:p>
        </w:tc>
        <w:tc>
          <w:tcPr>
            <w:tcW w:type="dxa" w:w="1391"/>
          </w:tcPr>
          <w:p>
            <w:pPr>
              <w:spacing w:after="0"/>
            </w:pPr>
            <w:r>
              <w:rPr>
                <w:sz w:val="16"/>
              </w:rPr>
              <w:t>A/R</w:t>
            </w:r>
          </w:p>
        </w:tc>
        <w:tc>
          <w:tcPr>
            <w:tcW w:type="dxa" w:w="1855"/>
          </w:tcPr>
          <w:p>
            <w:pPr>
              <w:spacing w:after="0"/>
            </w:pPr>
            <w:r>
              <w:rPr>
                <w:sz w:val="16"/>
              </w:rPr>
              <w:t>C</w:t>
            </w:r>
          </w:p>
        </w:tc>
        <w:tc>
          <w:tcPr>
            <w:tcW w:type="dxa" w:w="1577"/>
          </w:tcPr>
          <w:p>
            <w:pPr>
              <w:spacing w:after="0"/>
            </w:pPr>
            <w:r>
              <w:rPr>
                <w:sz w:val="16"/>
              </w:rPr>
              <w:t>C</w:t>
            </w:r>
          </w:p>
        </w:tc>
        <w:tc>
          <w:tcPr>
            <w:tcW w:type="dxa" w:w="1484"/>
          </w:tcPr>
          <w:p>
            <w:pPr>
              <w:spacing w:after="0"/>
            </w:pPr>
            <w:r>
              <w:rPr>
                <w:sz w:val="16"/>
              </w:rPr>
              <w:t>I</w:t>
            </w:r>
          </w:p>
        </w:tc>
        <w:tc>
          <w:tcPr>
            <w:tcW w:type="dxa" w:w="1484"/>
          </w:tcPr>
          <w:p>
            <w:pPr>
              <w:spacing w:after="0"/>
            </w:pPr>
            <w:r>
              <w:rPr>
                <w:sz w:val="16"/>
              </w:rPr>
              <w:t>C</w:t>
            </w:r>
          </w:p>
        </w:tc>
      </w:tr>
      <w:tr>
        <w:tc>
          <w:tcPr>
            <w:tcW w:type="dxa" w:w="5564"/>
          </w:tcPr>
          <w:p>
            <w:pPr>
              <w:spacing w:after="0"/>
            </w:pPr>
            <w:r>
              <w:rPr>
                <w:sz w:val="16"/>
              </w:rPr>
              <w:t>Outreach and messages</w:t>
            </w:r>
          </w:p>
        </w:tc>
        <w:tc>
          <w:tcPr>
            <w:tcW w:type="dxa" w:w="556"/>
          </w:tcPr>
          <w:p>
            <w:pPr>
              <w:spacing w:after="0"/>
            </w:pPr>
            <w:r>
              <w:rPr>
                <w:sz w:val="16"/>
              </w:rPr>
              <w:t>I</w:t>
            </w:r>
          </w:p>
        </w:tc>
        <w:tc>
          <w:tcPr>
            <w:tcW w:type="dxa" w:w="556"/>
          </w:tcPr>
          <w:p>
            <w:pPr>
              <w:spacing w:after="0"/>
            </w:pPr>
            <w:r>
              <w:rPr>
                <w:sz w:val="16"/>
              </w:rPr>
              <w:t>I</w:t>
            </w:r>
          </w:p>
        </w:tc>
        <w:tc>
          <w:tcPr>
            <w:tcW w:type="dxa" w:w="556"/>
          </w:tcPr>
          <w:p>
            <w:pPr>
              <w:spacing w:after="0"/>
            </w:pPr>
            <w:r>
              <w:rPr>
                <w:sz w:val="16"/>
              </w:rPr>
              <w:t>I</w:t>
            </w:r>
          </w:p>
        </w:tc>
        <w:tc>
          <w:tcPr>
            <w:tcW w:type="dxa" w:w="1391"/>
          </w:tcPr>
          <w:p>
            <w:pPr>
              <w:spacing w:after="0"/>
            </w:pPr>
            <w:r>
              <w:rPr>
                <w:sz w:val="16"/>
              </w:rPr>
              <w:t>A</w:t>
            </w:r>
          </w:p>
        </w:tc>
        <w:tc>
          <w:tcPr>
            <w:tcW w:type="dxa" w:w="1855"/>
          </w:tcPr>
          <w:p>
            <w:pPr>
              <w:spacing w:after="0"/>
            </w:pPr>
            <w:r>
              <w:rPr>
                <w:sz w:val="16"/>
              </w:rPr>
              <w:t>C</w:t>
            </w:r>
          </w:p>
        </w:tc>
        <w:tc>
          <w:tcPr>
            <w:tcW w:type="dxa" w:w="1577"/>
          </w:tcPr>
          <w:p>
            <w:pPr>
              <w:spacing w:after="0"/>
            </w:pPr>
            <w:r>
              <w:rPr>
                <w:sz w:val="16"/>
              </w:rPr>
              <w:t>R</w:t>
            </w:r>
          </w:p>
        </w:tc>
        <w:tc>
          <w:tcPr>
            <w:tcW w:type="dxa" w:w="1484"/>
          </w:tcPr>
          <w:p>
            <w:pPr>
              <w:spacing w:after="0"/>
            </w:pPr>
            <w:r>
              <w:rPr>
                <w:sz w:val="16"/>
              </w:rPr>
              <w:t>I</w:t>
            </w:r>
          </w:p>
        </w:tc>
        <w:tc>
          <w:tcPr>
            <w:tcW w:type="dxa" w:w="1484"/>
          </w:tcPr>
          <w:p>
            <w:pPr>
              <w:spacing w:after="0"/>
            </w:pPr>
            <w:r>
              <w:rPr>
                <w:sz w:val="16"/>
              </w:rPr>
              <w:t>-</w:t>
            </w:r>
          </w:p>
        </w:tc>
      </w:tr>
      <w:tr>
        <w:tc>
          <w:tcPr>
            <w:tcW w:type="dxa" w:w="5564"/>
          </w:tcPr>
          <w:p>
            <w:pPr>
              <w:spacing w:after="0"/>
            </w:pPr>
            <w:r>
              <w:rPr>
                <w:sz w:val="16"/>
              </w:rPr>
              <w:t>Complaints, withdrawals and recovery after failures</w:t>
            </w:r>
          </w:p>
        </w:tc>
        <w:tc>
          <w:tcPr>
            <w:tcW w:type="dxa" w:w="556"/>
          </w:tcPr>
          <w:p>
            <w:pPr>
              <w:spacing w:after="0"/>
            </w:pPr>
            <w:r>
              <w:rPr>
                <w:sz w:val="16"/>
              </w:rPr>
              <w:t>I</w:t>
            </w:r>
          </w:p>
        </w:tc>
        <w:tc>
          <w:tcPr>
            <w:tcW w:type="dxa" w:w="556"/>
          </w:tcPr>
          <w:p>
            <w:pPr>
              <w:spacing w:after="0"/>
            </w:pPr>
            <w:r>
              <w:rPr>
                <w:sz w:val="16"/>
              </w:rPr>
              <w:t>I</w:t>
            </w:r>
          </w:p>
        </w:tc>
        <w:tc>
          <w:tcPr>
            <w:tcW w:type="dxa" w:w="556"/>
          </w:tcPr>
          <w:p>
            <w:pPr>
              <w:spacing w:after="0"/>
            </w:pPr>
            <w:r>
              <w:rPr>
                <w:sz w:val="16"/>
              </w:rPr>
              <w:t>C</w:t>
            </w:r>
          </w:p>
        </w:tc>
        <w:tc>
          <w:tcPr>
            <w:tcW w:type="dxa" w:w="1391"/>
          </w:tcPr>
          <w:p>
            <w:pPr>
              <w:spacing w:after="0"/>
            </w:pPr>
            <w:r>
              <w:rPr>
                <w:sz w:val="16"/>
              </w:rPr>
              <w:t>A</w:t>
            </w:r>
          </w:p>
        </w:tc>
        <w:tc>
          <w:tcPr>
            <w:tcW w:type="dxa" w:w="1855"/>
          </w:tcPr>
          <w:p>
            <w:pPr>
              <w:spacing w:after="0"/>
            </w:pPr>
            <w:r>
              <w:rPr>
                <w:sz w:val="16"/>
              </w:rPr>
              <w:t>C</w:t>
            </w:r>
          </w:p>
        </w:tc>
        <w:tc>
          <w:tcPr>
            <w:tcW w:type="dxa" w:w="1577"/>
          </w:tcPr>
          <w:p>
            <w:pPr>
              <w:spacing w:after="0"/>
            </w:pPr>
            <w:r>
              <w:rPr>
                <w:sz w:val="16"/>
              </w:rPr>
              <w:t>I</w:t>
            </w:r>
          </w:p>
        </w:tc>
        <w:tc>
          <w:tcPr>
            <w:tcW w:type="dxa" w:w="1484"/>
          </w:tcPr>
          <w:p>
            <w:pPr>
              <w:spacing w:after="0"/>
            </w:pPr>
            <w:r>
              <w:rPr>
                <w:sz w:val="16"/>
              </w:rPr>
              <w:t>R</w:t>
            </w:r>
          </w:p>
        </w:tc>
        <w:tc>
          <w:tcPr>
            <w:tcW w:type="dxa" w:w="1484"/>
          </w:tcPr>
          <w:p>
            <w:pPr>
              <w:spacing w:after="0"/>
            </w:pPr>
            <w:r>
              <w:rPr>
                <w:sz w:val="16"/>
              </w:rPr>
              <w:t>-</w:t>
            </w:r>
          </w:p>
        </w:tc>
      </w:tr>
      <w:tr>
        <w:tc>
          <w:tcPr>
            <w:tcW w:type="dxa" w:w="5564"/>
          </w:tcPr>
          <w:p>
            <w:pPr>
              <w:spacing w:after="0"/>
            </w:pPr>
            <w:r>
              <w:rPr>
                <w:sz w:val="16"/>
              </w:rPr>
              <w:t>Monthly service metrics published</w:t>
            </w:r>
          </w:p>
        </w:tc>
        <w:tc>
          <w:tcPr>
            <w:tcW w:type="dxa" w:w="556"/>
          </w:tcPr>
          <w:p>
            <w:pPr>
              <w:spacing w:after="0"/>
            </w:pPr>
            <w:r>
              <w:rPr>
                <w:sz w:val="16"/>
              </w:rPr>
              <w:t>I</w:t>
            </w:r>
          </w:p>
        </w:tc>
        <w:tc>
          <w:tcPr>
            <w:tcW w:type="dxa" w:w="556"/>
          </w:tcPr>
          <w:p>
            <w:pPr>
              <w:spacing w:after="0"/>
            </w:pPr>
            <w:r>
              <w:rPr>
                <w:sz w:val="16"/>
              </w:rPr>
              <w:t>I</w:t>
            </w:r>
          </w:p>
        </w:tc>
        <w:tc>
          <w:tcPr>
            <w:tcW w:type="dxa" w:w="556"/>
          </w:tcPr>
          <w:p>
            <w:pPr>
              <w:spacing w:after="0"/>
            </w:pPr>
            <w:r>
              <w:rPr>
                <w:sz w:val="16"/>
              </w:rPr>
              <w:t>R</w:t>
            </w:r>
          </w:p>
        </w:tc>
        <w:tc>
          <w:tcPr>
            <w:tcW w:type="dxa" w:w="1391"/>
          </w:tcPr>
          <w:p>
            <w:pPr>
              <w:spacing w:after="0"/>
            </w:pPr>
            <w:r>
              <w:rPr>
                <w:sz w:val="16"/>
              </w:rPr>
              <w:t>A</w:t>
            </w:r>
          </w:p>
        </w:tc>
        <w:tc>
          <w:tcPr>
            <w:tcW w:type="dxa" w:w="1855"/>
          </w:tcPr>
          <w:p>
            <w:pPr>
              <w:spacing w:after="0"/>
            </w:pPr>
            <w:r>
              <w:rPr>
                <w:sz w:val="16"/>
              </w:rPr>
              <w:t>C</w:t>
            </w:r>
          </w:p>
        </w:tc>
        <w:tc>
          <w:tcPr>
            <w:tcW w:type="dxa" w:w="1577"/>
          </w:tcPr>
          <w:p>
            <w:pPr>
              <w:spacing w:after="0"/>
            </w:pPr>
            <w:r>
              <w:rPr>
                <w:sz w:val="16"/>
              </w:rPr>
              <w:t>C</w:t>
            </w:r>
          </w:p>
        </w:tc>
        <w:tc>
          <w:tcPr>
            <w:tcW w:type="dxa" w:w="1484"/>
          </w:tcPr>
          <w:p>
            <w:pPr>
              <w:spacing w:after="0"/>
            </w:pPr>
            <w:r>
              <w:rPr>
                <w:sz w:val="16"/>
              </w:rPr>
              <w:t>C</w:t>
            </w:r>
          </w:p>
        </w:tc>
        <w:tc>
          <w:tcPr>
            <w:tcW w:type="dxa" w:w="1484"/>
          </w:tcPr>
          <w:p>
            <w:pPr>
              <w:spacing w:after="0"/>
            </w:pPr>
            <w:r>
              <w:rPr>
                <w:sz w:val="16"/>
              </w:rPr>
              <w:t>-</w:t>
            </w:r>
          </w:p>
        </w:tc>
      </w:tr>
    </w:tbl>
    <w:p/>
    <w:p>
      <w:pPr>
        <w:pStyle w:val="SourceLine"/>
      </w:pPr>
      <w:r>
        <w:t xml:space="preserve">CSV: </w:t>
      </w:r>
      <w:r>
        <w:rPr>
          <w:rFonts w:ascii="Consolas" w:hAnsi="Consolas"/>
          <w:color w:val="6B6B6B"/>
          <w:sz w:val="18"/>
        </w:rPr>
        <w:t>outputs/round3/tables/appB9_raci.csv</w:t>
      </w:r>
      <w:r>
        <w:t>.</w:t>
      </w:r>
    </w:p>
    <w:p>
      <w:pPr>
        <w:pStyle w:val="SourceLine"/>
      </w:pPr>
      <w:r>
        <w:t>Source: authors' design. R = responsible, A = accountable, C = consulted, I = informed.</w:t>
      </w:r>
    </w:p>
    <w:p>
      <w:r>
        <w:br w:type="page"/>
      </w:r>
    </w:p>
    <w:p>
      <w:pPr>
        <w:pStyle w:val="Heading2"/>
      </w:pPr>
      <w:r>
        <w:t>Appendix C: Competitor products</w:t>
      </w:r>
    </w:p>
    <w:p>
      <w:r>
        <w:br w:type="page"/>
      </w:r>
    </w:p>
    <w:p>
      <w:pPr>
        <w:pStyle w:val="Heading3"/>
      </w:pPr>
      <w:r>
        <w:t>C1. Products checked by the authors</w:t>
      </w:r>
    </w:p>
    <w:p>
      <w:r>
        <w:rPr>
          <w:rStyle w:val="FieldLabel"/>
        </w:rPr>
        <w:t>Title:</w:t>
      </w:r>
      <w:r>
        <w:t xml:space="preserve"> </w:t>
      </w:r>
      <w:r>
        <w:t>Recurring plans are common; none we found mixes bank bonds, funds and an ETF</w:t>
      </w:r>
    </w:p>
    <w:p>
      <w:r>
        <w:rPr>
          <w:rStyle w:val="FieldLabel"/>
        </w:rPr>
        <w:t>Text:</w:t>
      </w:r>
    </w:p>
    <w:p>
      <w:pPr>
        <w:pStyle w:val="ListBullet"/>
      </w:pPr>
      <w:r>
        <w:t>Checked by the authors on 16 October 2026 against the sources listed.</w:t>
      </w:r>
    </w:p>
    <w:p>
      <w:pPr>
        <w:pStyle w:val="ListBullet"/>
      </w:pPr>
      <w:r>
        <w:t>Also reviewed from desk research, not re-checked: TCBS iTracker, Fundmart and iSave; VNDIRECT VNDGO; VPBankS NEO Invest and Tích sản cổ phiếu (Share accumulation); MBS Mobile; Techcombank iFund; MoMo Túi Thần Tài (God of Wealth pocket); Tikop; Finhay with DFVN.</w:t>
      </w:r>
    </w:p>
    <w:p>
      <w:r>
        <w:rPr>
          <w:rStyle w:val="FieldLabel"/>
        </w:rPr>
        <w:t>Table:</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2227"/>
            <w:shd w:val="clear" w:color="auto" w:fill="F3F3F3"/>
          </w:tcPr>
          <w:p>
            <w:pPr>
              <w:spacing w:after="0"/>
            </w:pPr>
            <w:r>
              <w:rPr>
                <w:b/>
                <w:sz w:val="16"/>
              </w:rPr>
              <w:t>Product</w:t>
            </w:r>
          </w:p>
        </w:tc>
        <w:tc>
          <w:tcPr>
            <w:tcW w:type="dxa" w:w="2620"/>
            <w:shd w:val="clear" w:color="auto" w:fill="F3F3F3"/>
          </w:tcPr>
          <w:p>
            <w:pPr>
              <w:spacing w:after="0"/>
            </w:pPr>
            <w:r>
              <w:rPr>
                <w:b/>
                <w:sz w:val="16"/>
              </w:rPr>
              <w:t>Assets</w:t>
            </w:r>
          </w:p>
        </w:tc>
        <w:tc>
          <w:tcPr>
            <w:tcW w:type="dxa" w:w="1703"/>
            <w:shd w:val="clear" w:color="auto" w:fill="F3F3F3"/>
          </w:tcPr>
          <w:p>
            <w:pPr>
              <w:spacing w:after="0"/>
            </w:pPr>
            <w:r>
              <w:rPr>
                <w:b/>
                <w:sz w:val="16"/>
              </w:rPr>
              <w:t>Minimum</w:t>
            </w:r>
          </w:p>
        </w:tc>
        <w:tc>
          <w:tcPr>
            <w:tcW w:type="dxa" w:w="2140"/>
            <w:shd w:val="clear" w:color="auto" w:fill="F3F3F3"/>
          </w:tcPr>
          <w:p>
            <w:pPr>
              <w:spacing w:after="0"/>
            </w:pPr>
            <w:r>
              <w:rPr>
                <w:b/>
                <w:sz w:val="16"/>
              </w:rPr>
              <w:t>Recurring</w:t>
            </w:r>
          </w:p>
        </w:tc>
        <w:tc>
          <w:tcPr>
            <w:tcW w:type="dxa" w:w="1747"/>
            <w:shd w:val="clear" w:color="auto" w:fill="F3F3F3"/>
          </w:tcPr>
          <w:p>
            <w:pPr>
              <w:spacing w:after="0"/>
            </w:pPr>
            <w:r>
              <w:rPr>
                <w:b/>
                <w:sz w:val="16"/>
              </w:rPr>
              <w:t>Who decides</w:t>
            </w:r>
          </w:p>
        </w:tc>
        <w:tc>
          <w:tcPr>
            <w:tcW w:type="dxa" w:w="2620"/>
            <w:shd w:val="clear" w:color="auto" w:fill="F3F3F3"/>
          </w:tcPr>
          <w:p>
            <w:pPr>
              <w:spacing w:after="0"/>
            </w:pPr>
            <w:r>
              <w:rPr>
                <w:b/>
                <w:sz w:val="16"/>
              </w:rPr>
              <w:t>Fees and rewards</w:t>
            </w:r>
          </w:p>
        </w:tc>
        <w:tc>
          <w:tcPr>
            <w:tcW w:type="dxa" w:w="1965"/>
            <w:shd w:val="clear" w:color="auto" w:fill="F3F3F3"/>
          </w:tcPr>
          <w:p>
            <w:pPr>
              <w:spacing w:after="0"/>
            </w:pPr>
            <w:r>
              <w:rPr>
                <w:b/>
                <w:sz w:val="16"/>
              </w:rPr>
              <w:t>Source</w:t>
            </w:r>
          </w:p>
        </w:tc>
      </w:tr>
      <w:tr>
        <w:tc>
          <w:tcPr>
            <w:tcW w:type="dxa" w:w="2227"/>
          </w:tcPr>
          <w:p>
            <w:pPr>
              <w:spacing w:after="0"/>
            </w:pPr>
            <w:r>
              <w:rPr>
                <w:sz w:val="16"/>
              </w:rPr>
              <w:t>VPS Smart Indexing (11 Aug 2026)</w:t>
            </w:r>
          </w:p>
        </w:tc>
        <w:tc>
          <w:tcPr>
            <w:tcW w:type="dxa" w:w="2620"/>
          </w:tcPr>
          <w:p>
            <w:pPr>
              <w:spacing w:after="0"/>
            </w:pPr>
            <w:r>
              <w:rPr>
                <w:sz w:val="16"/>
              </w:rPr>
              <w:t>Shares, direct indexing</w:t>
            </w:r>
          </w:p>
        </w:tc>
        <w:tc>
          <w:tcPr>
            <w:tcW w:type="dxa" w:w="1703"/>
          </w:tcPr>
          <w:p>
            <w:pPr>
              <w:spacing w:after="0"/>
            </w:pPr>
            <w:r>
              <w:rPr>
                <w:sz w:val="16"/>
              </w:rPr>
              <w:t>VND 50 million, then 10 million a month</w:t>
            </w:r>
          </w:p>
        </w:tc>
        <w:tc>
          <w:tcPr>
            <w:tcW w:type="dxa" w:w="2140"/>
          </w:tcPr>
          <w:p>
            <w:pPr>
              <w:spacing w:after="0"/>
            </w:pPr>
            <w:r>
              <w:rPr>
                <w:sz w:val="16"/>
              </w:rPr>
              <w:t>Yes</w:t>
            </w:r>
          </w:p>
        </w:tc>
        <w:tc>
          <w:tcPr>
            <w:tcW w:type="dxa" w:w="1747"/>
          </w:tcPr>
          <w:p>
            <w:pPr>
              <w:spacing w:after="0"/>
            </w:pPr>
            <w:r>
              <w:rPr>
                <w:sz w:val="16"/>
              </w:rPr>
              <w:t>VPS (discretionary)</w:t>
            </w:r>
          </w:p>
        </w:tc>
        <w:tc>
          <w:tcPr>
            <w:tcW w:type="dxa" w:w="2620"/>
          </w:tcPr>
          <w:p>
            <w:pPr>
              <w:spacing w:after="0"/>
            </w:pPr>
            <w:r>
              <w:rPr>
                <w:sz w:val="16"/>
              </w:rPr>
              <w:t>0.5% a year</w:t>
            </w:r>
          </w:p>
        </w:tc>
        <w:tc>
          <w:tcPr>
            <w:tcW w:type="dxa" w:w="1965"/>
          </w:tcPr>
          <w:p>
            <w:pPr>
              <w:spacing w:after="0"/>
            </w:pPr>
            <w:r>
              <w:rPr>
                <w:sz w:val="16"/>
              </w:rPr>
              <w:t>Tuoi Tre (2026); Tin nhanh Chung khoan (2026)</w:t>
            </w:r>
          </w:p>
        </w:tc>
      </w:tr>
      <w:tr>
        <w:tc>
          <w:tcPr>
            <w:tcW w:type="dxa" w:w="2227"/>
          </w:tcPr>
          <w:p>
            <w:pPr>
              <w:spacing w:after="0"/>
            </w:pPr>
            <w:r>
              <w:rPr>
                <w:sz w:val="16"/>
              </w:rPr>
              <w:t>SSI eSIP (campaign from 23 Apr 2026)</w:t>
            </w:r>
          </w:p>
        </w:tc>
        <w:tc>
          <w:tcPr>
            <w:tcW w:type="dxa" w:w="2620"/>
          </w:tcPr>
          <w:p>
            <w:pPr>
              <w:spacing w:after="0"/>
            </w:pPr>
            <w:r>
              <w:rPr>
                <w:sz w:val="16"/>
              </w:rPr>
              <w:t>SSIAM and Dragon Capital funds</w:t>
            </w:r>
          </w:p>
        </w:tc>
        <w:tc>
          <w:tcPr>
            <w:tcW w:type="dxa" w:w="1703"/>
          </w:tcPr>
          <w:p>
            <w:pPr>
              <w:spacing w:after="0"/>
            </w:pPr>
            <w:r>
              <w:rPr>
                <w:sz w:val="16"/>
              </w:rPr>
              <w:t>Not published</w:t>
            </w:r>
          </w:p>
        </w:tc>
        <w:tc>
          <w:tcPr>
            <w:tcW w:type="dxa" w:w="2140"/>
          </w:tcPr>
          <w:p>
            <w:pPr>
              <w:spacing w:after="0"/>
            </w:pPr>
            <w:r>
              <w:rPr>
                <w:sz w:val="16"/>
              </w:rPr>
              <w:t>Yes</w:t>
            </w:r>
          </w:p>
        </w:tc>
        <w:tc>
          <w:tcPr>
            <w:tcW w:type="dxa" w:w="1747"/>
          </w:tcPr>
          <w:p>
            <w:pPr>
              <w:spacing w:after="0"/>
            </w:pPr>
            <w:r>
              <w:rPr>
                <w:sz w:val="16"/>
              </w:rPr>
              <w:t>Customer</w:t>
            </w:r>
          </w:p>
        </w:tc>
        <w:tc>
          <w:tcPr>
            <w:tcW w:type="dxa" w:w="2620"/>
          </w:tcPr>
          <w:p>
            <w:pPr>
              <w:spacing w:after="0"/>
            </w:pPr>
            <w:r>
              <w:rPr>
                <w:sz w:val="16"/>
              </w:rPr>
              <w:t>VND 50,000 voucher for new customers buying VND 1 million through eSIP</w:t>
            </w:r>
          </w:p>
        </w:tc>
        <w:tc>
          <w:tcPr>
            <w:tcW w:type="dxa" w:w="1965"/>
          </w:tcPr>
          <w:p>
            <w:pPr>
              <w:spacing w:after="0"/>
            </w:pPr>
            <w:r>
              <w:rPr>
                <w:sz w:val="16"/>
              </w:rPr>
              <w:t>SSI Securities (2026); Bao Phap Luat (2026)</w:t>
            </w:r>
          </w:p>
        </w:tc>
      </w:tr>
      <w:tr>
        <w:tc>
          <w:tcPr>
            <w:tcW w:type="dxa" w:w="2227"/>
          </w:tcPr>
          <w:p>
            <w:pPr>
              <w:spacing w:after="0"/>
            </w:pPr>
            <w:r>
              <w:rPr>
                <w:sz w:val="16"/>
              </w:rPr>
              <w:t>TCBS TCWealth (Q2 2026)</w:t>
            </w:r>
          </w:p>
        </w:tc>
        <w:tc>
          <w:tcPr>
            <w:tcW w:type="dxa" w:w="2620"/>
          </w:tcPr>
          <w:p>
            <w:pPr>
              <w:spacing w:after="0"/>
            </w:pPr>
            <w:r>
              <w:rPr>
                <w:sz w:val="16"/>
              </w:rPr>
              <w:t>Goal-based portfolios</w:t>
            </w:r>
          </w:p>
        </w:tc>
        <w:tc>
          <w:tcPr>
            <w:tcW w:type="dxa" w:w="1703"/>
          </w:tcPr>
          <w:p>
            <w:pPr>
              <w:spacing w:after="0"/>
            </w:pPr>
            <w:r>
              <w:rPr>
                <w:sz w:val="16"/>
              </w:rPr>
              <w:t>Not found</w:t>
            </w:r>
          </w:p>
        </w:tc>
        <w:tc>
          <w:tcPr>
            <w:tcW w:type="dxa" w:w="2140"/>
          </w:tcPr>
          <w:p>
            <w:pPr>
              <w:spacing w:after="0"/>
            </w:pPr>
            <w:r>
              <w:rPr>
                <w:sz w:val="16"/>
              </w:rPr>
              <w:t>Not stated</w:t>
            </w:r>
          </w:p>
        </w:tc>
        <w:tc>
          <w:tcPr>
            <w:tcW w:type="dxa" w:w="1747"/>
          </w:tcPr>
          <w:p>
            <w:pPr>
              <w:spacing w:after="0"/>
            </w:pPr>
            <w:r>
              <w:rPr>
                <w:sz w:val="16"/>
              </w:rPr>
              <w:t>Not stated</w:t>
            </w:r>
          </w:p>
        </w:tc>
        <w:tc>
          <w:tcPr>
            <w:tcW w:type="dxa" w:w="2620"/>
          </w:tcPr>
          <w:p>
            <w:pPr>
              <w:spacing w:after="0"/>
            </w:pPr>
            <w:r>
              <w:rPr>
                <w:sz w:val="16"/>
              </w:rPr>
              <w:t>Not found</w:t>
            </w:r>
          </w:p>
        </w:tc>
        <w:tc>
          <w:tcPr>
            <w:tcW w:type="dxa" w:w="1965"/>
          </w:tcPr>
          <w:p>
            <w:pPr>
              <w:spacing w:after="0"/>
            </w:pPr>
            <w:r>
              <w:rPr>
                <w:sz w:val="16"/>
              </w:rPr>
              <w:t>TCBS (2026)</w:t>
            </w:r>
          </w:p>
        </w:tc>
      </w:tr>
      <w:tr>
        <w:tc>
          <w:tcPr>
            <w:tcW w:type="dxa" w:w="2227"/>
          </w:tcPr>
          <w:p>
            <w:pPr>
              <w:spacing w:after="0"/>
            </w:pPr>
            <w:r>
              <w:rPr>
                <w:sz w:val="16"/>
              </w:rPr>
              <w:t>TCBS iPower</w:t>
            </w:r>
          </w:p>
        </w:tc>
        <w:tc>
          <w:tcPr>
            <w:tcW w:type="dxa" w:w="2620"/>
          </w:tcPr>
          <w:p>
            <w:pPr>
              <w:spacing w:after="0"/>
            </w:pPr>
            <w:r>
              <w:rPr>
                <w:sz w:val="16"/>
              </w:rPr>
              <w:t>Idle cash</w:t>
            </w:r>
          </w:p>
        </w:tc>
        <w:tc>
          <w:tcPr>
            <w:tcW w:type="dxa" w:w="1703"/>
          </w:tcPr>
          <w:p>
            <w:pPr>
              <w:spacing w:after="0"/>
            </w:pPr>
            <w:r>
              <w:rPr>
                <w:sz w:val="16"/>
              </w:rPr>
              <w:t>VND 5 million</w:t>
            </w:r>
          </w:p>
        </w:tc>
        <w:tc>
          <w:tcPr>
            <w:tcW w:type="dxa" w:w="2140"/>
          </w:tcPr>
          <w:p>
            <w:pPr>
              <w:spacing w:after="0"/>
            </w:pPr>
            <w:r>
              <w:rPr>
                <w:sz w:val="16"/>
              </w:rPr>
              <w:t>Automatic</w:t>
            </w:r>
          </w:p>
        </w:tc>
        <w:tc>
          <w:tcPr>
            <w:tcW w:type="dxa" w:w="1747"/>
          </w:tcPr>
          <w:p>
            <w:pPr>
              <w:spacing w:after="0"/>
            </w:pPr>
            <w:r>
              <w:rPr>
                <w:sz w:val="16"/>
              </w:rPr>
              <w:t>–</w:t>
            </w:r>
          </w:p>
        </w:tc>
        <w:tc>
          <w:tcPr>
            <w:tcW w:type="dxa" w:w="2620"/>
          </w:tcPr>
          <w:p>
            <w:pPr>
              <w:spacing w:after="0"/>
            </w:pPr>
            <w:r>
              <w:rPr>
                <w:sz w:val="16"/>
              </w:rPr>
              <w:t>Up to 6% a year (2025 comparison)</w:t>
            </w:r>
          </w:p>
        </w:tc>
        <w:tc>
          <w:tcPr>
            <w:tcW w:type="dxa" w:w="1965"/>
          </w:tcPr>
          <w:p>
            <w:pPr>
              <w:spacing w:after="0"/>
            </w:pPr>
            <w:r>
              <w:rPr>
                <w:sz w:val="16"/>
              </w:rPr>
              <w:t>DNSE Securities (2025)</w:t>
            </w:r>
          </w:p>
        </w:tc>
      </w:tr>
      <w:tr>
        <w:tc>
          <w:tcPr>
            <w:tcW w:type="dxa" w:w="2227"/>
          </w:tcPr>
          <w:p>
            <w:pPr>
              <w:spacing w:after="0"/>
            </w:pPr>
            <w:r>
              <w:rPr>
                <w:sz w:val="16"/>
              </w:rPr>
              <w:t>VNDIRECT Tích sản hưu trí (Retirement accumulation)</w:t>
            </w:r>
          </w:p>
        </w:tc>
        <w:tc>
          <w:tcPr>
            <w:tcW w:type="dxa" w:w="2620"/>
          </w:tcPr>
          <w:p>
            <w:pPr>
              <w:spacing w:after="0"/>
            </w:pPr>
            <w:r>
              <w:rPr>
                <w:sz w:val="16"/>
              </w:rPr>
              <w:t>Bond and equity funds, 80/20 for 10 years</w:t>
            </w:r>
          </w:p>
        </w:tc>
        <w:tc>
          <w:tcPr>
            <w:tcW w:type="dxa" w:w="1703"/>
          </w:tcPr>
          <w:p>
            <w:pPr>
              <w:spacing w:after="0"/>
            </w:pPr>
            <w:r>
              <w:rPr>
                <w:sz w:val="16"/>
              </w:rPr>
              <w:t>VND 1 million</w:t>
            </w:r>
          </w:p>
        </w:tc>
        <w:tc>
          <w:tcPr>
            <w:tcW w:type="dxa" w:w="2140"/>
          </w:tcPr>
          <w:p>
            <w:pPr>
              <w:spacing w:after="0"/>
            </w:pPr>
            <w:r>
              <w:rPr>
                <w:sz w:val="16"/>
              </w:rPr>
              <w:t>Yes</w:t>
            </w:r>
          </w:p>
        </w:tc>
        <w:tc>
          <w:tcPr>
            <w:tcW w:type="dxa" w:w="1747"/>
          </w:tcPr>
          <w:p>
            <w:pPr>
              <w:spacing w:after="0"/>
            </w:pPr>
            <w:r>
              <w:rPr>
                <w:sz w:val="16"/>
              </w:rPr>
              <w:t>Customer</w:t>
            </w:r>
          </w:p>
        </w:tc>
        <w:tc>
          <w:tcPr>
            <w:tcW w:type="dxa" w:w="2620"/>
          </w:tcPr>
          <w:p>
            <w:pPr>
              <w:spacing w:after="0"/>
            </w:pPr>
            <w:r>
              <w:rPr>
                <w:sz w:val="16"/>
              </w:rPr>
              <w:t>0.1% a year (free to December 2025)</w:t>
            </w:r>
          </w:p>
        </w:tc>
        <w:tc>
          <w:tcPr>
            <w:tcW w:type="dxa" w:w="1965"/>
          </w:tcPr>
          <w:p>
            <w:pPr>
              <w:spacing w:after="0"/>
            </w:pPr>
            <w:r>
              <w:rPr>
                <w:sz w:val="16"/>
              </w:rPr>
              <w:t>VNDIRECT (n.d.)</w:t>
            </w:r>
          </w:p>
        </w:tc>
      </w:tr>
      <w:tr>
        <w:tc>
          <w:tcPr>
            <w:tcW w:type="dxa" w:w="2227"/>
          </w:tcPr>
          <w:p>
            <w:pPr>
              <w:spacing w:after="0"/>
            </w:pPr>
            <w:r>
              <w:rPr>
                <w:sz w:val="16"/>
              </w:rPr>
              <w:t>VinaCapital VinaSIP (Jun 2021)</w:t>
            </w:r>
          </w:p>
        </w:tc>
        <w:tc>
          <w:tcPr>
            <w:tcW w:type="dxa" w:w="2620"/>
          </w:tcPr>
          <w:p>
            <w:pPr>
              <w:spacing w:after="0"/>
            </w:pPr>
            <w:r>
              <w:rPr>
                <w:sz w:val="16"/>
              </w:rPr>
              <w:t>One VinaCapital fund per plan</w:t>
            </w:r>
          </w:p>
        </w:tc>
        <w:tc>
          <w:tcPr>
            <w:tcW w:type="dxa" w:w="1703"/>
          </w:tcPr>
          <w:p>
            <w:pPr>
              <w:spacing w:after="0"/>
            </w:pPr>
            <w:r>
              <w:rPr>
                <w:sz w:val="16"/>
              </w:rPr>
              <w:t>VND 500,000 a month</w:t>
            </w:r>
          </w:p>
        </w:tc>
        <w:tc>
          <w:tcPr>
            <w:tcW w:type="dxa" w:w="2140"/>
          </w:tcPr>
          <w:p>
            <w:pPr>
              <w:spacing w:after="0"/>
            </w:pPr>
            <w:r>
              <w:rPr>
                <w:sz w:val="16"/>
              </w:rPr>
              <w:t>Yes, standing order from the bank</w:t>
            </w:r>
          </w:p>
        </w:tc>
        <w:tc>
          <w:tcPr>
            <w:tcW w:type="dxa" w:w="1747"/>
          </w:tcPr>
          <w:p>
            <w:pPr>
              <w:spacing w:after="0"/>
            </w:pPr>
            <w:r>
              <w:rPr>
                <w:sz w:val="16"/>
              </w:rPr>
              <w:t>Customer</w:t>
            </w:r>
          </w:p>
        </w:tc>
        <w:tc>
          <w:tcPr>
            <w:tcW w:type="dxa" w:w="2620"/>
          </w:tcPr>
          <w:p>
            <w:pPr>
              <w:spacing w:after="0"/>
            </w:pPr>
            <w:r>
              <w:rPr>
                <w:sz w:val="16"/>
              </w:rPr>
              <w:t>–</w:t>
            </w:r>
          </w:p>
        </w:tc>
        <w:tc>
          <w:tcPr>
            <w:tcW w:type="dxa" w:w="1965"/>
          </w:tcPr>
          <w:p>
            <w:pPr>
              <w:spacing w:after="0"/>
            </w:pPr>
            <w:r>
              <w:rPr>
                <w:sz w:val="16"/>
              </w:rPr>
              <w:t>Thi truong Tai chinh Tien te (2021)</w:t>
            </w:r>
          </w:p>
        </w:tc>
      </w:tr>
      <w:tr>
        <w:tc>
          <w:tcPr>
            <w:tcW w:type="dxa" w:w="2227"/>
          </w:tcPr>
          <w:p>
            <w:pPr>
              <w:spacing w:after="0"/>
            </w:pPr>
            <w:r>
              <w:rPr>
                <w:sz w:val="16"/>
              </w:rPr>
              <w:t>VCB Digibank SIP (VCBF)</w:t>
            </w:r>
          </w:p>
        </w:tc>
        <w:tc>
          <w:tcPr>
            <w:tcW w:type="dxa" w:w="2620"/>
          </w:tcPr>
          <w:p>
            <w:pPr>
              <w:spacing w:after="0"/>
            </w:pPr>
            <w:r>
              <w:rPr>
                <w:sz w:val="16"/>
              </w:rPr>
              <w:t>VCBF funds</w:t>
            </w:r>
          </w:p>
        </w:tc>
        <w:tc>
          <w:tcPr>
            <w:tcW w:type="dxa" w:w="1703"/>
          </w:tcPr>
          <w:p>
            <w:pPr>
              <w:spacing w:after="0"/>
            </w:pPr>
            <w:r>
              <w:rPr>
                <w:sz w:val="16"/>
              </w:rPr>
              <w:t>VND 100,000 a period</w:t>
            </w:r>
          </w:p>
        </w:tc>
        <w:tc>
          <w:tcPr>
            <w:tcW w:type="dxa" w:w="2140"/>
          </w:tcPr>
          <w:p>
            <w:pPr>
              <w:spacing w:after="0"/>
            </w:pPr>
            <w:r>
              <w:rPr>
                <w:sz w:val="16"/>
              </w:rPr>
              <w:t>Yes</w:t>
            </w:r>
          </w:p>
        </w:tc>
        <w:tc>
          <w:tcPr>
            <w:tcW w:type="dxa" w:w="1747"/>
          </w:tcPr>
          <w:p>
            <w:pPr>
              <w:spacing w:after="0"/>
            </w:pPr>
            <w:r>
              <w:rPr>
                <w:sz w:val="16"/>
              </w:rPr>
              <w:t>Customer</w:t>
            </w:r>
          </w:p>
        </w:tc>
        <w:tc>
          <w:tcPr>
            <w:tcW w:type="dxa" w:w="2620"/>
          </w:tcPr>
          <w:p>
            <w:pPr>
              <w:spacing w:after="0"/>
            </w:pPr>
            <w:r>
              <w:rPr>
                <w:sz w:val="16"/>
              </w:rPr>
              <w:t>Preferential redemption fee for SIP</w:t>
            </w:r>
          </w:p>
        </w:tc>
        <w:tc>
          <w:tcPr>
            <w:tcW w:type="dxa" w:w="1965"/>
          </w:tcPr>
          <w:p>
            <w:pPr>
              <w:spacing w:after="0"/>
            </w:pPr>
            <w:r>
              <w:rPr>
                <w:sz w:val="16"/>
              </w:rPr>
              <w:t>VCBF (n.d.)</w:t>
            </w:r>
          </w:p>
        </w:tc>
      </w:tr>
      <w:tr>
        <w:tc>
          <w:tcPr>
            <w:tcW w:type="dxa" w:w="2227"/>
          </w:tcPr>
          <w:p>
            <w:pPr>
              <w:spacing w:after="0"/>
            </w:pPr>
            <w:r>
              <w:rPr>
                <w:sz w:val="16"/>
              </w:rPr>
              <w:t>VPBank Hũ Mục Tiêu (Goal Jar; Sep 2026)</w:t>
            </w:r>
          </w:p>
        </w:tc>
        <w:tc>
          <w:tcPr>
            <w:tcW w:type="dxa" w:w="2620"/>
          </w:tcPr>
          <w:p>
            <w:pPr>
              <w:spacing w:after="0"/>
            </w:pPr>
            <w:r>
              <w:rPr>
                <w:sz w:val="16"/>
              </w:rPr>
              <w:t>Deposits</w:t>
            </w:r>
          </w:p>
        </w:tc>
        <w:tc>
          <w:tcPr>
            <w:tcW w:type="dxa" w:w="1703"/>
          </w:tcPr>
          <w:p>
            <w:pPr>
              <w:spacing w:after="0"/>
            </w:pPr>
            <w:r>
              <w:rPr>
                <w:sz w:val="16"/>
              </w:rPr>
              <w:t>Not found</w:t>
            </w:r>
          </w:p>
        </w:tc>
        <w:tc>
          <w:tcPr>
            <w:tcW w:type="dxa" w:w="2140"/>
          </w:tcPr>
          <w:p>
            <w:pPr>
              <w:spacing w:after="0"/>
            </w:pPr>
            <w:r>
              <w:rPr>
                <w:sz w:val="16"/>
              </w:rPr>
              <w:t>Yes, by day, week or month</w:t>
            </w:r>
          </w:p>
        </w:tc>
        <w:tc>
          <w:tcPr>
            <w:tcW w:type="dxa" w:w="1747"/>
          </w:tcPr>
          <w:p>
            <w:pPr>
              <w:spacing w:after="0"/>
            </w:pPr>
            <w:r>
              <w:rPr>
                <w:sz w:val="16"/>
              </w:rPr>
              <w:t>Customer</w:t>
            </w:r>
          </w:p>
        </w:tc>
        <w:tc>
          <w:tcPr>
            <w:tcW w:type="dxa" w:w="2620"/>
          </w:tcPr>
          <w:p>
            <w:pPr>
              <w:spacing w:after="0"/>
            </w:pPr>
            <w:r>
              <w:rPr>
                <w:sz w:val="16"/>
              </w:rPr>
              <w:t>–</w:t>
            </w:r>
          </w:p>
        </w:tc>
        <w:tc>
          <w:tcPr>
            <w:tcW w:type="dxa" w:w="1965"/>
          </w:tcPr>
          <w:p>
            <w:pPr>
              <w:spacing w:after="0"/>
            </w:pPr>
            <w:r>
              <w:rPr>
                <w:sz w:val="16"/>
              </w:rPr>
              <w:t>VPBank (2026)</w:t>
            </w:r>
          </w:p>
        </w:tc>
      </w:tr>
      <w:tr>
        <w:tc>
          <w:tcPr>
            <w:tcW w:type="dxa" w:w="2227"/>
          </w:tcPr>
          <w:p>
            <w:pPr>
              <w:spacing w:after="0"/>
            </w:pPr>
            <w:r>
              <w:rPr>
                <w:sz w:val="16"/>
              </w:rPr>
              <w:t>KBSV periodic investment</w:t>
            </w:r>
          </w:p>
        </w:tc>
        <w:tc>
          <w:tcPr>
            <w:tcW w:type="dxa" w:w="2620"/>
          </w:tcPr>
          <w:p>
            <w:pPr>
              <w:spacing w:after="0"/>
            </w:pPr>
            <w:r>
              <w:rPr>
                <w:sz w:val="16"/>
              </w:rPr>
              <w:t>Shares</w:t>
            </w:r>
          </w:p>
        </w:tc>
        <w:tc>
          <w:tcPr>
            <w:tcW w:type="dxa" w:w="1703"/>
          </w:tcPr>
          <w:p>
            <w:pPr>
              <w:spacing w:after="0"/>
            </w:pPr>
            <w:r>
              <w:rPr>
                <w:sz w:val="16"/>
              </w:rPr>
              <w:t>–</w:t>
            </w:r>
          </w:p>
        </w:tc>
        <w:tc>
          <w:tcPr>
            <w:tcW w:type="dxa" w:w="2140"/>
          </w:tcPr>
          <w:p>
            <w:pPr>
              <w:spacing w:after="0"/>
            </w:pPr>
            <w:r>
              <w:rPr>
                <w:sz w:val="16"/>
              </w:rPr>
              <w:t>Yes</w:t>
            </w:r>
          </w:p>
        </w:tc>
        <w:tc>
          <w:tcPr>
            <w:tcW w:type="dxa" w:w="1747"/>
          </w:tcPr>
          <w:p>
            <w:pPr>
              <w:spacing w:after="0"/>
            </w:pPr>
            <w:r>
              <w:rPr>
                <w:sz w:val="16"/>
              </w:rPr>
              <w:t>Customer</w:t>
            </w:r>
          </w:p>
        </w:tc>
        <w:tc>
          <w:tcPr>
            <w:tcW w:type="dxa" w:w="2620"/>
          </w:tcPr>
          <w:p>
            <w:pPr>
              <w:spacing w:after="0"/>
            </w:pPr>
            <w:r>
              <w:rPr>
                <w:sz w:val="16"/>
              </w:rPr>
              <w:t>VND 50,000 voucher a month, capped at VND 600,000 (Apr 2025 to Mar 2026)</w:t>
            </w:r>
          </w:p>
        </w:tc>
        <w:tc>
          <w:tcPr>
            <w:tcW w:type="dxa" w:w="1965"/>
          </w:tcPr>
          <w:p>
            <w:pPr>
              <w:spacing w:after="0"/>
            </w:pPr>
            <w:r>
              <w:rPr>
                <w:sz w:val="16"/>
              </w:rPr>
              <w:t>KBSV (n.d.)</w:t>
            </w:r>
          </w:p>
        </w:tc>
      </w:tr>
      <w:tr>
        <w:tc>
          <w:tcPr>
            <w:tcW w:type="dxa" w:w="2227"/>
          </w:tcPr>
          <w:p>
            <w:pPr>
              <w:spacing w:after="0"/>
            </w:pPr>
            <w:r>
              <w:rPr>
                <w:sz w:val="16"/>
              </w:rPr>
              <w:t>DNSE today</w:t>
            </w:r>
          </w:p>
        </w:tc>
        <w:tc>
          <w:tcPr>
            <w:tcW w:type="dxa" w:w="2620"/>
          </w:tcPr>
          <w:p>
            <w:pPr>
              <w:spacing w:after="0"/>
            </w:pPr>
            <w:r>
              <w:rPr>
                <w:sz w:val="16"/>
              </w:rPr>
              <w:t>Never-Sleeping Account (1.8–4.3% on idle cash); Golden Egg bonds (6.20–7.60%)</w:t>
            </w:r>
          </w:p>
        </w:tc>
        <w:tc>
          <w:tcPr>
            <w:tcW w:type="dxa" w:w="1703"/>
          </w:tcPr>
          <w:p>
            <w:pPr>
              <w:spacing w:after="0"/>
            </w:pPr>
            <w:r>
              <w:rPr>
                <w:sz w:val="16"/>
              </w:rPr>
              <w:t>Golden Egg from VND 100,000</w:t>
            </w:r>
          </w:p>
        </w:tc>
        <w:tc>
          <w:tcPr>
            <w:tcW w:type="dxa" w:w="2140"/>
          </w:tcPr>
          <w:p>
            <w:pPr>
              <w:spacing w:after="0"/>
            </w:pPr>
            <w:r>
              <w:rPr>
                <w:sz w:val="16"/>
              </w:rPr>
              <w:t>No plan product</w:t>
            </w:r>
          </w:p>
        </w:tc>
        <w:tc>
          <w:tcPr>
            <w:tcW w:type="dxa" w:w="1747"/>
          </w:tcPr>
          <w:p>
            <w:pPr>
              <w:spacing w:after="0"/>
            </w:pPr>
            <w:r>
              <w:rPr>
                <w:sz w:val="16"/>
              </w:rPr>
              <w:t>Customer</w:t>
            </w:r>
          </w:p>
        </w:tc>
        <w:tc>
          <w:tcPr>
            <w:tcW w:type="dxa" w:w="2620"/>
          </w:tcPr>
          <w:p>
            <w:pPr>
              <w:spacing w:after="0"/>
            </w:pPr>
            <w:r>
              <w:rPr>
                <w:sz w:val="16"/>
              </w:rPr>
              <w:t>No fee on share trades</w:t>
            </w:r>
          </w:p>
        </w:tc>
        <w:tc>
          <w:tcPr>
            <w:tcW w:type="dxa" w:w="1965"/>
          </w:tcPr>
          <w:p>
            <w:pPr>
              <w:spacing w:after="0"/>
            </w:pPr>
            <w:r>
              <w:rPr>
                <w:sz w:val="16"/>
              </w:rPr>
              <w:t>DNSE Securities (2026b, 2026d, n.d.-b)</w:t>
            </w:r>
          </w:p>
        </w:tc>
      </w:tr>
      <w:tr>
        <w:tc>
          <w:tcPr>
            <w:tcW w:type="dxa" w:w="2227"/>
          </w:tcPr>
          <w:p>
            <w:pPr>
              <w:spacing w:after="0"/>
            </w:pPr>
            <w:r>
              <w:rPr>
                <w:sz w:val="16"/>
              </w:rPr>
              <w:t>Payday Portfolio (proposed)</w:t>
            </w:r>
          </w:p>
        </w:tc>
        <w:tc>
          <w:tcPr>
            <w:tcW w:type="dxa" w:w="2620"/>
          </w:tcPr>
          <w:p>
            <w:pPr>
              <w:spacing w:after="0"/>
            </w:pPr>
            <w:r>
              <w:rPr>
                <w:sz w:val="16"/>
              </w:rPr>
              <w:t>Bank bonds, bond and equity funds, VN30 ETF</w:t>
            </w:r>
          </w:p>
        </w:tc>
        <w:tc>
          <w:tcPr>
            <w:tcW w:type="dxa" w:w="1703"/>
          </w:tcPr>
          <w:p>
            <w:pPr>
              <w:spacing w:after="0"/>
            </w:pPr>
            <w:r>
              <w:rPr>
                <w:sz w:val="16"/>
              </w:rPr>
              <w:t>VND 500,000 a month</w:t>
            </w:r>
          </w:p>
        </w:tc>
        <w:tc>
          <w:tcPr>
            <w:tcW w:type="dxa" w:w="2140"/>
          </w:tcPr>
          <w:p>
            <w:pPr>
              <w:spacing w:after="0"/>
            </w:pPr>
            <w:r>
              <w:rPr>
                <w:sz w:val="16"/>
              </w:rPr>
              <w:t>Yes, standing order to a personal virtual account</w:t>
            </w:r>
          </w:p>
        </w:tc>
        <w:tc>
          <w:tcPr>
            <w:tcW w:type="dxa" w:w="1747"/>
          </w:tcPr>
          <w:p>
            <w:pPr>
              <w:spacing w:after="0"/>
            </w:pPr>
            <w:r>
              <w:rPr>
                <w:sz w:val="16"/>
              </w:rPr>
              <w:t>Customer confirms an adviser-signed plan</w:t>
            </w:r>
          </w:p>
        </w:tc>
        <w:tc>
          <w:tcPr>
            <w:tcW w:type="dxa" w:w="2620"/>
          </w:tcPr>
          <w:p>
            <w:pPr>
              <w:spacing w:after="0"/>
            </w:pPr>
            <w:r>
              <w:rPr>
                <w:sz w:val="16"/>
              </w:rPr>
              <w:t>No platform fee</w:t>
            </w:r>
          </w:p>
        </w:tc>
        <w:tc>
          <w:tcPr>
            <w:tcW w:type="dxa" w:w="1965"/>
          </w:tcPr>
          <w:p>
            <w:pPr>
              <w:spacing w:after="0"/>
            </w:pPr>
            <w:r>
              <w:rPr>
                <w:sz w:val="16"/>
              </w:rPr>
              <w:t>Authors' design</w:t>
            </w:r>
          </w:p>
        </w:tc>
      </w:tr>
    </w:tbl>
    <w:p/>
    <w:p>
      <w:pPr>
        <w:pStyle w:val="SourceLine"/>
      </w:pPr>
      <w:r>
        <w:t xml:space="preserve">CSV: </w:t>
      </w:r>
      <w:r>
        <w:rPr>
          <w:rFonts w:ascii="Consolas" w:hAnsi="Consolas"/>
          <w:color w:val="6B6B6B"/>
          <w:sz w:val="18"/>
        </w:rPr>
        <w:t>outputs/round3/tables/appC1_competitors.csv</w:t>
      </w:r>
      <w:r>
        <w:t>.</w:t>
      </w:r>
    </w:p>
    <w:p>
      <w:pPr>
        <w:pStyle w:val="SourceLine"/>
      </w:pPr>
      <w:r>
        <w:t>Source: as listed in the table; based on public product information as of 16 October 2026.</w:t>
      </w:r>
    </w:p>
    <w:p>
      <w:r>
        <w:br w:type="page"/>
      </w:r>
    </w:p>
    <w:p>
      <w:pPr>
        <w:pStyle w:val="Heading2"/>
      </w:pPr>
      <w:r>
        <w:t>Appendix D: Reviews of DNSE's app, 2026</w:t>
      </w:r>
    </w:p>
    <w:p>
      <w:r>
        <w:br w:type="page"/>
      </w:r>
    </w:p>
    <w:p>
      <w:pPr>
        <w:pStyle w:val="Heading3"/>
      </w:pPr>
      <w:r>
        <w:t>D1. Causes</w:t>
      </w:r>
    </w:p>
    <w:p>
      <w:r>
        <w:rPr>
          <w:rStyle w:val="FieldLabel"/>
        </w:rPr>
        <w:t>Title:</w:t>
      </w:r>
      <w:r>
        <w:t xml:space="preserve"> </w:t>
      </w:r>
      <w:r>
        <w:t>Something broke in 83% of DNSE's negative reviews in 2026</w:t>
      </w:r>
    </w:p>
    <w:p>
      <w:r>
        <w:rPr>
          <w:rStyle w:val="FieldLabel"/>
        </w:rPr>
        <w:t>Text:</w:t>
      </w:r>
    </w:p>
    <w:p>
      <w:pPr>
        <w:pStyle w:val="ListBullet"/>
      </w:pPr>
      <w:r>
        <w:t>58 negative reviews (34 Google Play, 24 App Store), 1 January to 21 September 2026, read one by one; a review can carry several causes.</w:t>
      </w:r>
    </w:p>
    <w:p>
      <w:r>
        <w:rPr>
          <w:rStyle w:val="FieldLabel"/>
        </w:rPr>
        <w:t>Table:</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rPr>
          <w:tblHeader w:val="true"/>
        </w:trPr>
        <w:tc>
          <w:tcPr>
            <w:tcW w:type="dxa" w:w="8752"/>
            <w:shd w:val="clear" w:color="auto" w:fill="F3F3F3"/>
          </w:tcPr>
          <w:p>
            <w:pPr>
              <w:spacing w:after="0"/>
            </w:pPr>
            <w:r>
              <w:rPr>
                <w:b/>
                <w:sz w:val="18"/>
              </w:rPr>
              <w:t>Cause</w:t>
            </w:r>
          </w:p>
        </w:tc>
        <w:tc>
          <w:tcPr>
            <w:tcW w:type="dxa" w:w="1604"/>
            <w:shd w:val="clear" w:color="auto" w:fill="F3F3F3"/>
          </w:tcPr>
          <w:p>
            <w:pPr>
              <w:spacing w:after="0"/>
            </w:pPr>
            <w:r>
              <w:rPr>
                <w:b/>
                <w:sz w:val="18"/>
              </w:rPr>
              <w:t>Google Play</w:t>
            </w:r>
          </w:p>
        </w:tc>
        <w:tc>
          <w:tcPr>
            <w:tcW w:type="dxa" w:w="1313"/>
            <w:shd w:val="clear" w:color="auto" w:fill="F3F3F3"/>
          </w:tcPr>
          <w:p>
            <w:pPr>
              <w:spacing w:after="0"/>
            </w:pPr>
            <w:r>
              <w:rPr>
                <w:b/>
                <w:sz w:val="18"/>
              </w:rPr>
              <w:t>App Store</w:t>
            </w:r>
          </w:p>
        </w:tc>
        <w:tc>
          <w:tcPr>
            <w:tcW w:type="dxa" w:w="1604"/>
            <w:shd w:val="clear" w:color="auto" w:fill="F3F3F3"/>
          </w:tcPr>
          <w:p>
            <w:pPr>
              <w:spacing w:after="0"/>
            </w:pPr>
            <w:r>
              <w:rPr>
                <w:b/>
                <w:sz w:val="18"/>
              </w:rPr>
              <w:t>Both stores</w:t>
            </w:r>
          </w:p>
        </w:tc>
        <w:tc>
          <w:tcPr>
            <w:tcW w:type="dxa" w:w="1750"/>
            <w:shd w:val="clear" w:color="auto" w:fill="F3F3F3"/>
          </w:tcPr>
          <w:p>
            <w:pPr>
              <w:spacing w:after="0"/>
            </w:pPr>
            <w:r>
              <w:rPr>
                <w:b/>
                <w:sz w:val="18"/>
              </w:rPr>
              <w:t>95% interval</w:t>
            </w:r>
          </w:p>
        </w:tc>
      </w:tr>
      <w:tr>
        <w:tc>
          <w:tcPr>
            <w:tcW w:type="dxa" w:w="8752"/>
          </w:tcPr>
          <w:p>
            <w:pPr>
              <w:spacing w:after="0"/>
            </w:pPr>
            <w:r>
              <w:rPr>
                <w:sz w:val="18"/>
              </w:rPr>
              <w:t>Login, OTP and authentication</w:t>
            </w:r>
          </w:p>
        </w:tc>
        <w:tc>
          <w:tcPr>
            <w:tcW w:type="dxa" w:w="1604"/>
          </w:tcPr>
          <w:p>
            <w:pPr>
              <w:spacing w:after="0"/>
            </w:pPr>
            <w:r>
              <w:rPr>
                <w:sz w:val="18"/>
              </w:rPr>
              <w:t>3 (9%)</w:t>
            </w:r>
          </w:p>
        </w:tc>
        <w:tc>
          <w:tcPr>
            <w:tcW w:type="dxa" w:w="1313"/>
          </w:tcPr>
          <w:p>
            <w:pPr>
              <w:spacing w:after="0"/>
            </w:pPr>
            <w:r>
              <w:rPr>
                <w:sz w:val="18"/>
              </w:rPr>
              <w:t>5 (21%)</w:t>
            </w:r>
          </w:p>
        </w:tc>
        <w:tc>
          <w:tcPr>
            <w:tcW w:type="dxa" w:w="1604"/>
          </w:tcPr>
          <w:p>
            <w:pPr>
              <w:spacing w:after="0"/>
            </w:pPr>
            <w:r>
              <w:rPr>
                <w:sz w:val="18"/>
              </w:rPr>
              <w:t>8 (14%)</w:t>
            </w:r>
          </w:p>
        </w:tc>
        <w:tc>
          <w:tcPr>
            <w:tcW w:type="dxa" w:w="1750"/>
          </w:tcPr>
          <w:p>
            <w:pPr>
              <w:spacing w:after="0"/>
            </w:pPr>
            <w:r>
              <w:rPr>
                <w:sz w:val="18"/>
              </w:rPr>
              <w:t>7.2–24.9%</w:t>
            </w:r>
          </w:p>
        </w:tc>
      </w:tr>
      <w:tr>
        <w:tc>
          <w:tcPr>
            <w:tcW w:type="dxa" w:w="8752"/>
          </w:tcPr>
          <w:p>
            <w:pPr>
              <w:spacing w:after="0"/>
            </w:pPr>
            <w:r>
              <w:rPr>
                <w:sz w:val="18"/>
              </w:rPr>
              <w:t>Deposits or withdrawals not credited</w:t>
            </w:r>
          </w:p>
        </w:tc>
        <w:tc>
          <w:tcPr>
            <w:tcW w:type="dxa" w:w="1604"/>
          </w:tcPr>
          <w:p>
            <w:pPr>
              <w:spacing w:after="0"/>
            </w:pPr>
            <w:r>
              <w:rPr>
                <w:sz w:val="18"/>
              </w:rPr>
              <w:t>4 (12%)</w:t>
            </w:r>
          </w:p>
        </w:tc>
        <w:tc>
          <w:tcPr>
            <w:tcW w:type="dxa" w:w="1313"/>
          </w:tcPr>
          <w:p>
            <w:pPr>
              <w:spacing w:after="0"/>
            </w:pPr>
            <w:r>
              <w:rPr>
                <w:sz w:val="18"/>
              </w:rPr>
              <w:t>6 (25%)</w:t>
            </w:r>
          </w:p>
        </w:tc>
        <w:tc>
          <w:tcPr>
            <w:tcW w:type="dxa" w:w="1604"/>
          </w:tcPr>
          <w:p>
            <w:pPr>
              <w:spacing w:after="0"/>
            </w:pPr>
            <w:r>
              <w:rPr>
                <w:sz w:val="18"/>
              </w:rPr>
              <w:t>10 (17%)</w:t>
            </w:r>
          </w:p>
        </w:tc>
        <w:tc>
          <w:tcPr>
            <w:tcW w:type="dxa" w:w="1750"/>
          </w:tcPr>
          <w:p>
            <w:pPr>
              <w:spacing w:after="0"/>
            </w:pPr>
            <w:r>
              <w:rPr>
                <w:sz w:val="18"/>
              </w:rPr>
              <w:t>9.6–28.9%</w:t>
            </w:r>
          </w:p>
        </w:tc>
      </w:tr>
      <w:tr>
        <w:tc>
          <w:tcPr>
            <w:tcW w:type="dxa" w:w="8752"/>
          </w:tcPr>
          <w:p>
            <w:pPr>
              <w:spacing w:after="0"/>
            </w:pPr>
            <w:r>
              <w:rPr>
                <w:sz w:val="18"/>
              </w:rPr>
              <w:t>Orders, prices and settlement</w:t>
            </w:r>
          </w:p>
        </w:tc>
        <w:tc>
          <w:tcPr>
            <w:tcW w:type="dxa" w:w="1604"/>
          </w:tcPr>
          <w:p>
            <w:pPr>
              <w:spacing w:after="0"/>
            </w:pPr>
            <w:r>
              <w:rPr>
                <w:sz w:val="18"/>
              </w:rPr>
              <w:t>6 (18%)</w:t>
            </w:r>
          </w:p>
        </w:tc>
        <w:tc>
          <w:tcPr>
            <w:tcW w:type="dxa" w:w="1313"/>
          </w:tcPr>
          <w:p>
            <w:pPr>
              <w:spacing w:after="0"/>
            </w:pPr>
            <w:r>
              <w:rPr>
                <w:sz w:val="18"/>
              </w:rPr>
              <w:t>5 (21%)</w:t>
            </w:r>
          </w:p>
        </w:tc>
        <w:tc>
          <w:tcPr>
            <w:tcW w:type="dxa" w:w="1604"/>
          </w:tcPr>
          <w:p>
            <w:pPr>
              <w:spacing w:after="0"/>
            </w:pPr>
            <w:r>
              <w:rPr>
                <w:sz w:val="18"/>
              </w:rPr>
              <w:t>11 (19%)</w:t>
            </w:r>
          </w:p>
        </w:tc>
        <w:tc>
          <w:tcPr>
            <w:tcW w:type="dxa" w:w="1750"/>
          </w:tcPr>
          <w:p>
            <w:pPr>
              <w:spacing w:after="0"/>
            </w:pPr>
            <w:r>
              <w:rPr>
                <w:sz w:val="18"/>
              </w:rPr>
              <w:t>10.9–30.9%</w:t>
            </w:r>
          </w:p>
        </w:tc>
      </w:tr>
      <w:tr>
        <w:tc>
          <w:tcPr>
            <w:tcW w:type="dxa" w:w="8752"/>
          </w:tcPr>
          <w:p>
            <w:pPr>
              <w:spacing w:after="0"/>
            </w:pPr>
            <w:r>
              <w:rPr>
                <w:sz w:val="18"/>
              </w:rPr>
              <w:t>Crashes, freezes and lag</w:t>
            </w:r>
          </w:p>
        </w:tc>
        <w:tc>
          <w:tcPr>
            <w:tcW w:type="dxa" w:w="1604"/>
          </w:tcPr>
          <w:p>
            <w:pPr>
              <w:spacing w:after="0"/>
            </w:pPr>
            <w:r>
              <w:rPr>
                <w:sz w:val="18"/>
              </w:rPr>
              <w:t>15 (44%)</w:t>
            </w:r>
          </w:p>
        </w:tc>
        <w:tc>
          <w:tcPr>
            <w:tcW w:type="dxa" w:w="1313"/>
          </w:tcPr>
          <w:p>
            <w:pPr>
              <w:spacing w:after="0"/>
            </w:pPr>
            <w:r>
              <w:rPr>
                <w:sz w:val="18"/>
              </w:rPr>
              <w:t>11 (46%)</w:t>
            </w:r>
          </w:p>
        </w:tc>
        <w:tc>
          <w:tcPr>
            <w:tcW w:type="dxa" w:w="1604"/>
          </w:tcPr>
          <w:p>
            <w:pPr>
              <w:spacing w:after="0"/>
            </w:pPr>
            <w:r>
              <w:rPr>
                <w:sz w:val="18"/>
              </w:rPr>
              <w:t>26 (45%)</w:t>
            </w:r>
          </w:p>
        </w:tc>
        <w:tc>
          <w:tcPr>
            <w:tcW w:type="dxa" w:w="1750"/>
          </w:tcPr>
          <w:p>
            <w:pPr>
              <w:spacing w:after="0"/>
            </w:pPr>
            <w:r>
              <w:rPr>
                <w:sz w:val="18"/>
              </w:rPr>
              <w:t>32.7–57.5%</w:t>
            </w:r>
          </w:p>
        </w:tc>
      </w:tr>
      <w:tr>
        <w:tc>
          <w:tcPr>
            <w:tcW w:type="dxa" w:w="8752"/>
          </w:tcPr>
          <w:p>
            <w:pPr>
              <w:spacing w:after="0"/>
            </w:pPr>
            <w:r>
              <w:rPr>
                <w:sz w:val="18"/>
              </w:rPr>
              <w:t>eKYC and account opening</w:t>
            </w:r>
          </w:p>
        </w:tc>
        <w:tc>
          <w:tcPr>
            <w:tcW w:type="dxa" w:w="1604"/>
          </w:tcPr>
          <w:p>
            <w:pPr>
              <w:spacing w:after="0"/>
            </w:pPr>
            <w:r>
              <w:rPr>
                <w:sz w:val="18"/>
              </w:rPr>
              <w:t>5 (15%)</w:t>
            </w:r>
          </w:p>
        </w:tc>
        <w:tc>
          <w:tcPr>
            <w:tcW w:type="dxa" w:w="1313"/>
          </w:tcPr>
          <w:p>
            <w:pPr>
              <w:spacing w:after="0"/>
            </w:pPr>
            <w:r>
              <w:rPr>
                <w:sz w:val="18"/>
              </w:rPr>
              <w:t>5 (21%)</w:t>
            </w:r>
          </w:p>
        </w:tc>
        <w:tc>
          <w:tcPr>
            <w:tcW w:type="dxa" w:w="1604"/>
          </w:tcPr>
          <w:p>
            <w:pPr>
              <w:spacing w:after="0"/>
            </w:pPr>
            <w:r>
              <w:rPr>
                <w:sz w:val="18"/>
              </w:rPr>
              <w:t>10 (17%)</w:t>
            </w:r>
          </w:p>
        </w:tc>
        <w:tc>
          <w:tcPr>
            <w:tcW w:type="dxa" w:w="1750"/>
          </w:tcPr>
          <w:p>
            <w:pPr>
              <w:spacing w:after="0"/>
            </w:pPr>
            <w:r>
              <w:rPr>
                <w:sz w:val="18"/>
              </w:rPr>
              <w:t>9.6–28.9%</w:t>
            </w:r>
          </w:p>
        </w:tc>
      </w:tr>
      <w:tr>
        <w:tc>
          <w:tcPr>
            <w:tcW w:type="dxa" w:w="8752"/>
          </w:tcPr>
          <w:p>
            <w:pPr>
              <w:spacing w:after="0"/>
            </w:pPr>
            <w:r>
              <w:rPr>
                <w:sz w:val="18"/>
              </w:rPr>
              <w:t>Fees and terms (closure, auto-renewal)</w:t>
            </w:r>
          </w:p>
        </w:tc>
        <w:tc>
          <w:tcPr>
            <w:tcW w:type="dxa" w:w="1604"/>
          </w:tcPr>
          <w:p>
            <w:pPr>
              <w:spacing w:after="0"/>
            </w:pPr>
            <w:r>
              <w:rPr>
                <w:sz w:val="18"/>
              </w:rPr>
              <w:t>3 (9%)</w:t>
            </w:r>
          </w:p>
        </w:tc>
        <w:tc>
          <w:tcPr>
            <w:tcW w:type="dxa" w:w="1313"/>
          </w:tcPr>
          <w:p>
            <w:pPr>
              <w:spacing w:after="0"/>
            </w:pPr>
            <w:r>
              <w:rPr>
                <w:sz w:val="18"/>
              </w:rPr>
              <w:t>3 (12%)</w:t>
            </w:r>
          </w:p>
        </w:tc>
        <w:tc>
          <w:tcPr>
            <w:tcW w:type="dxa" w:w="1604"/>
          </w:tcPr>
          <w:p>
            <w:pPr>
              <w:spacing w:after="0"/>
            </w:pPr>
            <w:r>
              <w:rPr>
                <w:sz w:val="18"/>
              </w:rPr>
              <w:t>6 (10%)</w:t>
            </w:r>
          </w:p>
        </w:tc>
        <w:tc>
          <w:tcPr>
            <w:tcW w:type="dxa" w:w="1750"/>
          </w:tcPr>
          <w:p>
            <w:pPr>
              <w:spacing w:after="0"/>
            </w:pPr>
            <w:r>
              <w:rPr>
                <w:sz w:val="18"/>
              </w:rPr>
              <w:t>4.8–20.8%</w:t>
            </w:r>
          </w:p>
        </w:tc>
      </w:tr>
      <w:tr>
        <w:tc>
          <w:tcPr>
            <w:tcW w:type="dxa" w:w="8752"/>
          </w:tcPr>
          <w:p>
            <w:pPr>
              <w:spacing w:after="0"/>
            </w:pPr>
            <w:r>
              <w:rPr>
                <w:sz w:val="18"/>
              </w:rPr>
              <w:t>Scam claims and rewards</w:t>
            </w:r>
          </w:p>
        </w:tc>
        <w:tc>
          <w:tcPr>
            <w:tcW w:type="dxa" w:w="1604"/>
          </w:tcPr>
          <w:p>
            <w:pPr>
              <w:spacing w:after="0"/>
            </w:pPr>
            <w:r>
              <w:rPr>
                <w:sz w:val="18"/>
              </w:rPr>
              <w:t>4 (12%)</w:t>
            </w:r>
          </w:p>
        </w:tc>
        <w:tc>
          <w:tcPr>
            <w:tcW w:type="dxa" w:w="1313"/>
          </w:tcPr>
          <w:p>
            <w:pPr>
              <w:spacing w:after="0"/>
            </w:pPr>
            <w:r>
              <w:rPr>
                <w:sz w:val="18"/>
              </w:rPr>
              <w:t>3 (12%)</w:t>
            </w:r>
          </w:p>
        </w:tc>
        <w:tc>
          <w:tcPr>
            <w:tcW w:type="dxa" w:w="1604"/>
          </w:tcPr>
          <w:p>
            <w:pPr>
              <w:spacing w:after="0"/>
            </w:pPr>
            <w:r>
              <w:rPr>
                <w:sz w:val="18"/>
              </w:rPr>
              <w:t>7 (12%)</w:t>
            </w:r>
          </w:p>
        </w:tc>
        <w:tc>
          <w:tcPr>
            <w:tcW w:type="dxa" w:w="1750"/>
          </w:tcPr>
          <w:p>
            <w:pPr>
              <w:spacing w:after="0"/>
            </w:pPr>
            <w:r>
              <w:rPr>
                <w:sz w:val="18"/>
              </w:rPr>
              <w:t>6.0–22.9%</w:t>
            </w:r>
          </w:p>
        </w:tc>
      </w:tr>
      <w:tr>
        <w:tc>
          <w:tcPr>
            <w:tcW w:type="dxa" w:w="8752"/>
          </w:tcPr>
          <w:p>
            <w:pPr>
              <w:spacing w:after="0"/>
            </w:pPr>
            <w:r>
              <w:rPr>
                <w:sz w:val="18"/>
              </w:rPr>
              <w:t>Other (service, interface, Ensa, no reason)</w:t>
            </w:r>
          </w:p>
        </w:tc>
        <w:tc>
          <w:tcPr>
            <w:tcW w:type="dxa" w:w="1604"/>
          </w:tcPr>
          <w:p>
            <w:pPr>
              <w:spacing w:after="0"/>
            </w:pPr>
            <w:r>
              <w:rPr>
                <w:sz w:val="18"/>
              </w:rPr>
              <w:t>6 (18%)</w:t>
            </w:r>
          </w:p>
        </w:tc>
        <w:tc>
          <w:tcPr>
            <w:tcW w:type="dxa" w:w="1313"/>
          </w:tcPr>
          <w:p>
            <w:pPr>
              <w:spacing w:after="0"/>
            </w:pPr>
            <w:r>
              <w:rPr>
                <w:sz w:val="18"/>
              </w:rPr>
              <w:t>7 (29%)</w:t>
            </w:r>
          </w:p>
        </w:tc>
        <w:tc>
          <w:tcPr>
            <w:tcW w:type="dxa" w:w="1604"/>
          </w:tcPr>
          <w:p>
            <w:pPr>
              <w:spacing w:after="0"/>
            </w:pPr>
            <w:r>
              <w:rPr>
                <w:sz w:val="18"/>
              </w:rPr>
              <w:t>13 (22%)</w:t>
            </w:r>
          </w:p>
        </w:tc>
        <w:tc>
          <w:tcPr>
            <w:tcW w:type="dxa" w:w="1750"/>
          </w:tcPr>
          <w:p>
            <w:pPr>
              <w:spacing w:after="0"/>
            </w:pPr>
            <w:r>
              <w:rPr>
                <w:sz w:val="18"/>
              </w:rPr>
              <w:t>13.6–34.7%</w:t>
            </w:r>
          </w:p>
        </w:tc>
      </w:tr>
      <w:tr>
        <w:tc>
          <w:tcPr>
            <w:tcW w:type="dxa" w:w="8752"/>
          </w:tcPr>
          <w:p>
            <w:pPr>
              <w:spacing w:after="0"/>
            </w:pPr>
            <w:r>
              <w:rPr>
                <w:sz w:val="18"/>
              </w:rPr>
              <w:t>Something broke (any of the first five causes)</w:t>
            </w:r>
          </w:p>
        </w:tc>
        <w:tc>
          <w:tcPr>
            <w:tcW w:type="dxa" w:w="1604"/>
          </w:tcPr>
          <w:p>
            <w:pPr>
              <w:spacing w:after="0"/>
            </w:pPr>
            <w:r>
              <w:rPr>
                <w:sz w:val="18"/>
              </w:rPr>
              <w:t>28 (82%)</w:t>
            </w:r>
          </w:p>
        </w:tc>
        <w:tc>
          <w:tcPr>
            <w:tcW w:type="dxa" w:w="1313"/>
          </w:tcPr>
          <w:p>
            <w:pPr>
              <w:spacing w:after="0"/>
            </w:pPr>
            <w:r>
              <w:rPr>
                <w:sz w:val="18"/>
              </w:rPr>
              <w:t>20 (83%)</w:t>
            </w:r>
          </w:p>
        </w:tc>
        <w:tc>
          <w:tcPr>
            <w:tcW w:type="dxa" w:w="1604"/>
          </w:tcPr>
          <w:p>
            <w:pPr>
              <w:spacing w:after="0"/>
            </w:pPr>
            <w:r>
              <w:rPr>
                <w:sz w:val="18"/>
              </w:rPr>
              <w:t>48 (83%)</w:t>
            </w:r>
          </w:p>
        </w:tc>
        <w:tc>
          <w:tcPr>
            <w:tcW w:type="dxa" w:w="1750"/>
          </w:tcPr>
          <w:p>
            <w:pPr>
              <w:spacing w:after="0"/>
            </w:pPr>
            <w:r>
              <w:rPr>
                <w:sz w:val="18"/>
              </w:rPr>
              <w:t>71.1–90.4%</w:t>
            </w:r>
          </w:p>
        </w:tc>
      </w:tr>
      <w:tr>
        <w:tc>
          <w:tcPr>
            <w:tcW w:type="dxa" w:w="8752"/>
          </w:tcPr>
          <w:p>
            <w:pPr>
              <w:spacing w:after="0"/>
            </w:pPr>
            <w:r>
              <w:rPr>
                <w:sz w:val="18"/>
              </w:rPr>
              <w:t>Fees, terms, scam claims or rewards</w:t>
            </w:r>
          </w:p>
        </w:tc>
        <w:tc>
          <w:tcPr>
            <w:tcW w:type="dxa" w:w="1604"/>
          </w:tcPr>
          <w:p>
            <w:pPr>
              <w:spacing w:after="0"/>
            </w:pPr>
            <w:r>
              <w:rPr>
                <w:sz w:val="18"/>
              </w:rPr>
              <w:t>6 (18%)</w:t>
            </w:r>
          </w:p>
        </w:tc>
        <w:tc>
          <w:tcPr>
            <w:tcW w:type="dxa" w:w="1313"/>
          </w:tcPr>
          <w:p>
            <w:pPr>
              <w:spacing w:after="0"/>
            </w:pPr>
            <w:r>
              <w:rPr>
                <w:sz w:val="18"/>
              </w:rPr>
              <w:t>5 (21%)</w:t>
            </w:r>
          </w:p>
        </w:tc>
        <w:tc>
          <w:tcPr>
            <w:tcW w:type="dxa" w:w="1604"/>
          </w:tcPr>
          <w:p>
            <w:pPr>
              <w:spacing w:after="0"/>
            </w:pPr>
            <w:r>
              <w:rPr>
                <w:sz w:val="18"/>
              </w:rPr>
              <w:t>11 (19%)</w:t>
            </w:r>
          </w:p>
        </w:tc>
        <w:tc>
          <w:tcPr>
            <w:tcW w:type="dxa" w:w="1750"/>
          </w:tcPr>
          <w:p>
            <w:pPr>
              <w:spacing w:after="0"/>
            </w:pPr>
            <w:r>
              <w:rPr>
                <w:sz w:val="18"/>
              </w:rPr>
              <w:t>10.9–30.9%</w:t>
            </w:r>
          </w:p>
        </w:tc>
      </w:tr>
      <w:tr>
        <w:tc>
          <w:tcPr>
            <w:tcW w:type="dxa" w:w="8752"/>
          </w:tcPr>
          <w:p>
            <w:pPr>
              <w:spacing w:after="0"/>
            </w:pPr>
            <w:r>
              <w:rPr>
                <w:sz w:val="18"/>
              </w:rPr>
              <w:t>Login/OTP failures or money not credited</w:t>
            </w:r>
          </w:p>
        </w:tc>
        <w:tc>
          <w:tcPr>
            <w:tcW w:type="dxa" w:w="1604"/>
          </w:tcPr>
          <w:p>
            <w:pPr>
              <w:spacing w:after="0"/>
            </w:pPr>
            <w:r>
              <w:rPr>
                <w:sz w:val="18"/>
              </w:rPr>
              <w:t>7 (21%)</w:t>
            </w:r>
          </w:p>
        </w:tc>
        <w:tc>
          <w:tcPr>
            <w:tcW w:type="dxa" w:w="1313"/>
          </w:tcPr>
          <w:p>
            <w:pPr>
              <w:spacing w:after="0"/>
            </w:pPr>
            <w:r>
              <w:rPr>
                <w:sz w:val="18"/>
              </w:rPr>
              <w:t>10 (42%)</w:t>
            </w:r>
          </w:p>
        </w:tc>
        <w:tc>
          <w:tcPr>
            <w:tcW w:type="dxa" w:w="1604"/>
          </w:tcPr>
          <w:p>
            <w:pPr>
              <w:spacing w:after="0"/>
            </w:pPr>
            <w:r>
              <w:rPr>
                <w:sz w:val="18"/>
              </w:rPr>
              <w:t>17 (29%)</w:t>
            </w:r>
          </w:p>
        </w:tc>
        <w:tc>
          <w:tcPr>
            <w:tcW w:type="dxa" w:w="1750"/>
          </w:tcPr>
          <w:p>
            <w:pPr>
              <w:spacing w:after="0"/>
            </w:pPr>
            <w:r>
              <w:rPr>
                <w:sz w:val="18"/>
              </w:rPr>
              <w:t>19.2–42.0%</w:t>
            </w:r>
          </w:p>
        </w:tc>
      </w:tr>
      <w:tr>
        <w:tc>
          <w:tcPr>
            <w:tcW w:type="dxa" w:w="8752"/>
          </w:tcPr>
          <w:p>
            <w:pPr>
              <w:spacing w:after="0"/>
            </w:pPr>
            <w:r>
              <w:rPr>
                <w:sz w:val="18"/>
              </w:rPr>
              <w:t>Posted 4-5 March 2026, after the outage DNSE disclosed for 4 March</w:t>
            </w:r>
          </w:p>
        </w:tc>
        <w:tc>
          <w:tcPr>
            <w:tcW w:type="dxa" w:w="1604"/>
          </w:tcPr>
          <w:p>
            <w:pPr>
              <w:spacing w:after="0"/>
            </w:pPr>
            <w:r>
              <w:rPr>
                <w:sz w:val="18"/>
              </w:rPr>
              <w:t>4 (12%)</w:t>
            </w:r>
          </w:p>
        </w:tc>
        <w:tc>
          <w:tcPr>
            <w:tcW w:type="dxa" w:w="1313"/>
          </w:tcPr>
          <w:p>
            <w:pPr>
              <w:spacing w:after="0"/>
            </w:pPr>
            <w:r>
              <w:rPr>
                <w:sz w:val="18"/>
              </w:rPr>
              <w:t>5 (21%)</w:t>
            </w:r>
          </w:p>
        </w:tc>
        <w:tc>
          <w:tcPr>
            <w:tcW w:type="dxa" w:w="1604"/>
          </w:tcPr>
          <w:p>
            <w:pPr>
              <w:spacing w:after="0"/>
            </w:pPr>
            <w:r>
              <w:rPr>
                <w:sz w:val="18"/>
              </w:rPr>
              <w:t>9 (16%)</w:t>
            </w:r>
          </w:p>
        </w:tc>
        <w:tc>
          <w:tcPr>
            <w:tcW w:type="dxa" w:w="1750"/>
          </w:tcPr>
          <w:p>
            <w:pPr>
              <w:spacing w:after="0"/>
            </w:pPr>
            <w:r>
              <w:rPr>
                <w:sz w:val="18"/>
              </w:rPr>
              <w:t>8.4–26.9%</w:t>
            </w:r>
          </w:p>
        </w:tc>
      </w:tr>
      <w:tr>
        <w:tc>
          <w:tcPr>
            <w:tcW w:type="dxa" w:w="8752"/>
          </w:tcPr>
          <w:p>
            <w:pPr>
              <w:spacing w:after="0"/>
            </w:pPr>
            <w:r>
              <w:rPr>
                <w:sz w:val="18"/>
              </w:rPr>
              <w:t>Blames an app update</w:t>
            </w:r>
          </w:p>
        </w:tc>
        <w:tc>
          <w:tcPr>
            <w:tcW w:type="dxa" w:w="1604"/>
          </w:tcPr>
          <w:p>
            <w:pPr>
              <w:spacing w:after="0"/>
            </w:pPr>
            <w:r>
              <w:rPr>
                <w:sz w:val="18"/>
              </w:rPr>
              <w:t>2 (6%)</w:t>
            </w:r>
          </w:p>
        </w:tc>
        <w:tc>
          <w:tcPr>
            <w:tcW w:type="dxa" w:w="1313"/>
          </w:tcPr>
          <w:p>
            <w:pPr>
              <w:spacing w:after="0"/>
            </w:pPr>
            <w:r>
              <w:rPr>
                <w:sz w:val="18"/>
              </w:rPr>
              <w:t>3 (12%)</w:t>
            </w:r>
          </w:p>
        </w:tc>
        <w:tc>
          <w:tcPr>
            <w:tcW w:type="dxa" w:w="1604"/>
          </w:tcPr>
          <w:p>
            <w:pPr>
              <w:spacing w:after="0"/>
            </w:pPr>
            <w:r>
              <w:rPr>
                <w:sz w:val="18"/>
              </w:rPr>
              <w:t>5 (9%)</w:t>
            </w:r>
          </w:p>
        </w:tc>
        <w:tc>
          <w:tcPr>
            <w:tcW w:type="dxa" w:w="1750"/>
          </w:tcPr>
          <w:p>
            <w:pPr>
              <w:spacing w:after="0"/>
            </w:pPr>
            <w:r>
              <w:rPr>
                <w:sz w:val="18"/>
              </w:rPr>
              <w:t>3.7–18.6%</w:t>
            </w:r>
          </w:p>
        </w:tc>
      </w:tr>
      <w:tr>
        <w:tc>
          <w:tcPr>
            <w:tcW w:type="dxa" w:w="8752"/>
          </w:tcPr>
          <w:p>
            <w:pPr>
              <w:spacing w:after="0"/>
            </w:pPr>
            <w:r>
              <w:rPr>
                <w:sz w:val="18"/>
              </w:rPr>
              <w:t>Negative reviews coded</w:t>
            </w:r>
          </w:p>
        </w:tc>
        <w:tc>
          <w:tcPr>
            <w:tcW w:type="dxa" w:w="1604"/>
          </w:tcPr>
          <w:p>
            <w:pPr>
              <w:spacing w:after="0"/>
            </w:pPr>
            <w:r>
              <w:rPr>
                <w:sz w:val="18"/>
              </w:rPr>
              <w:t>34</w:t>
            </w:r>
          </w:p>
        </w:tc>
        <w:tc>
          <w:tcPr>
            <w:tcW w:type="dxa" w:w="1313"/>
          </w:tcPr>
          <w:p>
            <w:pPr>
              <w:spacing w:after="0"/>
            </w:pPr>
            <w:r>
              <w:rPr>
                <w:sz w:val="18"/>
              </w:rPr>
              <w:t>24</w:t>
            </w:r>
          </w:p>
        </w:tc>
        <w:tc>
          <w:tcPr>
            <w:tcW w:type="dxa" w:w="1604"/>
          </w:tcPr>
          <w:p>
            <w:pPr>
              <w:spacing w:after="0"/>
            </w:pPr>
            <w:r>
              <w:rPr>
                <w:sz w:val="18"/>
              </w:rPr>
              <w:t>58</w:t>
            </w:r>
          </w:p>
        </w:tc>
        <w:tc>
          <w:tcPr>
            <w:tcW w:type="dxa" w:w="1750"/>
          </w:tcPr>
          <w:p>
            <w:pPr>
              <w:spacing w:after="0"/>
            </w:pPr>
          </w:p>
        </w:tc>
      </w:tr>
    </w:tbl>
    <w:p/>
    <w:p>
      <w:pPr>
        <w:pStyle w:val="SourceLine"/>
      </w:pPr>
      <w:r>
        <w:t xml:space="preserve">CSV: </w:t>
      </w:r>
      <w:r>
        <w:rPr>
          <w:rFonts w:ascii="Consolas" w:hAnsi="Consolas"/>
          <w:color w:val="6B6B6B"/>
          <w:sz w:val="18"/>
        </w:rPr>
        <w:t>outputs/round3/tables/appD1_review_causes.csv</w:t>
      </w:r>
      <w:r>
        <w:t>.</w:t>
      </w:r>
    </w:p>
    <w:p>
      <w:r>
        <w:rPr>
          <w:rStyle w:val="FieldLabel"/>
        </w:rPr>
        <w:t>Figure:</w:t>
      </w:r>
      <w:r>
        <w:t xml:space="preserve"> </w:t>
      </w:r>
      <w:r>
        <w:rPr>
          <w:rFonts w:ascii="Consolas" w:hAnsi="Consolas"/>
          <w:color w:val="6B6B6B"/>
          <w:sz w:val="18"/>
        </w:rPr>
        <w:t>outputs/round3/figures/reviews_2026_causes.png</w:t>
      </w:r>
      <w:r>
        <w:t>.</w:t>
      </w:r>
    </w:p>
    <w:p>
      <w:r>
        <w:drawing>
          <wp:inline xmlns:a="http://schemas.openxmlformats.org/drawingml/2006/main" xmlns:pic="http://schemas.openxmlformats.org/drawingml/2006/picture">
            <wp:extent cx="4680000" cy="3510000"/>
            <wp:docPr id="16" name="Picture 16"/>
            <wp:cNvGraphicFramePr>
              <a:graphicFrameLocks noChangeAspect="1"/>
            </wp:cNvGraphicFramePr>
            <a:graphic>
              <a:graphicData uri="http://schemas.openxmlformats.org/drawingml/2006/picture">
                <pic:pic>
                  <pic:nvPicPr>
                    <pic:cNvPr id="0" name="reviews_2026_causes.png"/>
                    <pic:cNvPicPr/>
                  </pic:nvPicPr>
                  <pic:blipFill>
                    <a:blip r:embed="rId11"/>
                    <a:stretch>
                      <a:fillRect/>
                    </a:stretch>
                  </pic:blipFill>
                  <pic:spPr>
                    <a:xfrm>
                      <a:off x="0" y="0"/>
                      <a:ext cx="4680000" cy="3510000"/>
                    </a:xfrm>
                    <a:prstGeom prst="rect"/>
                  </pic:spPr>
                </pic:pic>
              </a:graphicData>
            </a:graphic>
          </wp:inline>
        </w:drawing>
      </w:r>
    </w:p>
    <w:p>
      <w:pPr>
        <w:pStyle w:val="SourceLine"/>
      </w:pPr>
      <w:r>
        <w:t>Caption: Causes in 58 negative reviews of DNSE's app, January to September 2026.</w:t>
      </w:r>
    </w:p>
    <w:p>
      <w:pPr>
        <w:pStyle w:val="SourceLine"/>
      </w:pPr>
      <w:r>
        <w:t>Source: Google Play; App Store; authors' coding of each review.</w:t>
      </w:r>
    </w:p>
    <w:p>
      <w:r>
        <w:br w:type="page"/>
      </w:r>
    </w:p>
    <w:p>
      <w:pPr>
        <w:pStyle w:val="Heading3"/>
      </w:pPr>
      <w:r>
        <w:t>D2. Timing and the 2025 comparison</w:t>
      </w:r>
    </w:p>
    <w:p>
      <w:r>
        <w:rPr>
          <w:rStyle w:val="FieldLabel"/>
        </w:rPr>
        <w:t>Title:</w:t>
      </w:r>
      <w:r>
        <w:t xml:space="preserve"> </w:t>
      </w:r>
      <w:r>
        <w:t>March 2026 holds 17 of the 58 reviews, after the 4 March outage</w:t>
      </w:r>
    </w:p>
    <w:p>
      <w:r>
        <w:rPr>
          <w:rStyle w:val="FieldLabel"/>
        </w:rPr>
        <w:t>Text:</w:t>
      </w:r>
    </w:p>
    <w:p>
      <w:pPr>
        <w:pStyle w:val="ListBullet"/>
      </w:pPr>
      <w:r>
        <w:t>9 reviews were posted on 4–5 March, after the outage DNSE disclosed; 7 App Store reviews name version 2.113.28.</w:t>
      </w:r>
    </w:p>
    <w:p>
      <w:pPr>
        <w:pStyle w:val="ListBullet"/>
      </w:pPr>
      <w:r>
        <w:t>By the Round 2 keyword rule, trust themes fell from 55% of negative Google Play reviews in H1 2025 to 15% in 2026.</w:t>
      </w:r>
    </w:p>
    <w:p>
      <w:r>
        <w:rPr>
          <w:rStyle w:val="FieldLabel"/>
        </w:rPr>
        <w:t>Table:</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1948"/>
            <w:shd w:val="clear" w:color="auto" w:fill="F3F3F3"/>
          </w:tcPr>
          <w:p>
            <w:pPr>
              <w:spacing w:after="0"/>
            </w:pPr>
            <w:r>
              <w:rPr>
                <w:b/>
                <w:sz w:val="18"/>
              </w:rPr>
              <w:t>Month</w:t>
            </w:r>
          </w:p>
        </w:tc>
        <w:tc>
          <w:tcPr>
            <w:tcW w:type="dxa" w:w="4451"/>
            <w:shd w:val="clear" w:color="auto" w:fill="F3F3F3"/>
          </w:tcPr>
          <w:p>
            <w:pPr>
              <w:spacing w:after="0"/>
            </w:pPr>
            <w:r>
              <w:rPr>
                <w:b/>
                <w:sz w:val="18"/>
              </w:rPr>
              <w:t>Negative reviews</w:t>
            </w:r>
          </w:p>
        </w:tc>
        <w:tc>
          <w:tcPr>
            <w:tcW w:type="dxa" w:w="4173"/>
            <w:shd w:val="clear" w:color="auto" w:fill="F3F3F3"/>
          </w:tcPr>
          <w:p>
            <w:pPr>
              <w:spacing w:after="0"/>
            </w:pPr>
            <w:r>
              <w:rPr>
                <w:b/>
                <w:sz w:val="18"/>
              </w:rPr>
              <w:t>Something broke</w:t>
            </w:r>
          </w:p>
        </w:tc>
        <w:tc>
          <w:tcPr>
            <w:tcW w:type="dxa" w:w="4451"/>
            <w:shd w:val="clear" w:color="auto" w:fill="F3F3F3"/>
          </w:tcPr>
          <w:p>
            <w:pPr>
              <w:spacing w:after="0"/>
            </w:pPr>
            <w:r>
              <w:rPr>
                <w:b/>
                <w:sz w:val="18"/>
              </w:rPr>
              <w:t>Posted 4–5 March</w:t>
            </w:r>
          </w:p>
        </w:tc>
      </w:tr>
      <w:tr>
        <w:tc>
          <w:tcPr>
            <w:tcW w:type="dxa" w:w="1948"/>
          </w:tcPr>
          <w:p>
            <w:pPr>
              <w:spacing w:after="0"/>
            </w:pPr>
            <w:r>
              <w:rPr>
                <w:sz w:val="18"/>
              </w:rPr>
              <w:t>2026-01</w:t>
            </w:r>
          </w:p>
        </w:tc>
        <w:tc>
          <w:tcPr>
            <w:tcW w:type="dxa" w:w="4451"/>
          </w:tcPr>
          <w:p>
            <w:pPr>
              <w:spacing w:after="0"/>
            </w:pPr>
            <w:r>
              <w:rPr>
                <w:sz w:val="18"/>
              </w:rPr>
              <w:t>7</w:t>
            </w:r>
          </w:p>
        </w:tc>
        <w:tc>
          <w:tcPr>
            <w:tcW w:type="dxa" w:w="4173"/>
          </w:tcPr>
          <w:p>
            <w:pPr>
              <w:spacing w:after="0"/>
            </w:pPr>
            <w:r>
              <w:rPr>
                <w:sz w:val="18"/>
              </w:rPr>
              <w:t>5</w:t>
            </w:r>
          </w:p>
        </w:tc>
        <w:tc>
          <w:tcPr>
            <w:tcW w:type="dxa" w:w="4451"/>
          </w:tcPr>
          <w:p>
            <w:pPr>
              <w:spacing w:after="0"/>
            </w:pPr>
            <w:r>
              <w:rPr>
                <w:sz w:val="18"/>
              </w:rPr>
              <w:t>0</w:t>
            </w:r>
          </w:p>
        </w:tc>
      </w:tr>
      <w:tr>
        <w:tc>
          <w:tcPr>
            <w:tcW w:type="dxa" w:w="1948"/>
          </w:tcPr>
          <w:p>
            <w:pPr>
              <w:spacing w:after="0"/>
            </w:pPr>
            <w:r>
              <w:rPr>
                <w:sz w:val="18"/>
              </w:rPr>
              <w:t>2026-02</w:t>
            </w:r>
          </w:p>
        </w:tc>
        <w:tc>
          <w:tcPr>
            <w:tcW w:type="dxa" w:w="4451"/>
          </w:tcPr>
          <w:p>
            <w:pPr>
              <w:spacing w:after="0"/>
            </w:pPr>
            <w:r>
              <w:rPr>
                <w:sz w:val="18"/>
              </w:rPr>
              <w:t>5</w:t>
            </w:r>
          </w:p>
        </w:tc>
        <w:tc>
          <w:tcPr>
            <w:tcW w:type="dxa" w:w="4173"/>
          </w:tcPr>
          <w:p>
            <w:pPr>
              <w:spacing w:after="0"/>
            </w:pPr>
            <w:r>
              <w:rPr>
                <w:sz w:val="18"/>
              </w:rPr>
              <w:t>5</w:t>
            </w:r>
          </w:p>
        </w:tc>
        <w:tc>
          <w:tcPr>
            <w:tcW w:type="dxa" w:w="4451"/>
          </w:tcPr>
          <w:p>
            <w:pPr>
              <w:spacing w:after="0"/>
            </w:pPr>
            <w:r>
              <w:rPr>
                <w:sz w:val="18"/>
              </w:rPr>
              <w:t>0</w:t>
            </w:r>
          </w:p>
        </w:tc>
      </w:tr>
      <w:tr>
        <w:tc>
          <w:tcPr>
            <w:tcW w:type="dxa" w:w="1948"/>
          </w:tcPr>
          <w:p>
            <w:pPr>
              <w:spacing w:after="0"/>
            </w:pPr>
            <w:r>
              <w:rPr>
                <w:sz w:val="18"/>
              </w:rPr>
              <w:t>2026-03</w:t>
            </w:r>
          </w:p>
        </w:tc>
        <w:tc>
          <w:tcPr>
            <w:tcW w:type="dxa" w:w="4451"/>
          </w:tcPr>
          <w:p>
            <w:pPr>
              <w:spacing w:after="0"/>
            </w:pPr>
            <w:r>
              <w:rPr>
                <w:sz w:val="18"/>
              </w:rPr>
              <w:t>17</w:t>
            </w:r>
          </w:p>
        </w:tc>
        <w:tc>
          <w:tcPr>
            <w:tcW w:type="dxa" w:w="4173"/>
          </w:tcPr>
          <w:p>
            <w:pPr>
              <w:spacing w:after="0"/>
            </w:pPr>
            <w:r>
              <w:rPr>
                <w:sz w:val="18"/>
              </w:rPr>
              <w:t>17</w:t>
            </w:r>
          </w:p>
        </w:tc>
        <w:tc>
          <w:tcPr>
            <w:tcW w:type="dxa" w:w="4451"/>
          </w:tcPr>
          <w:p>
            <w:pPr>
              <w:spacing w:after="0"/>
            </w:pPr>
            <w:r>
              <w:rPr>
                <w:sz w:val="18"/>
              </w:rPr>
              <w:t>9</w:t>
            </w:r>
          </w:p>
        </w:tc>
      </w:tr>
      <w:tr>
        <w:tc>
          <w:tcPr>
            <w:tcW w:type="dxa" w:w="1948"/>
          </w:tcPr>
          <w:p>
            <w:pPr>
              <w:spacing w:after="0"/>
            </w:pPr>
            <w:r>
              <w:rPr>
                <w:sz w:val="18"/>
              </w:rPr>
              <w:t>2026-04</w:t>
            </w:r>
          </w:p>
        </w:tc>
        <w:tc>
          <w:tcPr>
            <w:tcW w:type="dxa" w:w="4451"/>
          </w:tcPr>
          <w:p>
            <w:pPr>
              <w:spacing w:after="0"/>
            </w:pPr>
            <w:r>
              <w:rPr>
                <w:sz w:val="18"/>
              </w:rPr>
              <w:t>7</w:t>
            </w:r>
          </w:p>
        </w:tc>
        <w:tc>
          <w:tcPr>
            <w:tcW w:type="dxa" w:w="4173"/>
          </w:tcPr>
          <w:p>
            <w:pPr>
              <w:spacing w:after="0"/>
            </w:pPr>
            <w:r>
              <w:rPr>
                <w:sz w:val="18"/>
              </w:rPr>
              <w:t>4</w:t>
            </w:r>
          </w:p>
        </w:tc>
        <w:tc>
          <w:tcPr>
            <w:tcW w:type="dxa" w:w="4451"/>
          </w:tcPr>
          <w:p>
            <w:pPr>
              <w:spacing w:after="0"/>
            </w:pPr>
            <w:r>
              <w:rPr>
                <w:sz w:val="18"/>
              </w:rPr>
              <w:t>0</w:t>
            </w:r>
          </w:p>
        </w:tc>
      </w:tr>
      <w:tr>
        <w:tc>
          <w:tcPr>
            <w:tcW w:type="dxa" w:w="1948"/>
          </w:tcPr>
          <w:p>
            <w:pPr>
              <w:spacing w:after="0"/>
            </w:pPr>
            <w:r>
              <w:rPr>
                <w:sz w:val="18"/>
              </w:rPr>
              <w:t>2026-05</w:t>
            </w:r>
          </w:p>
        </w:tc>
        <w:tc>
          <w:tcPr>
            <w:tcW w:type="dxa" w:w="4451"/>
          </w:tcPr>
          <w:p>
            <w:pPr>
              <w:spacing w:after="0"/>
            </w:pPr>
            <w:r>
              <w:rPr>
                <w:sz w:val="18"/>
              </w:rPr>
              <w:t>5</w:t>
            </w:r>
          </w:p>
        </w:tc>
        <w:tc>
          <w:tcPr>
            <w:tcW w:type="dxa" w:w="4173"/>
          </w:tcPr>
          <w:p>
            <w:pPr>
              <w:spacing w:after="0"/>
            </w:pPr>
            <w:r>
              <w:rPr>
                <w:sz w:val="18"/>
              </w:rPr>
              <w:t>3</w:t>
            </w:r>
          </w:p>
        </w:tc>
        <w:tc>
          <w:tcPr>
            <w:tcW w:type="dxa" w:w="4451"/>
          </w:tcPr>
          <w:p>
            <w:pPr>
              <w:spacing w:after="0"/>
            </w:pPr>
            <w:r>
              <w:rPr>
                <w:sz w:val="18"/>
              </w:rPr>
              <w:t>0</w:t>
            </w:r>
          </w:p>
        </w:tc>
      </w:tr>
      <w:tr>
        <w:tc>
          <w:tcPr>
            <w:tcW w:type="dxa" w:w="1948"/>
          </w:tcPr>
          <w:p>
            <w:pPr>
              <w:spacing w:after="0"/>
            </w:pPr>
            <w:r>
              <w:rPr>
                <w:sz w:val="18"/>
              </w:rPr>
              <w:t>2026-06</w:t>
            </w:r>
          </w:p>
        </w:tc>
        <w:tc>
          <w:tcPr>
            <w:tcW w:type="dxa" w:w="4451"/>
          </w:tcPr>
          <w:p>
            <w:pPr>
              <w:spacing w:after="0"/>
            </w:pPr>
            <w:r>
              <w:rPr>
                <w:sz w:val="18"/>
              </w:rPr>
              <w:t>5</w:t>
            </w:r>
          </w:p>
        </w:tc>
        <w:tc>
          <w:tcPr>
            <w:tcW w:type="dxa" w:w="4173"/>
          </w:tcPr>
          <w:p>
            <w:pPr>
              <w:spacing w:after="0"/>
            </w:pPr>
            <w:r>
              <w:rPr>
                <w:sz w:val="18"/>
              </w:rPr>
              <w:t>4</w:t>
            </w:r>
          </w:p>
        </w:tc>
        <w:tc>
          <w:tcPr>
            <w:tcW w:type="dxa" w:w="4451"/>
          </w:tcPr>
          <w:p>
            <w:pPr>
              <w:spacing w:after="0"/>
            </w:pPr>
            <w:r>
              <w:rPr>
                <w:sz w:val="18"/>
              </w:rPr>
              <w:t>0</w:t>
            </w:r>
          </w:p>
        </w:tc>
      </w:tr>
      <w:tr>
        <w:tc>
          <w:tcPr>
            <w:tcW w:type="dxa" w:w="1948"/>
          </w:tcPr>
          <w:p>
            <w:pPr>
              <w:spacing w:after="0"/>
            </w:pPr>
            <w:r>
              <w:rPr>
                <w:sz w:val="18"/>
              </w:rPr>
              <w:t>2026-07</w:t>
            </w:r>
          </w:p>
        </w:tc>
        <w:tc>
          <w:tcPr>
            <w:tcW w:type="dxa" w:w="4451"/>
          </w:tcPr>
          <w:p>
            <w:pPr>
              <w:spacing w:after="0"/>
            </w:pPr>
            <w:r>
              <w:rPr>
                <w:sz w:val="18"/>
              </w:rPr>
              <w:t>5</w:t>
            </w:r>
          </w:p>
        </w:tc>
        <w:tc>
          <w:tcPr>
            <w:tcW w:type="dxa" w:w="4173"/>
          </w:tcPr>
          <w:p>
            <w:pPr>
              <w:spacing w:after="0"/>
            </w:pPr>
            <w:r>
              <w:rPr>
                <w:sz w:val="18"/>
              </w:rPr>
              <w:t>3</w:t>
            </w:r>
          </w:p>
        </w:tc>
        <w:tc>
          <w:tcPr>
            <w:tcW w:type="dxa" w:w="4451"/>
          </w:tcPr>
          <w:p>
            <w:pPr>
              <w:spacing w:after="0"/>
            </w:pPr>
            <w:r>
              <w:rPr>
                <w:sz w:val="18"/>
              </w:rPr>
              <w:t>0</w:t>
            </w:r>
          </w:p>
        </w:tc>
      </w:tr>
      <w:tr>
        <w:tc>
          <w:tcPr>
            <w:tcW w:type="dxa" w:w="1948"/>
          </w:tcPr>
          <w:p>
            <w:pPr>
              <w:spacing w:after="0"/>
            </w:pPr>
            <w:r>
              <w:rPr>
                <w:sz w:val="18"/>
              </w:rPr>
              <w:t>2026-08</w:t>
            </w:r>
          </w:p>
        </w:tc>
        <w:tc>
          <w:tcPr>
            <w:tcW w:type="dxa" w:w="4451"/>
          </w:tcPr>
          <w:p>
            <w:pPr>
              <w:spacing w:after="0"/>
            </w:pPr>
            <w:r>
              <w:rPr>
                <w:sz w:val="18"/>
              </w:rPr>
              <w:t>5</w:t>
            </w:r>
          </w:p>
        </w:tc>
        <w:tc>
          <w:tcPr>
            <w:tcW w:type="dxa" w:w="4173"/>
          </w:tcPr>
          <w:p>
            <w:pPr>
              <w:spacing w:after="0"/>
            </w:pPr>
            <w:r>
              <w:rPr>
                <w:sz w:val="18"/>
              </w:rPr>
              <w:t>5</w:t>
            </w:r>
          </w:p>
        </w:tc>
        <w:tc>
          <w:tcPr>
            <w:tcW w:type="dxa" w:w="4451"/>
          </w:tcPr>
          <w:p>
            <w:pPr>
              <w:spacing w:after="0"/>
            </w:pPr>
            <w:r>
              <w:rPr>
                <w:sz w:val="18"/>
              </w:rPr>
              <w:t>0</w:t>
            </w:r>
          </w:p>
        </w:tc>
      </w:tr>
      <w:tr>
        <w:tc>
          <w:tcPr>
            <w:tcW w:type="dxa" w:w="1948"/>
          </w:tcPr>
          <w:p>
            <w:pPr>
              <w:spacing w:after="0"/>
            </w:pPr>
            <w:r>
              <w:rPr>
                <w:sz w:val="18"/>
              </w:rPr>
              <w:t>2026-09</w:t>
            </w:r>
          </w:p>
        </w:tc>
        <w:tc>
          <w:tcPr>
            <w:tcW w:type="dxa" w:w="4451"/>
          </w:tcPr>
          <w:p>
            <w:pPr>
              <w:spacing w:after="0"/>
            </w:pPr>
            <w:r>
              <w:rPr>
                <w:sz w:val="18"/>
              </w:rPr>
              <w:t>2</w:t>
            </w:r>
          </w:p>
        </w:tc>
        <w:tc>
          <w:tcPr>
            <w:tcW w:type="dxa" w:w="4173"/>
          </w:tcPr>
          <w:p>
            <w:pPr>
              <w:spacing w:after="0"/>
            </w:pPr>
            <w:r>
              <w:rPr>
                <w:sz w:val="18"/>
              </w:rPr>
              <w:t>2</w:t>
            </w:r>
          </w:p>
        </w:tc>
        <w:tc>
          <w:tcPr>
            <w:tcW w:type="dxa" w:w="4451"/>
          </w:tcPr>
          <w:p>
            <w:pPr>
              <w:spacing w:after="0"/>
            </w:pPr>
            <w:r>
              <w:rPr>
                <w:sz w:val="18"/>
              </w:rPr>
              <w:t>0</w:t>
            </w:r>
          </w:p>
        </w:tc>
      </w:tr>
    </w:tbl>
    <w:p/>
    <w:p>
      <w:pPr>
        <w:pStyle w:val="SourceLine"/>
      </w:pPr>
      <w:r>
        <w:t xml:space="preserve">CSV: </w:t>
      </w:r>
      <w:r>
        <w:rPr>
          <w:rFonts w:ascii="Consolas" w:hAnsi="Consolas"/>
          <w:color w:val="6B6B6B"/>
          <w:sz w:val="18"/>
        </w:rPr>
        <w:t>outputs/round3/tables/appD2_reviews_by_month.csv</w:t>
      </w:r>
      <w:r>
        <w:t>.</w:t>
      </w:r>
    </w:p>
    <w:p>
      <w:pPr>
        <w:pStyle w:val="SourceLine"/>
      </w:pPr>
      <w:r>
        <w:t>Source: Google Play; App Store; authors' coding; DNSE Securities (2026e).</w:t>
      </w:r>
    </w:p>
    <w:p>
      <w:r>
        <w:br w:type="page"/>
      </w:r>
    </w:p>
    <w:p>
      <w:pPr>
        <w:pStyle w:val="Heading3"/>
      </w:pPr>
      <w:r>
        <w:t>D3. In customers' words</w:t>
      </w:r>
    </w:p>
    <w:p>
      <w:r>
        <w:rPr>
          <w:rStyle w:val="FieldLabel"/>
        </w:rPr>
        <w:t>Title:</w:t>
      </w:r>
      <w:r>
        <w:t xml:space="preserve"> </w:t>
      </w:r>
      <w:r>
        <w:t>Customers describe failures at the moments that decide trust</w:t>
      </w:r>
    </w:p>
    <w:p>
      <w:r>
        <w:rPr>
          <w:rStyle w:val="FieldLabel"/>
        </w:rPr>
        <w:t>Table:</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7907"/>
            <w:shd w:val="clear" w:color="auto" w:fill="F3F3F3"/>
          </w:tcPr>
          <w:p>
            <w:pPr>
              <w:spacing w:after="0"/>
            </w:pPr>
            <w:r>
              <w:rPr>
                <w:b/>
                <w:sz w:val="18"/>
              </w:rPr>
              <w:t>What the customer wrote (authors' translation)</w:t>
            </w:r>
          </w:p>
        </w:tc>
        <w:tc>
          <w:tcPr>
            <w:tcW w:type="dxa" w:w="7116"/>
            <w:shd w:val="clear" w:color="auto" w:fill="F3F3F3"/>
          </w:tcPr>
          <w:p>
            <w:pPr>
              <w:spacing w:after="0"/>
            </w:pPr>
            <w:r>
              <w:rPr>
                <w:b/>
                <w:sz w:val="18"/>
              </w:rPr>
              <w:t>Review</w:t>
            </w:r>
          </w:p>
        </w:tc>
      </w:tr>
      <w:tr>
        <w:tc>
          <w:tcPr>
            <w:tcW w:type="dxa" w:w="7907"/>
          </w:tcPr>
          <w:p>
            <w:pPr>
              <w:spacing w:after="0"/>
            </w:pPr>
            <w:r>
              <w:rPr>
                <w:sz w:val="18"/>
              </w:rPr>
              <w:t>Today, 4 March 2026, the app froze and I could not place a single buy or sell order all afternoon, on a day the market was red from start to finish. When prices recovered near the close, it would not let me buy to lower my average cost. It would not let me withdraw my money either.</w:t>
            </w:r>
          </w:p>
        </w:tc>
        <w:tc>
          <w:tcPr>
            <w:tcW w:type="dxa" w:w="7116"/>
          </w:tcPr>
          <w:p>
            <w:pPr>
              <w:spacing w:after="0"/>
            </w:pPr>
            <w:r>
              <w:rPr>
                <w:sz w:val="18"/>
              </w:rPr>
              <w:t>App Store review, 1 star, 2026-03-04, version 2.113.28</w:t>
            </w:r>
          </w:p>
        </w:tc>
      </w:tr>
      <w:tr>
        <w:tc>
          <w:tcPr>
            <w:tcW w:type="dxa" w:w="7907"/>
          </w:tcPr>
          <w:p>
            <w:pPr>
              <w:spacing w:after="0"/>
            </w:pPr>
            <w:r>
              <w:rPr>
                <w:sz w:val="18"/>
              </w:rPr>
              <w:t>I deposited money and the bank said the transfer was successful, but the app showed nothing credited. The money still has not reached my account.</w:t>
            </w:r>
          </w:p>
        </w:tc>
        <w:tc>
          <w:tcPr>
            <w:tcW w:type="dxa" w:w="7116"/>
          </w:tcPr>
          <w:p>
            <w:pPr>
              <w:spacing w:after="0"/>
            </w:pPr>
            <w:r>
              <w:rPr>
                <w:sz w:val="18"/>
              </w:rPr>
              <w:t>Google Play review, 1 star, 2026-03-02</w:t>
            </w:r>
          </w:p>
        </w:tc>
      </w:tr>
      <w:tr>
        <w:tc>
          <w:tcPr>
            <w:tcW w:type="dxa" w:w="7907"/>
          </w:tcPr>
          <w:p>
            <w:pPr>
              <w:spacing w:after="0"/>
            </w:pPr>
            <w:r>
              <w:rPr>
                <w:sz w:val="18"/>
              </w:rPr>
              <w:t>I cannot transfer money out to my bank. The OTP confirmation never arrives; the timer counts down again and again and I still cannot withdraw.</w:t>
            </w:r>
          </w:p>
        </w:tc>
        <w:tc>
          <w:tcPr>
            <w:tcW w:type="dxa" w:w="7116"/>
          </w:tcPr>
          <w:p>
            <w:pPr>
              <w:spacing w:after="0"/>
            </w:pPr>
            <w:r>
              <w:rPr>
                <w:sz w:val="18"/>
              </w:rPr>
              <w:t>App Store review, 1 star, 2026-03-30, version 2.114.3</w:t>
            </w:r>
          </w:p>
        </w:tc>
      </w:tr>
      <w:tr>
        <w:tc>
          <w:tcPr>
            <w:tcW w:type="dxa" w:w="7907"/>
          </w:tcPr>
          <w:p>
            <w:pPr>
              <w:spacing w:after="0"/>
            </w:pPr>
            <w:r>
              <w:rPr>
                <w:sz w:val="18"/>
              </w:rPr>
              <w:t>A finance app that updates four or five times a week. Every update brings new bugs, and afterwards it wipes my login details and settings.</w:t>
            </w:r>
          </w:p>
        </w:tc>
        <w:tc>
          <w:tcPr>
            <w:tcW w:type="dxa" w:w="7116"/>
          </w:tcPr>
          <w:p>
            <w:pPr>
              <w:spacing w:after="0"/>
            </w:pPr>
            <w:r>
              <w:rPr>
                <w:sz w:val="18"/>
              </w:rPr>
              <w:t>App Store review, 1 star, 2026-08-17, version 3.4.18</w:t>
            </w:r>
          </w:p>
        </w:tc>
      </w:tr>
      <w:tr>
        <w:tc>
          <w:tcPr>
            <w:tcW w:type="dxa" w:w="7907"/>
          </w:tcPr>
          <w:p>
            <w:pPr>
              <w:spacing w:after="0"/>
            </w:pPr>
            <w:r>
              <w:rPr>
                <w:sz w:val="18"/>
              </w:rPr>
              <w:t>I never pressed renew, but it renewed automatically, so I lost money.</w:t>
            </w:r>
          </w:p>
        </w:tc>
        <w:tc>
          <w:tcPr>
            <w:tcW w:type="dxa" w:w="7116"/>
          </w:tcPr>
          <w:p>
            <w:pPr>
              <w:spacing w:after="0"/>
            </w:pPr>
            <w:r>
              <w:rPr>
                <w:sz w:val="18"/>
              </w:rPr>
              <w:t>Google Play review, 1 star, 2026-01-05</w:t>
            </w:r>
          </w:p>
        </w:tc>
      </w:tr>
      <w:tr>
        <w:tc>
          <w:tcPr>
            <w:tcW w:type="dxa" w:w="7907"/>
          </w:tcPr>
          <w:p>
            <w:pPr>
              <w:spacing w:after="0"/>
            </w:pPr>
            <w:r>
              <w:rPr>
                <w:sz w:val="18"/>
              </w:rPr>
              <w:t>The advance fee is quoted at 13.5 per cent a year, but in practice it is 27 per cent a year. Hidden fees, wrong fees.</w:t>
            </w:r>
          </w:p>
        </w:tc>
        <w:tc>
          <w:tcPr>
            <w:tcW w:type="dxa" w:w="7116"/>
          </w:tcPr>
          <w:p>
            <w:pPr>
              <w:spacing w:after="0"/>
            </w:pPr>
            <w:r>
              <w:rPr>
                <w:sz w:val="18"/>
              </w:rPr>
              <w:t>App Store review, 1 star, 2026-03-26, version 2.114.2</w:t>
            </w:r>
          </w:p>
        </w:tc>
      </w:tr>
    </w:tbl>
    <w:p/>
    <w:p>
      <w:pPr>
        <w:pStyle w:val="SourceLine"/>
      </w:pPr>
      <w:r>
        <w:t xml:space="preserve">CSV: </w:t>
      </w:r>
      <w:r>
        <w:rPr>
          <w:rFonts w:ascii="Consolas" w:hAnsi="Consolas"/>
          <w:color w:val="6B6B6B"/>
          <w:sz w:val="18"/>
        </w:rPr>
        <w:t>outputs/round3/tables/appD3_quotes.csv</w:t>
      </w:r>
      <w:r>
        <w:t>.</w:t>
      </w:r>
    </w:p>
    <w:p>
      <w:pPr>
        <w:pStyle w:val="SourceLine"/>
      </w:pPr>
      <w:r>
        <w:t>Source: Google Play and App Store reviews; authors' translation.</w:t>
      </w:r>
    </w:p>
    <w:p>
      <w:r>
        <w:br w:type="page"/>
      </w:r>
    </w:p>
    <w:p>
      <w:pPr>
        <w:pStyle w:val="Heading2"/>
      </w:pPr>
      <w:r>
        <w:t>Appendix E: Legal and regulatory map</w:t>
      </w:r>
    </w:p>
    <w:p>
      <w:r>
        <w:br w:type="page"/>
      </w:r>
    </w:p>
    <w:p>
      <w:pPr>
        <w:pStyle w:val="Heading3"/>
      </w:pPr>
      <w:r>
        <w:t>E1. Rules and how the design meets them</w:t>
      </w:r>
    </w:p>
    <w:p>
      <w:r>
        <w:rPr>
          <w:rStyle w:val="FieldLabel"/>
        </w:rPr>
        <w:t>Title:</w:t>
      </w:r>
      <w:r>
        <w:t xml:space="preserve"> </w:t>
      </w:r>
      <w:r>
        <w:t>The design stays inside advisory rules: the customer confirms every change</w:t>
      </w:r>
    </w:p>
    <w:p>
      <w:r>
        <w:rPr>
          <w:rStyle w:val="FieldLabel"/>
        </w:rPr>
        <w:t>Table:</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4020"/>
            <w:shd w:val="clear" w:color="auto" w:fill="F3F3F3"/>
          </w:tcPr>
          <w:p>
            <w:pPr>
              <w:spacing w:after="0"/>
            </w:pPr>
            <w:r>
              <w:rPr>
                <w:b/>
                <w:sz w:val="18"/>
              </w:rPr>
              <w:t>Requirement</w:t>
            </w:r>
          </w:p>
        </w:tc>
        <w:tc>
          <w:tcPr>
            <w:tcW w:type="dxa" w:w="4232"/>
            <w:shd w:val="clear" w:color="auto" w:fill="F3F3F3"/>
          </w:tcPr>
          <w:p>
            <w:pPr>
              <w:spacing w:after="0"/>
            </w:pPr>
            <w:r>
              <w:rPr>
                <w:b/>
                <w:sz w:val="18"/>
              </w:rPr>
              <w:t>Rule</w:t>
            </w:r>
          </w:p>
        </w:tc>
        <w:tc>
          <w:tcPr>
            <w:tcW w:type="dxa" w:w="4232"/>
            <w:shd w:val="clear" w:color="auto" w:fill="F3F3F3"/>
          </w:tcPr>
          <w:p>
            <w:pPr>
              <w:spacing w:after="0"/>
            </w:pPr>
            <w:r>
              <w:rPr>
                <w:b/>
                <w:sz w:val="18"/>
              </w:rPr>
              <w:t>Design response</w:t>
            </w:r>
          </w:p>
        </w:tc>
        <w:tc>
          <w:tcPr>
            <w:tcW w:type="dxa" w:w="2539"/>
            <w:shd w:val="clear" w:color="auto" w:fill="F3F3F3"/>
          </w:tcPr>
          <w:p>
            <w:pPr>
              <w:spacing w:after="0"/>
            </w:pPr>
            <w:r>
              <w:rPr>
                <w:b/>
                <w:sz w:val="18"/>
              </w:rPr>
              <w:t>Status</w:t>
            </w:r>
          </w:p>
        </w:tc>
      </w:tr>
      <w:tr>
        <w:tc>
          <w:tcPr>
            <w:tcW w:type="dxa" w:w="4020"/>
          </w:tcPr>
          <w:p>
            <w:pPr>
              <w:spacing w:after="0"/>
            </w:pPr>
            <w:r>
              <w:rPr>
                <w:sz w:val="18"/>
              </w:rPr>
              <w:t>Advice must fit the client</w:t>
            </w:r>
          </w:p>
        </w:tc>
        <w:tc>
          <w:tcPr>
            <w:tcW w:type="dxa" w:w="4232"/>
          </w:tcPr>
          <w:p>
            <w:pPr>
              <w:spacing w:after="0"/>
            </w:pPr>
            <w:r>
              <w:rPr>
                <w:sz w:val="18"/>
              </w:rPr>
              <w:t>Circular 121/2020/TT-BTC, Article 24 (client information for investment advice)</w:t>
            </w:r>
          </w:p>
        </w:tc>
        <w:tc>
          <w:tcPr>
            <w:tcW w:type="dxa" w:w="4232"/>
          </w:tcPr>
          <w:p>
            <w:pPr>
              <w:spacing w:after="0"/>
            </w:pPr>
            <w:r>
              <w:rPr>
                <w:sz w:val="18"/>
              </w:rPr>
              <w:t>Ensa records goal, horizon, income and loss tolerance; a licensed adviser designs and signs the model plans; advice is logged</w:t>
            </w:r>
          </w:p>
        </w:tc>
        <w:tc>
          <w:tcPr>
            <w:tcW w:type="dxa" w:w="2539"/>
          </w:tcPr>
          <w:p>
            <w:pPr>
              <w:spacing w:after="0"/>
            </w:pPr>
            <w:r>
              <w:rPr>
                <w:sz w:val="18"/>
              </w:rPr>
              <w:t>Adopt</w:t>
            </w:r>
          </w:p>
        </w:tc>
      </w:tr>
      <w:tr>
        <w:tc>
          <w:tcPr>
            <w:tcW w:type="dxa" w:w="4020"/>
          </w:tcPr>
          <w:p>
            <w:pPr>
              <w:spacing w:after="0"/>
            </w:pPr>
            <w:r>
              <w:rPr>
                <w:sz w:val="18"/>
              </w:rPr>
              <w:t>No investing on a client's behalf without a mandate</w:t>
            </w:r>
          </w:p>
        </w:tc>
        <w:tc>
          <w:tcPr>
            <w:tcW w:type="dxa" w:w="4232"/>
          </w:tcPr>
          <w:p>
            <w:pPr>
              <w:spacing w:after="0"/>
            </w:pPr>
            <w:r>
              <w:rPr>
                <w:sz w:val="18"/>
              </w:rPr>
              <w:t>Circular 121/2020/TT-BTC, Article 4</w:t>
            </w:r>
          </w:p>
        </w:tc>
        <w:tc>
          <w:tcPr>
            <w:tcW w:type="dxa" w:w="4232"/>
          </w:tcPr>
          <w:p>
            <w:pPr>
              <w:spacing w:after="0"/>
            </w:pPr>
            <w:r>
              <w:rPr>
                <w:sz w:val="18"/>
              </w:rPr>
              <w:t>The customer confirms the plan and every change; the system only invests new money as the confirmed plan says</w:t>
            </w:r>
          </w:p>
        </w:tc>
        <w:tc>
          <w:tcPr>
            <w:tcW w:type="dxa" w:w="2539"/>
          </w:tcPr>
          <w:p>
            <w:pPr>
              <w:spacing w:after="0"/>
            </w:pPr>
            <w:r>
              <w:rPr>
                <w:sz w:val="18"/>
              </w:rPr>
              <w:t>Adopt</w:t>
            </w:r>
          </w:p>
        </w:tc>
      </w:tr>
      <w:tr>
        <w:tc>
          <w:tcPr>
            <w:tcW w:type="dxa" w:w="4020"/>
          </w:tcPr>
          <w:p>
            <w:pPr>
              <w:spacing w:after="0"/>
            </w:pPr>
            <w:r>
              <w:rPr>
                <w:sz w:val="18"/>
              </w:rPr>
              <w:t>Lending only for margin and defined purposes</w:t>
            </w:r>
          </w:p>
        </w:tc>
        <w:tc>
          <w:tcPr>
            <w:tcW w:type="dxa" w:w="4232"/>
          </w:tcPr>
          <w:p>
            <w:pPr>
              <w:spacing w:after="0"/>
            </w:pPr>
            <w:r>
              <w:rPr>
                <w:sz w:val="18"/>
              </w:rPr>
              <w:t>Circular 121/2020/TT-BTC, Article 27</w:t>
            </w:r>
          </w:p>
        </w:tc>
        <w:tc>
          <w:tcPr>
            <w:tcW w:type="dxa" w:w="4232"/>
          </w:tcPr>
          <w:p>
            <w:pPr>
              <w:spacing w:after="0"/>
            </w:pPr>
            <w:r>
              <w:rPr>
                <w:sz w:val="18"/>
              </w:rPr>
              <w:t>No credit line on savings; margin is not a reward</w:t>
            </w:r>
          </w:p>
        </w:tc>
        <w:tc>
          <w:tcPr>
            <w:tcW w:type="dxa" w:w="2539"/>
          </w:tcPr>
          <w:p>
            <w:pPr>
              <w:spacing w:after="0"/>
            </w:pPr>
            <w:r>
              <w:rPr>
                <w:sz w:val="18"/>
              </w:rPr>
              <w:t>Exclude</w:t>
            </w:r>
          </w:p>
        </w:tc>
      </w:tr>
      <w:tr>
        <w:tc>
          <w:tcPr>
            <w:tcW w:type="dxa" w:w="4020"/>
          </w:tcPr>
          <w:p>
            <w:pPr>
              <w:spacing w:after="0"/>
            </w:pPr>
            <w:r>
              <w:rPr>
                <w:sz w:val="18"/>
              </w:rPr>
              <w:t>Portfolio management is not a securities-company business</w:t>
            </w:r>
          </w:p>
        </w:tc>
        <w:tc>
          <w:tcPr>
            <w:tcW w:type="dxa" w:w="4232"/>
          </w:tcPr>
          <w:p>
            <w:pPr>
              <w:spacing w:after="0"/>
            </w:pPr>
            <w:r>
              <w:rPr>
                <w:sz w:val="18"/>
              </w:rPr>
              <w:t>Law on Securities 2019, Article 72</w:t>
            </w:r>
          </w:p>
        </w:tc>
        <w:tc>
          <w:tcPr>
            <w:tcW w:type="dxa" w:w="4232"/>
          </w:tcPr>
          <w:p>
            <w:pPr>
              <w:spacing w:after="0"/>
            </w:pPr>
            <w:r>
              <w:rPr>
                <w:sz w:val="18"/>
              </w:rPr>
              <w:t>No discretionary service; a fully managed version only through a licensed fund manager</w:t>
            </w:r>
          </w:p>
        </w:tc>
        <w:tc>
          <w:tcPr>
            <w:tcW w:type="dxa" w:w="2539"/>
          </w:tcPr>
          <w:p>
            <w:pPr>
              <w:spacing w:after="0"/>
            </w:pPr>
            <w:r>
              <w:rPr>
                <w:sz w:val="18"/>
              </w:rPr>
              <w:t>Exclude (Phase 4 via a fund manager)</w:t>
            </w:r>
          </w:p>
        </w:tc>
      </w:tr>
      <w:tr>
        <w:tc>
          <w:tcPr>
            <w:tcW w:type="dxa" w:w="4020"/>
          </w:tcPr>
          <w:p>
            <w:pPr>
              <w:spacing w:after="0"/>
            </w:pPr>
            <w:r>
              <w:rPr>
                <w:sz w:val="18"/>
              </w:rPr>
              <w:t>Bank Open API</w:t>
            </w:r>
          </w:p>
        </w:tc>
        <w:tc>
          <w:tcPr>
            <w:tcW w:type="dxa" w:w="4232"/>
          </w:tcPr>
          <w:p>
            <w:pPr>
              <w:spacing w:after="0"/>
            </w:pPr>
            <w:r>
              <w:rPr>
                <w:sz w:val="18"/>
              </w:rPr>
              <w:t>Circular 64/2024/TT-NHNN: banks must comply by 1 March 2027; customer consent lasts at most 180 days</w:t>
            </w:r>
          </w:p>
        </w:tc>
        <w:tc>
          <w:tcPr>
            <w:tcW w:type="dxa" w:w="4232"/>
          </w:tcPr>
          <w:p>
            <w:pPr>
              <w:spacing w:after="0"/>
            </w:pPr>
            <w:r>
              <w:rPr>
                <w:sz w:val="18"/>
              </w:rPr>
              <w:t>Phase 1 uses standing orders the customer sets in the bank app; salary-linked percentage contributions only after bank agreements (Phase 3)</w:t>
            </w:r>
          </w:p>
        </w:tc>
        <w:tc>
          <w:tcPr>
            <w:tcW w:type="dxa" w:w="2539"/>
          </w:tcPr>
          <w:p>
            <w:pPr>
              <w:spacing w:after="0"/>
            </w:pPr>
            <w:r>
              <w:rPr>
                <w:sz w:val="18"/>
              </w:rPr>
              <w:t>Later phase</w:t>
            </w:r>
          </w:p>
        </w:tc>
      </w:tr>
      <w:tr>
        <w:tc>
          <w:tcPr>
            <w:tcW w:type="dxa" w:w="4020"/>
          </w:tcPr>
          <w:p>
            <w:pPr>
              <w:spacing w:after="0"/>
            </w:pPr>
            <w:r>
              <w:rPr>
                <w:sz w:val="18"/>
              </w:rPr>
              <w:t>New services must be reported</w:t>
            </w:r>
          </w:p>
        </w:tc>
        <w:tc>
          <w:tcPr>
            <w:tcW w:type="dxa" w:w="4232"/>
          </w:tcPr>
          <w:p>
            <w:pPr>
              <w:spacing w:after="0"/>
            </w:pPr>
            <w:r>
              <w:rPr>
                <w:sz w:val="18"/>
              </w:rPr>
              <w:t>Decision 461/QD-XPHC (17 August 2026): VND 275 million of the VND 802.5 million fine was for services not reported to the SSC</w:t>
            </w:r>
          </w:p>
        </w:tc>
        <w:tc>
          <w:tcPr>
            <w:tcW w:type="dxa" w:w="4232"/>
          </w:tcPr>
          <w:p>
            <w:pPr>
              <w:spacing w:after="0"/>
            </w:pPr>
            <w:r>
              <w:rPr>
                <w:sz w:val="18"/>
              </w:rPr>
              <w:t>Notify the SSC before launch; written confirmation is a Gate 0 condition</w:t>
            </w:r>
          </w:p>
        </w:tc>
        <w:tc>
          <w:tcPr>
            <w:tcW w:type="dxa" w:w="2539"/>
          </w:tcPr>
          <w:p>
            <w:pPr>
              <w:spacing w:after="0"/>
            </w:pPr>
            <w:r>
              <w:rPr>
                <w:sz w:val="18"/>
              </w:rPr>
              <w:t>Launch gate</w:t>
            </w:r>
          </w:p>
        </w:tc>
      </w:tr>
      <w:tr>
        <w:tc>
          <w:tcPr>
            <w:tcW w:type="dxa" w:w="4020"/>
          </w:tcPr>
          <w:p>
            <w:pPr>
              <w:spacing w:after="0"/>
            </w:pPr>
            <w:r>
              <w:rPr>
                <w:sz w:val="18"/>
              </w:rPr>
              <w:t>Golden Egg's regulatory history</w:t>
            </w:r>
          </w:p>
        </w:tc>
        <w:tc>
          <w:tcPr>
            <w:tcW w:type="dxa" w:w="4232"/>
          </w:tcPr>
          <w:p>
            <w:pPr>
              <w:spacing w:after="0"/>
            </w:pPr>
            <w:r>
              <w:rPr>
                <w:sz w:val="18"/>
              </w:rPr>
              <w:t>New Golden Egg openings were paused at the regulator's request from 25 December 2023 (DNSE notice)</w:t>
            </w:r>
          </w:p>
        </w:tc>
        <w:tc>
          <w:tcPr>
            <w:tcW w:type="dxa" w:w="4232"/>
          </w:tcPr>
          <w:p>
            <w:pPr>
              <w:spacing w:after="0"/>
            </w:pPr>
            <w:r>
              <w:rPr>
                <w:sz w:val="18"/>
              </w:rPr>
              <w:t>Pre-consult the SSC on Golden Egg's role in Payday; keep bond funds ready as the alternative core</w:t>
            </w:r>
          </w:p>
        </w:tc>
        <w:tc>
          <w:tcPr>
            <w:tcW w:type="dxa" w:w="2539"/>
          </w:tcPr>
          <w:p>
            <w:pPr>
              <w:spacing w:after="0"/>
            </w:pPr>
            <w:r>
              <w:rPr>
                <w:sz w:val="18"/>
              </w:rPr>
              <w:t>Pre-consult</w:t>
            </w:r>
          </w:p>
        </w:tc>
      </w:tr>
      <w:tr>
        <w:tc>
          <w:tcPr>
            <w:tcW w:type="dxa" w:w="4020"/>
          </w:tcPr>
          <w:p>
            <w:pPr>
              <w:spacing w:after="0"/>
            </w:pPr>
            <w:r>
              <w:rPr>
                <w:sz w:val="18"/>
              </w:rPr>
              <w:t>Fund distribution</w:t>
            </w:r>
          </w:p>
        </w:tc>
        <w:tc>
          <w:tcPr>
            <w:tcW w:type="dxa" w:w="4232"/>
          </w:tcPr>
          <w:p>
            <w:pPr>
              <w:spacing w:after="0"/>
            </w:pPr>
            <w:r>
              <w:rPr>
                <w:sz w:val="18"/>
              </w:rPr>
              <w:t>DNSE registered as a fund-certificate distribution agent (15 December 2021) but is not on the distributor lists of SSIAM, Dragon Capital or VCBF</w:t>
            </w:r>
          </w:p>
        </w:tc>
        <w:tc>
          <w:tcPr>
            <w:tcW w:type="dxa" w:w="4232"/>
          </w:tcPr>
          <w:p>
            <w:pPr>
              <w:spacing w:after="0"/>
            </w:pPr>
            <w:r>
              <w:rPr>
                <w:sz w:val="18"/>
              </w:rPr>
              <w:t>Sign distribution agreements with 1 to 2 managers in Phase 0; launch with Golden Egg and an ETF if they are late</w:t>
            </w:r>
          </w:p>
        </w:tc>
        <w:tc>
          <w:tcPr>
            <w:tcW w:type="dxa" w:w="2539"/>
          </w:tcPr>
          <w:p>
            <w:pPr>
              <w:spacing w:after="0"/>
            </w:pPr>
            <w:r>
              <w:rPr>
                <w:sz w:val="18"/>
              </w:rPr>
              <w:t>Phase 0 dependency</w:t>
            </w:r>
          </w:p>
        </w:tc>
      </w:tr>
    </w:tbl>
    <w:p/>
    <w:p>
      <w:pPr>
        <w:pStyle w:val="SourceLine"/>
      </w:pPr>
      <w:r>
        <w:t xml:space="preserve">CSV: </w:t>
      </w:r>
      <w:r>
        <w:rPr>
          <w:rFonts w:ascii="Consolas" w:hAnsi="Consolas"/>
          <w:color w:val="6B6B6B"/>
          <w:sz w:val="18"/>
        </w:rPr>
        <w:t>outputs/round3/tables/appE1_legal.csv</w:t>
      </w:r>
      <w:r>
        <w:t>.</w:t>
      </w:r>
    </w:p>
    <w:p>
      <w:pPr>
        <w:pStyle w:val="SourceLine"/>
      </w:pPr>
      <w:r>
        <w:t>Source: Ministry of Finance (2020); National Assembly (2019); State Bank of Vietnam (2024); Market Times (2026); DNSE Securities (2023, n.d.-b).</w:t>
      </w:r>
    </w:p>
    <w:p>
      <w:r>
        <w:br w:type="page"/>
      </w:r>
    </w:p>
    <w:p>
      <w:pPr>
        <w:pStyle w:val="Heading2"/>
      </w:pPr>
      <w:r>
        <w:t>Appendix F: Feedback evidence</w:t>
      </w:r>
    </w:p>
    <w:p>
      <w:r>
        <w:br w:type="page"/>
      </w:r>
    </w:p>
    <w:p>
      <w:pPr>
        <w:pStyle w:val="Heading3"/>
      </w:pPr>
      <w:r>
        <w:t>F1. What surveys, the market and reviews tell us</w:t>
      </w:r>
    </w:p>
    <w:p>
      <w:r>
        <w:rPr>
          <w:rStyle w:val="FieldLabel"/>
        </w:rPr>
        <w:t>Title:</w:t>
      </w:r>
      <w:r>
        <w:t xml:space="preserve"> </w:t>
      </w:r>
      <w:r>
        <w:t>Reviews support the design choices, though no one asked for a recurring plan</w:t>
      </w:r>
    </w:p>
    <w:p>
      <w:r>
        <w:rPr>
          <w:rStyle w:val="FieldLabel"/>
        </w:rPr>
        <w:t>Text:</w:t>
      </w:r>
    </w:p>
    <w:p>
      <w:pPr>
        <w:pStyle w:val="ListBullet"/>
      </w:pPr>
      <w:r>
        <w:t>Published surveys: 77% of investors find managing a portfolio hard and 81% want professional advice (Nhan Dan, 2025; VnEconomy, 2025).</w:t>
      </w:r>
    </w:p>
    <w:p>
      <w:pPr>
        <w:pStyle w:val="ListBullet"/>
      </w:pPr>
      <w:r>
        <w:t>Market behaviour: SSI, TCBS, VPS and VPBank all launched accumulation products in 2026.</w:t>
      </w:r>
    </w:p>
    <w:p>
      <w:pPr>
        <w:pStyle w:val="ListBullet"/>
      </w:pPr>
      <w:r>
        <w:t>Limit: reviews are mostly complaints; we found none asking for a recurring plan.</w:t>
      </w:r>
    </w:p>
    <w:p>
      <w:r>
        <w:rPr>
          <w:rStyle w:val="FieldLabel"/>
        </w:rPr>
        <w:t>Table:</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4080"/>
            <w:shd w:val="clear" w:color="auto" w:fill="F3F3F3"/>
          </w:tcPr>
          <w:p>
            <w:pPr>
              <w:spacing w:after="0"/>
            </w:pPr>
            <w:r>
              <w:rPr>
                <w:b/>
                <w:sz w:val="18"/>
              </w:rPr>
              <w:t>Design choice</w:t>
            </w:r>
          </w:p>
        </w:tc>
        <w:tc>
          <w:tcPr>
            <w:tcW w:type="dxa" w:w="5564"/>
            <w:shd w:val="clear" w:color="auto" w:fill="F3F3F3"/>
          </w:tcPr>
          <w:p>
            <w:pPr>
              <w:spacing w:after="0"/>
            </w:pPr>
            <w:r>
              <w:rPr>
                <w:b/>
                <w:sz w:val="18"/>
              </w:rPr>
              <w:t>What customers wrote (authors' translation)</w:t>
            </w:r>
          </w:p>
        </w:tc>
        <w:tc>
          <w:tcPr>
            <w:tcW w:type="dxa" w:w="5379"/>
            <w:shd w:val="clear" w:color="auto" w:fill="F3F3F3"/>
          </w:tcPr>
          <w:p>
            <w:pPr>
              <w:spacing w:after="0"/>
            </w:pPr>
            <w:r>
              <w:rPr>
                <w:b/>
                <w:sz w:val="18"/>
              </w:rPr>
              <w:t>Review</w:t>
            </w:r>
          </w:p>
        </w:tc>
      </w:tr>
      <w:tr>
        <w:tc>
          <w:tcPr>
            <w:tcW w:type="dxa" w:w="4080"/>
          </w:tcPr>
          <w:p>
            <w:pPr>
              <w:spacing w:after="0"/>
            </w:pPr>
            <w:r>
              <w:rPr>
                <w:sz w:val="18"/>
              </w:rPr>
              <w:t>Personal virtual account with instant credit</w:t>
            </w:r>
          </w:p>
        </w:tc>
        <w:tc>
          <w:tcPr>
            <w:tcW w:type="dxa" w:w="5564"/>
          </w:tcPr>
          <w:p>
            <w:pPr>
              <w:spacing w:after="0"/>
            </w:pPr>
            <w:r>
              <w:rPr>
                <w:sz w:val="18"/>
              </w:rPr>
              <w:t>"DNSE should work with BIDV to create an account identifier for transfers; otherwise deposits keep failing and people will leave the app"</w:t>
            </w:r>
          </w:p>
        </w:tc>
        <w:tc>
          <w:tcPr>
            <w:tcW w:type="dxa" w:w="5379"/>
          </w:tcPr>
          <w:p>
            <w:pPr>
              <w:spacing w:after="0"/>
            </w:pPr>
            <w:r>
              <w:rPr>
                <w:sz w:val="18"/>
              </w:rPr>
              <w:t>Google Play, DNSE, 5 stars, 10 helpful votes, January 2022</w:t>
            </w:r>
          </w:p>
        </w:tc>
      </w:tr>
      <w:tr>
        <w:tc>
          <w:tcPr>
            <w:tcW w:type="dxa" w:w="4080"/>
          </w:tcPr>
          <w:p>
            <w:pPr>
              <w:spacing w:after="0"/>
            </w:pPr>
            <w:r>
              <w:rPr>
                <w:sz w:val="18"/>
              </w:rPr>
              <w:t>Personal virtual account with instant credit</w:t>
            </w:r>
          </w:p>
        </w:tc>
        <w:tc>
          <w:tcPr>
            <w:tcW w:type="dxa" w:w="5564"/>
          </w:tcPr>
          <w:p>
            <w:pPr>
              <w:spacing w:after="0"/>
            </w:pPr>
            <w:r>
              <w:rPr>
                <w:sz w:val="18"/>
              </w:rPr>
              <w:t>"When I deposit outside trading hours, the bank takes the money but my securities account does not receive it"</w:t>
            </w:r>
          </w:p>
        </w:tc>
        <w:tc>
          <w:tcPr>
            <w:tcW w:type="dxa" w:w="5379"/>
          </w:tcPr>
          <w:p>
            <w:pPr>
              <w:spacing w:after="0"/>
            </w:pPr>
            <w:r>
              <w:rPr>
                <w:sz w:val="18"/>
              </w:rPr>
              <w:t>Google Play, DNSE, 2 stars, 18 votes, June 2025</w:t>
            </w:r>
          </w:p>
        </w:tc>
      </w:tr>
      <w:tr>
        <w:tc>
          <w:tcPr>
            <w:tcW w:type="dxa" w:w="4080"/>
          </w:tcPr>
          <w:p>
            <w:pPr>
              <w:spacing w:after="0"/>
            </w:pPr>
            <w:r>
              <w:rPr>
                <w:sz w:val="18"/>
              </w:rPr>
              <w:t>Never-Sleeping Account as the waiting place</w:t>
            </w:r>
          </w:p>
        </w:tc>
        <w:tc>
          <w:tcPr>
            <w:tcW w:type="dxa" w:w="5564"/>
          </w:tcPr>
          <w:p>
            <w:pPr>
              <w:spacing w:after="0"/>
            </w:pPr>
            <w:r>
              <w:rPr>
                <w:sz w:val="18"/>
              </w:rPr>
              <w:t>"The Never-Sleeping Account is the best; watching the interest tick up is a treat"</w:t>
            </w:r>
          </w:p>
        </w:tc>
        <w:tc>
          <w:tcPr>
            <w:tcW w:type="dxa" w:w="5379"/>
          </w:tcPr>
          <w:p>
            <w:pPr>
              <w:spacing w:after="0"/>
            </w:pPr>
            <w:r>
              <w:rPr>
                <w:sz w:val="18"/>
              </w:rPr>
              <w:t>Google Play, DNSE, 5 stars, 13 votes, May 2026</w:t>
            </w:r>
          </w:p>
        </w:tc>
      </w:tr>
      <w:tr>
        <w:tc>
          <w:tcPr>
            <w:tcW w:type="dxa" w:w="4080"/>
          </w:tcPr>
          <w:p>
            <w:pPr>
              <w:spacing w:after="0"/>
            </w:pPr>
            <w:r>
              <w:rPr>
                <w:sz w:val="18"/>
              </w:rPr>
              <w:t>Golden Egg core with a ladder of terms</w:t>
            </w:r>
          </w:p>
        </w:tc>
        <w:tc>
          <w:tcPr>
            <w:tcW w:type="dxa" w:w="5564"/>
          </w:tcPr>
          <w:p>
            <w:pPr>
              <w:spacing w:after="0"/>
            </w:pPr>
            <w:r>
              <w:rPr>
                <w:sz w:val="18"/>
              </w:rPr>
              <w:t>"Just add 6-month and 1-year Golden Egg terms and it is OK"</w:t>
            </w:r>
          </w:p>
        </w:tc>
        <w:tc>
          <w:tcPr>
            <w:tcW w:type="dxa" w:w="5379"/>
          </w:tcPr>
          <w:p>
            <w:pPr>
              <w:spacing w:after="0"/>
            </w:pPr>
            <w:r>
              <w:rPr>
                <w:sz w:val="18"/>
              </w:rPr>
              <w:t>App Store, DNSE, 5 stars, February 2025</w:t>
            </w:r>
          </w:p>
        </w:tc>
      </w:tr>
      <w:tr>
        <w:tc>
          <w:tcPr>
            <w:tcW w:type="dxa" w:w="4080"/>
          </w:tcPr>
          <w:p>
            <w:pPr>
              <w:spacing w:after="0"/>
            </w:pPr>
            <w:r>
              <w:rPr>
                <w:sz w:val="18"/>
              </w:rPr>
              <w:t>Show the cost of selling early</w:t>
            </w:r>
          </w:p>
        </w:tc>
        <w:tc>
          <w:tcPr>
            <w:tcW w:type="dxa" w:w="5564"/>
          </w:tcPr>
          <w:p>
            <w:pPr>
              <w:spacing w:after="0"/>
            </w:pPr>
            <w:r>
              <w:rPr>
                <w:sz w:val="18"/>
              </w:rPr>
              <w:t>"Bought a 1-month Golden Egg and lost 4% of the money"</w:t>
            </w:r>
          </w:p>
        </w:tc>
        <w:tc>
          <w:tcPr>
            <w:tcW w:type="dxa" w:w="5379"/>
          </w:tcPr>
          <w:p>
            <w:pPr>
              <w:spacing w:after="0"/>
            </w:pPr>
            <w:r>
              <w:rPr>
                <w:sz w:val="18"/>
              </w:rPr>
              <w:t>App Store, DNSE, 1 star, January 2025</w:t>
            </w:r>
          </w:p>
        </w:tc>
      </w:tr>
      <w:tr>
        <w:tc>
          <w:tcPr>
            <w:tcW w:type="dxa" w:w="4080"/>
          </w:tcPr>
          <w:p>
            <w:pPr>
              <w:spacing w:after="0"/>
            </w:pPr>
            <w:r>
              <w:rPr>
                <w:sz w:val="18"/>
              </w:rPr>
              <w:t>No platform fee</w:t>
            </w:r>
          </w:p>
        </w:tc>
        <w:tc>
          <w:tcPr>
            <w:tcW w:type="dxa" w:w="5564"/>
          </w:tcPr>
          <w:p>
            <w:pPr>
              <w:spacing w:after="0"/>
            </w:pPr>
            <w:r>
              <w:rPr>
                <w:sz w:val="18"/>
              </w:rPr>
              <w:t>"A VND 33,000 charge every month is too high, not worth it for a long-term investor"</w:t>
            </w:r>
          </w:p>
        </w:tc>
        <w:tc>
          <w:tcPr>
            <w:tcW w:type="dxa" w:w="5379"/>
          </w:tcPr>
          <w:p>
            <w:pPr>
              <w:spacing w:after="0"/>
            </w:pPr>
            <w:r>
              <w:rPr>
                <w:sz w:val="18"/>
              </w:rPr>
              <w:t>Google Play, VPS, 1 star, 9 votes, May 2026</w:t>
            </w:r>
          </w:p>
        </w:tc>
      </w:tr>
    </w:tbl>
    <w:p/>
    <w:p>
      <w:pPr>
        <w:pStyle w:val="SourceLine"/>
      </w:pPr>
      <w:r>
        <w:t xml:space="preserve">CSV: </w:t>
      </w:r>
      <w:r>
        <w:rPr>
          <w:rFonts w:ascii="Consolas" w:hAnsi="Consolas"/>
          <w:color w:val="6B6B6B"/>
          <w:sz w:val="18"/>
        </w:rPr>
        <w:t>outputs/round3/tables/appF1_feedback.csv</w:t>
      </w:r>
      <w:r>
        <w:t>.</w:t>
      </w:r>
    </w:p>
    <w:p>
      <w:pPr>
        <w:pStyle w:val="SourceLine"/>
      </w:pPr>
      <w:r>
        <w:t>Source: Google Play and App Store reviews of DNSE and VPS; authors' translation.</w:t>
      </w:r>
    </w:p>
    <w:p>
      <w:r>
        <w:br w:type="page"/>
      </w:r>
    </w:p>
    <w:p>
      <w:pPr>
        <w:pStyle w:val="Heading2"/>
      </w:pPr>
      <w:r>
        <w:t>Appendix G: Customer journey, error screens and service blueprint</w:t>
      </w:r>
    </w:p>
    <w:p>
      <w:r>
        <w:br w:type="page"/>
      </w:r>
    </w:p>
    <w:p>
      <w:pPr>
        <w:pStyle w:val="Heading3"/>
      </w:pPr>
      <w:r>
        <w:t>G1. Error and edge-case screens</w:t>
      </w:r>
    </w:p>
    <w:p>
      <w:r>
        <w:rPr>
          <w:rStyle w:val="FieldLabel"/>
        </w:rPr>
        <w:t>Title:</w:t>
      </w:r>
      <w:r>
        <w:t xml:space="preserve"> </w:t>
      </w:r>
      <w:r>
        <w:t>Every failure screen keeps the streak and offers one next step</w:t>
      </w:r>
    </w:p>
    <w:p>
      <w:r>
        <w:rPr>
          <w:rStyle w:val="FieldLabel"/>
        </w:rPr>
        <w:t>Figure:</w:t>
      </w:r>
      <w:r>
        <w:t xml:space="preserve"> </w:t>
      </w:r>
      <w:r>
        <w:rPr>
          <w:rFonts w:ascii="Consolas" w:hAnsi="Consolas"/>
          <w:color w:val="6B6B6B"/>
          <w:sz w:val="18"/>
        </w:rPr>
        <w:t>outputs/round3/figures/wireframes_errors.png</w:t>
      </w:r>
      <w:r>
        <w:t>.</w:t>
      </w:r>
    </w:p>
    <w:p>
      <w:r>
        <w:drawing>
          <wp:inline xmlns:a="http://schemas.openxmlformats.org/drawingml/2006/main" xmlns:pic="http://schemas.openxmlformats.org/drawingml/2006/picture">
            <wp:extent cx="7920000" cy="3630000"/>
            <wp:docPr id="17" name="Picture 17"/>
            <wp:cNvGraphicFramePr>
              <a:graphicFrameLocks noChangeAspect="1"/>
            </wp:cNvGraphicFramePr>
            <a:graphic>
              <a:graphicData uri="http://schemas.openxmlformats.org/drawingml/2006/picture">
                <pic:pic>
                  <pic:nvPicPr>
                    <pic:cNvPr id="0" name="wireframes_errors.png"/>
                    <pic:cNvPicPr/>
                  </pic:nvPicPr>
                  <pic:blipFill>
                    <a:blip r:embed="rId24"/>
                    <a:stretch>
                      <a:fillRect/>
                    </a:stretch>
                  </pic:blipFill>
                  <pic:spPr>
                    <a:xfrm>
                      <a:off x="0" y="0"/>
                      <a:ext cx="7920000" cy="3630000"/>
                    </a:xfrm>
                    <a:prstGeom prst="rect"/>
                  </pic:spPr>
                </pic:pic>
              </a:graphicData>
            </a:graphic>
          </wp:inline>
        </w:drawing>
      </w:r>
    </w:p>
    <w:p>
      <w:pPr>
        <w:pStyle w:val="SourceLine"/>
      </w:pPr>
      <w:r>
        <w:t>Caption: Low-fidelity wireframes of four error and edge-case screens: transfer not received, salary late, skip or pause, withdraw to the bank.</w:t>
      </w:r>
    </w:p>
    <w:p>
      <w:pPr>
        <w:pStyle w:val="SourceLine"/>
      </w:pPr>
      <w:r>
        <w:t>Source: authors' design; DNSE Securities (n.d.-a) for the early-sale rule.</w:t>
      </w:r>
    </w:p>
    <w:p>
      <w:r>
        <w:br w:type="page"/>
      </w:r>
    </w:p>
    <w:p>
      <w:pPr>
        <w:pStyle w:val="Heading3"/>
      </w:pPr>
      <w:r>
        <w:t>G2. Journey map (persona P1)</w:t>
      </w:r>
    </w:p>
    <w:p>
      <w:r>
        <w:rPr>
          <w:rStyle w:val="FieldLabel"/>
        </w:rPr>
        <w:t>Title:</w:t>
      </w:r>
      <w:r>
        <w:t xml:space="preserve"> </w:t>
      </w:r>
      <w:r>
        <w:t>Three moments decide trust: first money in, first money out, first failure</w:t>
      </w:r>
    </w:p>
    <w:p>
      <w:r>
        <w:rPr>
          <w:rStyle w:val="FieldLabel"/>
        </w:rPr>
        <w:t>Table:</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156"/>
            <w:shd w:val="clear" w:color="auto" w:fill="F3F3F3"/>
          </w:tcPr>
          <w:p>
            <w:pPr>
              <w:spacing w:after="0"/>
            </w:pPr>
          </w:p>
        </w:tc>
        <w:tc>
          <w:tcPr>
            <w:tcW w:type="dxa" w:w="2311"/>
            <w:shd w:val="clear" w:color="auto" w:fill="F3F3F3"/>
          </w:tcPr>
          <w:p>
            <w:pPr>
              <w:spacing w:after="0"/>
            </w:pPr>
            <w:r>
              <w:rPr>
                <w:b/>
                <w:sz w:val="16"/>
              </w:rPr>
              <w:t>1. Notice the offer</w:t>
            </w:r>
          </w:p>
        </w:tc>
        <w:tc>
          <w:tcPr>
            <w:tcW w:type="dxa" w:w="2311"/>
            <w:shd w:val="clear" w:color="auto" w:fill="F3F3F3"/>
          </w:tcPr>
          <w:p>
            <w:pPr>
              <w:spacing w:after="0"/>
            </w:pPr>
            <w:r>
              <w:rPr>
                <w:b/>
                <w:sz w:val="16"/>
              </w:rPr>
              <w:t>2. Make a plan</w:t>
            </w:r>
          </w:p>
        </w:tc>
        <w:tc>
          <w:tcPr>
            <w:tcW w:type="dxa" w:w="2311"/>
            <w:shd w:val="clear" w:color="auto" w:fill="F3F3F3"/>
          </w:tcPr>
          <w:p>
            <w:pPr>
              <w:spacing w:after="0"/>
            </w:pPr>
            <w:r>
              <w:rPr>
                <w:b/>
                <w:sz w:val="16"/>
              </w:rPr>
              <w:t>3. Set up the money</w:t>
            </w:r>
          </w:p>
        </w:tc>
        <w:tc>
          <w:tcPr>
            <w:tcW w:type="dxa" w:w="2311"/>
            <w:shd w:val="clear" w:color="auto" w:fill="F3F3F3"/>
          </w:tcPr>
          <w:p>
            <w:pPr>
              <w:spacing w:after="0"/>
            </w:pPr>
            <w:r>
              <w:rPr>
                <w:b/>
                <w:sz w:val="16"/>
              </w:rPr>
              <w:t>4. First payday</w:t>
            </w:r>
          </w:p>
        </w:tc>
        <w:tc>
          <w:tcPr>
            <w:tcW w:type="dxa" w:w="2311"/>
            <w:shd w:val="clear" w:color="auto" w:fill="F3F3F3"/>
          </w:tcPr>
          <w:p>
            <w:pPr>
              <w:spacing w:after="0"/>
            </w:pPr>
            <w:r>
              <w:rPr>
                <w:b/>
                <w:sz w:val="16"/>
              </w:rPr>
              <w:t>5. Build the habit (to day 90)</w:t>
            </w:r>
          </w:p>
        </w:tc>
        <w:tc>
          <w:tcPr>
            <w:tcW w:type="dxa" w:w="2311"/>
            <w:shd w:val="clear" w:color="auto" w:fill="F3F3F3"/>
          </w:tcPr>
          <w:p>
            <w:pPr>
              <w:spacing w:after="0"/>
            </w:pPr>
            <w:r>
              <w:rPr>
                <w:b/>
                <w:sz w:val="16"/>
              </w:rPr>
              <w:t>6. Withdraw or keep going</w:t>
            </w:r>
          </w:p>
        </w:tc>
      </w:tr>
      <w:tr>
        <w:tc>
          <w:tcPr>
            <w:tcW w:type="dxa" w:w="1156"/>
          </w:tcPr>
          <w:p>
            <w:pPr>
              <w:spacing w:after="0"/>
            </w:pPr>
            <w:r>
              <w:rPr>
                <w:sz w:val="16"/>
              </w:rPr>
              <w:t>Goal</w:t>
            </w:r>
          </w:p>
        </w:tc>
        <w:tc>
          <w:tcPr>
            <w:tcW w:type="dxa" w:w="2311"/>
          </w:tcPr>
          <w:p>
            <w:pPr>
              <w:spacing w:after="0"/>
            </w:pPr>
            <w:r>
              <w:rPr>
                <w:sz w:val="16"/>
              </w:rPr>
              <w:t>Decide whether this is worth a look</w:t>
            </w:r>
          </w:p>
        </w:tc>
        <w:tc>
          <w:tcPr>
            <w:tcW w:type="dxa" w:w="2311"/>
          </w:tcPr>
          <w:p>
            <w:pPr>
              <w:spacing w:after="0"/>
            </w:pPr>
            <w:r>
              <w:rPr>
                <w:sz w:val="16"/>
              </w:rPr>
              <w:t>Know what to put in and why</w:t>
            </w:r>
          </w:p>
        </w:tc>
        <w:tc>
          <w:tcPr>
            <w:tcW w:type="dxa" w:w="2311"/>
          </w:tcPr>
          <w:p>
            <w:pPr>
              <w:spacing w:after="0"/>
            </w:pPr>
            <w:r>
              <w:rPr>
                <w:sz w:val="16"/>
              </w:rPr>
              <w:t>Make saving automatic</w:t>
            </w:r>
          </w:p>
        </w:tc>
        <w:tc>
          <w:tcPr>
            <w:tcW w:type="dxa" w:w="2311"/>
          </w:tcPr>
          <w:p>
            <w:pPr>
              <w:spacing w:after="0"/>
            </w:pPr>
            <w:r>
              <w:rPr>
                <w:sz w:val="16"/>
              </w:rPr>
              <w:t>See the first money arrive and get invested</w:t>
            </w:r>
          </w:p>
        </w:tc>
        <w:tc>
          <w:tcPr>
            <w:tcW w:type="dxa" w:w="2311"/>
          </w:tcPr>
          <w:p>
            <w:pPr>
              <w:spacing w:after="0"/>
            </w:pPr>
            <w:r>
              <w:rPr>
                <w:sz w:val="16"/>
              </w:rPr>
              <w:t>Keep going without thinking about it</w:t>
            </w:r>
          </w:p>
        </w:tc>
        <w:tc>
          <w:tcPr>
            <w:tcW w:type="dxa" w:w="2311"/>
          </w:tcPr>
          <w:p>
            <w:pPr>
              <w:spacing w:after="0"/>
            </w:pPr>
            <w:r>
              <w:rPr>
                <w:sz w:val="16"/>
              </w:rPr>
              <w:t>Get money out when needed</w:t>
            </w:r>
          </w:p>
        </w:tc>
      </w:tr>
      <w:tr>
        <w:tc>
          <w:tcPr>
            <w:tcW w:type="dxa" w:w="1156"/>
          </w:tcPr>
          <w:p>
            <w:pPr>
              <w:spacing w:after="0"/>
            </w:pPr>
            <w:r>
              <w:rPr>
                <w:sz w:val="16"/>
              </w:rPr>
              <w:t>Actions</w:t>
            </w:r>
          </w:p>
        </w:tc>
        <w:tc>
          <w:tcPr>
            <w:tcW w:type="dxa" w:w="2311"/>
          </w:tcPr>
          <w:p>
            <w:pPr>
              <w:spacing w:after="0"/>
            </w:pPr>
            <w:r>
              <w:rPr>
                <w:sz w:val="16"/>
              </w:rPr>
              <w:t>Opens a Zalo message or app banner</w:t>
            </w:r>
          </w:p>
        </w:tc>
        <w:tc>
          <w:tcPr>
            <w:tcW w:type="dxa" w:w="2311"/>
          </w:tcPr>
          <w:p>
            <w:pPr>
              <w:spacing w:after="0"/>
            </w:pPr>
            <w:r>
              <w:rPr>
                <w:sz w:val="16"/>
              </w:rPr>
              <w:t>Sets a goal, answers 3 questions, confirms the plan</w:t>
            </w:r>
          </w:p>
        </w:tc>
        <w:tc>
          <w:tcPr>
            <w:tcW w:type="dxa" w:w="2311"/>
          </w:tcPr>
          <w:p>
            <w:pPr>
              <w:spacing w:after="0"/>
            </w:pPr>
            <w:r>
              <w:rPr>
                <w:sz w:val="16"/>
              </w:rPr>
              <w:t>Creates a monthly transfer in the salary bank's app</w:t>
            </w:r>
          </w:p>
        </w:tc>
        <w:tc>
          <w:tcPr>
            <w:tcW w:type="dxa" w:w="2311"/>
          </w:tcPr>
          <w:p>
            <w:pPr>
              <w:spacing w:after="0"/>
            </w:pPr>
            <w:r>
              <w:rPr>
                <w:sz w:val="16"/>
              </w:rPr>
              <w:t>Gets paid; the bank sends the transfer</w:t>
            </w:r>
          </w:p>
        </w:tc>
        <w:tc>
          <w:tcPr>
            <w:tcW w:type="dxa" w:w="2311"/>
          </w:tcPr>
          <w:p>
            <w:pPr>
              <w:spacing w:after="0"/>
            </w:pPr>
            <w:r>
              <w:rPr>
                <w:sz w:val="16"/>
              </w:rPr>
              <w:t>Reads the payday reminder; skips a month if needed</w:t>
            </w:r>
          </w:p>
        </w:tc>
        <w:tc>
          <w:tcPr>
            <w:tcW w:type="dxa" w:w="2311"/>
          </w:tcPr>
          <w:p>
            <w:pPr>
              <w:spacing w:after="0"/>
            </w:pPr>
            <w:r>
              <w:rPr>
                <w:sz w:val="16"/>
              </w:rPr>
              <w:t>Withdraws to the bank or skips a month</w:t>
            </w:r>
          </w:p>
        </w:tc>
      </w:tr>
      <w:tr>
        <w:tc>
          <w:tcPr>
            <w:tcW w:type="dxa" w:w="1156"/>
          </w:tcPr>
          <w:p>
            <w:pPr>
              <w:spacing w:after="0"/>
            </w:pPr>
            <w:r>
              <w:rPr>
                <w:sz w:val="16"/>
              </w:rPr>
              <w:t>Touchpoints</w:t>
            </w:r>
          </w:p>
        </w:tc>
        <w:tc>
          <w:tcPr>
            <w:tcW w:type="dxa" w:w="2311"/>
          </w:tcPr>
          <w:p>
            <w:pPr>
              <w:spacing w:after="0"/>
            </w:pPr>
            <w:r>
              <w:rPr>
                <w:sz w:val="16"/>
              </w:rPr>
              <w:t>Zalo template message, SMS, push, banner</w:t>
            </w:r>
          </w:p>
        </w:tc>
        <w:tc>
          <w:tcPr>
            <w:tcW w:type="dxa" w:w="2311"/>
          </w:tcPr>
          <w:p>
            <w:pPr>
              <w:spacing w:after="0"/>
            </w:pPr>
            <w:r>
              <w:rPr>
                <w:sz w:val="16"/>
              </w:rPr>
              <w:t>Ensa, plan screen, fee screen</w:t>
            </w:r>
          </w:p>
        </w:tc>
        <w:tc>
          <w:tcPr>
            <w:tcW w:type="dxa" w:w="2311"/>
          </w:tcPr>
          <w:p>
            <w:pPr>
              <w:spacing w:after="0"/>
            </w:pPr>
            <w:r>
              <w:rPr>
                <w:sz w:val="16"/>
              </w:rPr>
              <w:t>Personal account card, bank app link, QR</w:t>
            </w:r>
          </w:p>
        </w:tc>
        <w:tc>
          <w:tcPr>
            <w:tcW w:type="dxa" w:w="2311"/>
          </w:tcPr>
          <w:p>
            <w:pPr>
              <w:spacing w:after="0"/>
            </w:pPr>
            <w:r>
              <w:rPr>
                <w:sz w:val="16"/>
              </w:rPr>
              <w:t>"Received" and "Invested" notices</w:t>
            </w:r>
          </w:p>
        </w:tc>
        <w:tc>
          <w:tcPr>
            <w:tcW w:type="dxa" w:w="2311"/>
          </w:tcPr>
          <w:p>
            <w:pPr>
              <w:spacing w:after="0"/>
            </w:pPr>
            <w:r>
              <w:rPr>
                <w:sz w:val="16"/>
              </w:rPr>
              <w:t>Reminder naming the goal; streak; statement</w:t>
            </w:r>
          </w:p>
        </w:tc>
        <w:tc>
          <w:tcPr>
            <w:tcW w:type="dxa" w:w="2311"/>
          </w:tcPr>
          <w:p>
            <w:pPr>
              <w:spacing w:after="0"/>
            </w:pPr>
            <w:r>
              <w:rPr>
                <w:sz w:val="16"/>
              </w:rPr>
              <w:t>Withdrawal screen</w:t>
            </w:r>
          </w:p>
        </w:tc>
      </w:tr>
      <w:tr>
        <w:tc>
          <w:tcPr>
            <w:tcW w:type="dxa" w:w="1156"/>
          </w:tcPr>
          <w:p>
            <w:pPr>
              <w:spacing w:after="0"/>
            </w:pPr>
            <w:r>
              <w:rPr>
                <w:sz w:val="16"/>
              </w:rPr>
              <w:t>Thinking</w:t>
            </w:r>
          </w:p>
        </w:tc>
        <w:tc>
          <w:tcPr>
            <w:tcW w:type="dxa" w:w="2311"/>
          </w:tcPr>
          <w:p>
            <w:pPr>
              <w:spacing w:after="0"/>
            </w:pPr>
            <w:r>
              <w:rPr>
                <w:sz w:val="16"/>
              </w:rPr>
              <w:t>"Is this another reward with conditions?"</w:t>
            </w:r>
          </w:p>
        </w:tc>
        <w:tc>
          <w:tcPr>
            <w:tcW w:type="dxa" w:w="2311"/>
          </w:tcPr>
          <w:p>
            <w:pPr>
              <w:spacing w:after="0"/>
            </w:pPr>
            <w:r>
              <w:rPr>
                <w:sz w:val="16"/>
              </w:rPr>
              <w:t>"What am I buying, and what can I lose?"</w:t>
            </w:r>
          </w:p>
        </w:tc>
        <w:tc>
          <w:tcPr>
            <w:tcW w:type="dxa" w:w="2311"/>
          </w:tcPr>
          <w:p>
            <w:pPr>
              <w:spacing w:after="0"/>
            </w:pPr>
            <w:r>
              <w:rPr>
                <w:sz w:val="16"/>
              </w:rPr>
              <w:t>"Will my bank transfer actually reach DNSE?"</w:t>
            </w:r>
          </w:p>
        </w:tc>
        <w:tc>
          <w:tcPr>
            <w:tcW w:type="dxa" w:w="2311"/>
          </w:tcPr>
          <w:p>
            <w:pPr>
              <w:spacing w:after="0"/>
            </w:pPr>
            <w:r>
              <w:rPr>
                <w:sz w:val="16"/>
              </w:rPr>
              <w:t>"Did it arrive? Where is my money now?"</w:t>
            </w:r>
          </w:p>
        </w:tc>
        <w:tc>
          <w:tcPr>
            <w:tcW w:type="dxa" w:w="2311"/>
          </w:tcPr>
          <w:p>
            <w:pPr>
              <w:spacing w:after="0"/>
            </w:pPr>
            <w:r>
              <w:rPr>
                <w:sz w:val="16"/>
              </w:rPr>
              <w:t>"Is it still worth it this month?"</w:t>
            </w:r>
          </w:p>
        </w:tc>
        <w:tc>
          <w:tcPr>
            <w:tcW w:type="dxa" w:w="2311"/>
          </w:tcPr>
          <w:p>
            <w:pPr>
              <w:spacing w:after="0"/>
            </w:pPr>
            <w:r>
              <w:rPr>
                <w:sz w:val="16"/>
              </w:rPr>
              <w:t>"How fast, and what does it cost to take it out?"</w:t>
            </w:r>
          </w:p>
        </w:tc>
      </w:tr>
      <w:tr>
        <w:tc>
          <w:tcPr>
            <w:tcW w:type="dxa" w:w="1156"/>
          </w:tcPr>
          <w:p>
            <w:pPr>
              <w:spacing w:after="0"/>
            </w:pPr>
            <w:r>
              <w:rPr>
                <w:sz w:val="16"/>
              </w:rPr>
              <w:t>Feeling (to test in the pilot)</w:t>
            </w:r>
          </w:p>
        </w:tc>
        <w:tc>
          <w:tcPr>
            <w:tcW w:type="dxa" w:w="2311"/>
          </w:tcPr>
          <w:p>
            <w:pPr>
              <w:spacing w:after="0"/>
            </w:pPr>
            <w:r>
              <w:rPr>
                <w:sz w:val="16"/>
              </w:rPr>
              <w:t>Sceptical</w:t>
            </w:r>
          </w:p>
        </w:tc>
        <w:tc>
          <w:tcPr>
            <w:tcW w:type="dxa" w:w="2311"/>
          </w:tcPr>
          <w:p>
            <w:pPr>
              <w:spacing w:after="0"/>
            </w:pPr>
            <w:r>
              <w:rPr>
                <w:sz w:val="16"/>
              </w:rPr>
              <w:t>Unsure</w:t>
            </w:r>
          </w:p>
        </w:tc>
        <w:tc>
          <w:tcPr>
            <w:tcW w:type="dxa" w:w="2311"/>
          </w:tcPr>
          <w:p>
            <w:pPr>
              <w:spacing w:after="0"/>
            </w:pPr>
            <w:r>
              <w:rPr>
                <w:sz w:val="16"/>
              </w:rPr>
              <w:t>Impatient</w:t>
            </w:r>
          </w:p>
        </w:tc>
        <w:tc>
          <w:tcPr>
            <w:tcW w:type="dxa" w:w="2311"/>
          </w:tcPr>
          <w:p>
            <w:pPr>
              <w:spacing w:after="0"/>
            </w:pPr>
            <w:r>
              <w:rPr>
                <w:sz w:val="16"/>
              </w:rPr>
              <w:t>Anxious then relieved</w:t>
            </w:r>
          </w:p>
        </w:tc>
        <w:tc>
          <w:tcPr>
            <w:tcW w:type="dxa" w:w="2311"/>
          </w:tcPr>
          <w:p>
            <w:pPr>
              <w:spacing w:after="0"/>
            </w:pPr>
            <w:r>
              <w:rPr>
                <w:sz w:val="16"/>
              </w:rPr>
              <w:t>Motivated or forgetful</w:t>
            </w:r>
          </w:p>
        </w:tc>
        <w:tc>
          <w:tcPr>
            <w:tcW w:type="dxa" w:w="2311"/>
          </w:tcPr>
          <w:p>
            <w:pPr>
              <w:spacing w:after="0"/>
            </w:pPr>
            <w:r>
              <w:rPr>
                <w:sz w:val="16"/>
              </w:rPr>
              <w:t>Wary</w:t>
            </w:r>
          </w:p>
        </w:tc>
      </w:tr>
      <w:tr>
        <w:tc>
          <w:tcPr>
            <w:tcW w:type="dxa" w:w="1156"/>
          </w:tcPr>
          <w:p>
            <w:pPr>
              <w:spacing w:after="0"/>
            </w:pPr>
            <w:r>
              <w:rPr>
                <w:sz w:val="16"/>
              </w:rPr>
              <w:t>Pain points today (evidence)</w:t>
            </w:r>
          </w:p>
        </w:tc>
        <w:tc>
          <w:tcPr>
            <w:tcW w:type="dxa" w:w="2311"/>
          </w:tcPr>
          <w:p>
            <w:pPr>
              <w:spacing w:after="0"/>
            </w:pPr>
            <w:r>
              <w:rPr>
                <w:sz w:val="16"/>
              </w:rPr>
              <w:t>Distrusting offers after the 2025 sign-up reward (trust themes 55% of negative Google Play reviews in H1 2025)</w:t>
            </w:r>
          </w:p>
        </w:tc>
        <w:tc>
          <w:tcPr>
            <w:tcW w:type="dxa" w:w="2311"/>
          </w:tcPr>
          <w:p>
            <w:pPr>
              <w:spacing w:after="0"/>
            </w:pPr>
            <w:r>
              <w:rPr>
                <w:sz w:val="16"/>
              </w:rPr>
              <w:t>Finding portfolio choices hard (77% of investors find managing a portfolio difficult)</w:t>
            </w:r>
          </w:p>
        </w:tc>
        <w:tc>
          <w:tcPr>
            <w:tcW w:type="dxa" w:w="2311"/>
          </w:tcPr>
          <w:p>
            <w:pPr>
              <w:spacing w:after="0"/>
            </w:pPr>
            <w:r>
              <w:rPr>
                <w:sz w:val="16"/>
              </w:rPr>
              <w:t>Leaving the app to set up a transfer; failing eKYC and account steps (17% of 2026 negative reviews)</w:t>
            </w:r>
          </w:p>
        </w:tc>
        <w:tc>
          <w:tcPr>
            <w:tcW w:type="dxa" w:w="2311"/>
          </w:tcPr>
          <w:p>
            <w:pPr>
              <w:spacing w:after="0"/>
            </w:pPr>
            <w:r>
              <w:rPr>
                <w:sz w:val="16"/>
              </w:rPr>
              <w:t>Waiting for deposits the bank says were sent (17% of 2026 negative reviews)</w:t>
            </w:r>
          </w:p>
        </w:tc>
        <w:tc>
          <w:tcPr>
            <w:tcW w:type="dxa" w:w="2311"/>
          </w:tcPr>
          <w:p>
            <w:pPr>
              <w:spacing w:after="0"/>
            </w:pPr>
            <w:r>
              <w:rPr>
                <w:sz w:val="16"/>
              </w:rPr>
              <w:t>Postponing each month; apps that crash, freeze or lag (45% of 2026 negative reviews)</w:t>
            </w:r>
          </w:p>
        </w:tc>
        <w:tc>
          <w:tcPr>
            <w:tcW w:type="dxa" w:w="2311"/>
          </w:tcPr>
          <w:p>
            <w:pPr>
              <w:spacing w:after="0"/>
            </w:pPr>
            <w:r>
              <w:rPr>
                <w:sz w:val="16"/>
              </w:rPr>
              <w:t>Losing money on a 1-month Golden Egg without seeing why (2025 review) or on an auto-renewal the customer did not want (2026 review, product not named); withdrawals blocked when the bank-account name does not match (2026 review)</w:t>
            </w:r>
          </w:p>
        </w:tc>
      </w:tr>
      <w:tr>
        <w:tc>
          <w:tcPr>
            <w:tcW w:type="dxa" w:w="1156"/>
          </w:tcPr>
          <w:p>
            <w:pPr>
              <w:spacing w:after="0"/>
            </w:pPr>
            <w:r>
              <w:rPr>
                <w:sz w:val="16"/>
              </w:rPr>
              <w:t>Design response</w:t>
            </w:r>
          </w:p>
        </w:tc>
        <w:tc>
          <w:tcPr>
            <w:tcW w:type="dxa" w:w="2311"/>
          </w:tcPr>
          <w:p>
            <w:pPr>
              <w:spacing w:after="0"/>
            </w:pPr>
            <w:r>
              <w:rPr>
                <w:sz w:val="16"/>
              </w:rPr>
              <w:t>Remove sign-up rewards; say in one line what the plan is and who approves it</w:t>
            </w:r>
          </w:p>
        </w:tc>
        <w:tc>
          <w:tcPr>
            <w:tcW w:type="dxa" w:w="2311"/>
          </w:tcPr>
          <w:p>
            <w:pPr>
              <w:spacing w:after="0"/>
            </w:pPr>
            <w:r>
              <w:rPr>
                <w:sz w:val="16"/>
              </w:rPr>
              <w:t>Ask 3 questions; set the plan by goal horizon; show a bad month in VND</w:t>
            </w:r>
          </w:p>
        </w:tc>
        <w:tc>
          <w:tcPr>
            <w:tcW w:type="dxa" w:w="2311"/>
          </w:tcPr>
          <w:p>
            <w:pPr>
              <w:spacing w:after="0"/>
            </w:pPr>
            <w:r>
              <w:rPr>
                <w:sz w:val="16"/>
              </w:rPr>
              <w:t>Give a personal account number with a bank-app link and QR; aim for 5 minutes and no more steps than VCB Digibank SIP</w:t>
            </w:r>
          </w:p>
        </w:tc>
        <w:tc>
          <w:tcPr>
            <w:tcW w:type="dxa" w:w="2311"/>
          </w:tcPr>
          <w:p>
            <w:pPr>
              <w:spacing w:after="0"/>
            </w:pPr>
            <w:r>
              <w:rPr>
                <w:sz w:val="16"/>
              </w:rPr>
              <w:t>Credit to a personal virtual account automatically; confirm within minutes; publish the on-time rate</w:t>
            </w:r>
          </w:p>
        </w:tc>
        <w:tc>
          <w:tcPr>
            <w:tcW w:type="dxa" w:w="2311"/>
          </w:tcPr>
          <w:p>
            <w:pPr>
              <w:spacing w:after="0"/>
            </w:pPr>
            <w:r>
              <w:rPr>
                <w:sz w:val="16"/>
              </w:rPr>
              <w:t>Send a reminder that names the goal; keep a streak; allow one skip a year</w:t>
            </w:r>
          </w:p>
        </w:tc>
        <w:tc>
          <w:tcPr>
            <w:tcW w:type="dxa" w:w="2311"/>
          </w:tcPr>
          <w:p>
            <w:pPr>
              <w:spacing w:after="0"/>
            </w:pPr>
            <w:r>
              <w:rPr>
                <w:sz w:val="16"/>
              </w:rPr>
              <w:t>Show arrival time and cost in VND before confirming; withdraw to the linked bank free; add a step before moving money to trading</w:t>
            </w:r>
          </w:p>
        </w:tc>
      </w:tr>
      <w:tr>
        <w:tc>
          <w:tcPr>
            <w:tcW w:type="dxa" w:w="1156"/>
          </w:tcPr>
          <w:p>
            <w:pPr>
              <w:spacing w:after="0"/>
            </w:pPr>
            <w:r>
              <w:rPr>
                <w:sz w:val="16"/>
              </w:rPr>
              <w:t>Metric</w:t>
            </w:r>
          </w:p>
        </w:tc>
        <w:tc>
          <w:tcPr>
            <w:tcW w:type="dxa" w:w="2311"/>
          </w:tcPr>
          <w:p>
            <w:pPr>
              <w:spacing w:after="0"/>
            </w:pPr>
            <w:r>
              <w:rPr>
                <w:sz w:val="16"/>
              </w:rPr>
              <w:t>Open and tap-through rates</w:t>
            </w:r>
          </w:p>
        </w:tc>
        <w:tc>
          <w:tcPr>
            <w:tcW w:type="dxa" w:w="2311"/>
          </w:tcPr>
          <w:p>
            <w:pPr>
              <w:spacing w:after="0"/>
            </w:pPr>
            <w:r>
              <w:rPr>
                <w:sz w:val="16"/>
              </w:rPr>
              <w:t>Plans confirmed after the suitability check</w:t>
            </w:r>
          </w:p>
        </w:tc>
        <w:tc>
          <w:tcPr>
            <w:tcW w:type="dxa" w:w="2311"/>
          </w:tcPr>
          <w:p>
            <w:pPr>
              <w:spacing w:after="0"/>
            </w:pPr>
            <w:r>
              <w:rPr>
                <w:sz w:val="16"/>
              </w:rPr>
              <w:t>Set-up completion and time</w:t>
            </w:r>
          </w:p>
        </w:tc>
        <w:tc>
          <w:tcPr>
            <w:tcW w:type="dxa" w:w="2311"/>
          </w:tcPr>
          <w:p>
            <w:pPr>
              <w:spacing w:after="0"/>
            </w:pPr>
            <w:r>
              <w:rPr>
                <w:sz w:val="16"/>
              </w:rPr>
              <w:t>Contributions credited on the same banking day (&gt;= 99.5%)</w:t>
            </w:r>
          </w:p>
        </w:tc>
        <w:tc>
          <w:tcPr>
            <w:tcW w:type="dxa" w:w="2311"/>
          </w:tcPr>
          <w:p>
            <w:pPr>
              <w:spacing w:after="0"/>
            </w:pPr>
            <w:r>
              <w:rPr>
                <w:sz w:val="16"/>
              </w:rPr>
              <w:t>Savers making 3 contributions in a row</w:t>
            </w:r>
          </w:p>
        </w:tc>
        <w:tc>
          <w:tcPr>
            <w:tcW w:type="dxa" w:w="2311"/>
          </w:tcPr>
          <w:p>
            <w:pPr>
              <w:spacing w:after="0"/>
            </w:pPr>
            <w:r>
              <w:rPr>
                <w:sz w:val="16"/>
              </w:rPr>
              <w:t>Median withdrawal time; share moved to buying power</w:t>
            </w:r>
          </w:p>
        </w:tc>
      </w:tr>
      <w:tr>
        <w:tc>
          <w:tcPr>
            <w:tcW w:type="dxa" w:w="1156"/>
          </w:tcPr>
          <w:p>
            <w:pPr>
              <w:spacing w:after="0"/>
            </w:pPr>
            <w:r>
              <w:rPr>
                <w:sz w:val="16"/>
              </w:rPr>
              <w:t>Owner</w:t>
            </w:r>
          </w:p>
        </w:tc>
        <w:tc>
          <w:tcPr>
            <w:tcW w:type="dxa" w:w="2311"/>
          </w:tcPr>
          <w:p>
            <w:pPr>
              <w:spacing w:after="0"/>
            </w:pPr>
            <w:r>
              <w:rPr>
                <w:sz w:val="16"/>
              </w:rPr>
              <w:t>Marketing and CRM</w:t>
            </w:r>
          </w:p>
        </w:tc>
        <w:tc>
          <w:tcPr>
            <w:tcW w:type="dxa" w:w="2311"/>
          </w:tcPr>
          <w:p>
            <w:pPr>
              <w:spacing w:after="0"/>
            </w:pPr>
            <w:r>
              <w:rPr>
                <w:sz w:val="16"/>
              </w:rPr>
              <w:t>Head of Product; licensed adviser</w:t>
            </w:r>
          </w:p>
        </w:tc>
        <w:tc>
          <w:tcPr>
            <w:tcW w:type="dxa" w:w="2311"/>
          </w:tcPr>
          <w:p>
            <w:pPr>
              <w:spacing w:after="0"/>
            </w:pPr>
            <w:r>
              <w:rPr>
                <w:sz w:val="16"/>
              </w:rPr>
              <w:t>CTO; partner bank</w:t>
            </w:r>
          </w:p>
        </w:tc>
        <w:tc>
          <w:tcPr>
            <w:tcW w:type="dxa" w:w="2311"/>
          </w:tcPr>
          <w:p>
            <w:pPr>
              <w:spacing w:after="0"/>
            </w:pPr>
            <w:r>
              <w:rPr>
                <w:sz w:val="16"/>
              </w:rPr>
              <w:t>CTO; Operations</w:t>
            </w:r>
          </w:p>
        </w:tc>
        <w:tc>
          <w:tcPr>
            <w:tcW w:type="dxa" w:w="2311"/>
          </w:tcPr>
          <w:p>
            <w:pPr>
              <w:spacing w:after="0"/>
            </w:pPr>
            <w:r>
              <w:rPr>
                <w:sz w:val="16"/>
              </w:rPr>
              <w:t>Head of Product</w:t>
            </w:r>
          </w:p>
        </w:tc>
        <w:tc>
          <w:tcPr>
            <w:tcW w:type="dxa" w:w="2311"/>
          </w:tcPr>
          <w:p>
            <w:pPr>
              <w:spacing w:after="0"/>
            </w:pPr>
            <w:r>
              <w:rPr>
                <w:sz w:val="16"/>
              </w:rPr>
              <w:t>Customer Service</w:t>
            </w:r>
          </w:p>
        </w:tc>
      </w:tr>
      <w:tr>
        <w:tc>
          <w:tcPr>
            <w:tcW w:type="dxa" w:w="1156"/>
          </w:tcPr>
          <w:p>
            <w:pPr>
              <w:spacing w:after="0"/>
            </w:pPr>
            <w:r>
              <w:rPr>
                <w:sz w:val="16"/>
              </w:rPr>
              <w:t>Moment of truth</w:t>
            </w:r>
          </w:p>
        </w:tc>
        <w:tc>
          <w:tcPr>
            <w:tcW w:type="dxa" w:w="2311"/>
          </w:tcPr>
          <w:p>
            <w:pPr>
              <w:spacing w:after="0"/>
            </w:pPr>
            <w:r>
              <w:rPr>
                <w:sz w:val="16"/>
              </w:rPr>
              <w:t>-</w:t>
            </w:r>
          </w:p>
        </w:tc>
        <w:tc>
          <w:tcPr>
            <w:tcW w:type="dxa" w:w="2311"/>
          </w:tcPr>
          <w:p>
            <w:pPr>
              <w:spacing w:after="0"/>
            </w:pPr>
            <w:r>
              <w:rPr>
                <w:sz w:val="16"/>
              </w:rPr>
              <w:t>-</w:t>
            </w:r>
          </w:p>
        </w:tc>
        <w:tc>
          <w:tcPr>
            <w:tcW w:type="dxa" w:w="2311"/>
          </w:tcPr>
          <w:p>
            <w:pPr>
              <w:spacing w:after="0"/>
            </w:pPr>
            <w:r>
              <w:rPr>
                <w:sz w:val="16"/>
              </w:rPr>
              <w:t>-</w:t>
            </w:r>
          </w:p>
        </w:tc>
        <w:tc>
          <w:tcPr>
            <w:tcW w:type="dxa" w:w="2311"/>
          </w:tcPr>
          <w:p>
            <w:pPr>
              <w:spacing w:after="0"/>
            </w:pPr>
            <w:r>
              <w:rPr>
                <w:sz w:val="16"/>
              </w:rPr>
              <w:t>Yes: first money in</w:t>
            </w:r>
          </w:p>
        </w:tc>
        <w:tc>
          <w:tcPr>
            <w:tcW w:type="dxa" w:w="2311"/>
          </w:tcPr>
          <w:p>
            <w:pPr>
              <w:spacing w:after="0"/>
            </w:pPr>
            <w:r>
              <w:rPr>
                <w:sz w:val="16"/>
              </w:rPr>
              <w:t>-</w:t>
            </w:r>
          </w:p>
        </w:tc>
        <w:tc>
          <w:tcPr>
            <w:tcW w:type="dxa" w:w="2311"/>
          </w:tcPr>
          <w:p>
            <w:pPr>
              <w:spacing w:after="0"/>
            </w:pPr>
            <w:r>
              <w:rPr>
                <w:sz w:val="16"/>
              </w:rPr>
              <w:t>Yes: first money out</w:t>
            </w:r>
          </w:p>
        </w:tc>
      </w:tr>
    </w:tbl>
    <w:p/>
    <w:p>
      <w:pPr>
        <w:pStyle w:val="SourceLine"/>
      </w:pPr>
      <w:r>
        <w:t xml:space="preserve">CSV: </w:t>
      </w:r>
      <w:r>
        <w:rPr>
          <w:rFonts w:ascii="Consolas" w:hAnsi="Consolas"/>
          <w:color w:val="6B6B6B"/>
          <w:sz w:val="18"/>
        </w:rPr>
        <w:t>outputs/round3/tables/appG2_journey.csv</w:t>
      </w:r>
      <w:r>
        <w:t>.</w:t>
      </w:r>
    </w:p>
    <w:p>
      <w:pPr>
        <w:pStyle w:val="SourceLine"/>
      </w:pPr>
      <w:r>
        <w:t>Source: authors' design; evidence from Appendix D, Nhan Dan (2025) and the review data. Feelings are hypotheses for the pilot to test.</w:t>
      </w:r>
    </w:p>
    <w:p>
      <w:r>
        <w:br w:type="page"/>
      </w:r>
    </w:p>
    <w:p>
      <w:pPr>
        <w:pStyle w:val="Heading3"/>
      </w:pPr>
      <w:r>
        <w:t>G3. Service metrics DNSE would publish</w:t>
      </w:r>
    </w:p>
    <w:p>
      <w:r>
        <w:rPr>
          <w:rStyle w:val="FieldLabel"/>
        </w:rPr>
        <w:t>Title:</w:t>
      </w:r>
      <w:r>
        <w:t xml:space="preserve"> </w:t>
      </w:r>
      <w:r>
        <w:t>Seven commitments, each with a number published on a schedule</w:t>
      </w:r>
    </w:p>
    <w:p>
      <w:r>
        <w:rPr>
          <w:rStyle w:val="FieldLabel"/>
        </w:rPr>
        <w:t>Table: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2136"/>
            <w:shd w:val="clear" w:color="auto" w:fill="F3F3F3"/>
          </w:tcPr>
          <w:p>
            <w:pPr>
              <w:spacing w:after="0"/>
            </w:pPr>
            <w:r>
              <w:rPr>
                <w:b/>
                <w:sz w:val="16"/>
              </w:rPr>
              <w:t>Commitment</w:t>
            </w:r>
          </w:p>
        </w:tc>
        <w:tc>
          <w:tcPr>
            <w:tcW w:type="dxa" w:w="4272"/>
            <w:shd w:val="clear" w:color="auto" w:fill="F3F3F3"/>
          </w:tcPr>
          <w:p>
            <w:pPr>
              <w:spacing w:after="0"/>
            </w:pPr>
            <w:r>
              <w:rPr>
                <w:b/>
                <w:sz w:val="16"/>
              </w:rPr>
              <w:t>Customer sees</w:t>
            </w:r>
          </w:p>
        </w:tc>
        <w:tc>
          <w:tcPr>
            <w:tcW w:type="dxa" w:w="4272"/>
            <w:shd w:val="clear" w:color="auto" w:fill="F3F3F3"/>
          </w:tcPr>
          <w:p>
            <w:pPr>
              <w:spacing w:after="0"/>
            </w:pPr>
            <w:r>
              <w:rPr>
                <w:b/>
                <w:sz w:val="16"/>
              </w:rPr>
              <w:t>Published metric</w:t>
            </w:r>
          </w:p>
        </w:tc>
        <w:tc>
          <w:tcPr>
            <w:tcW w:type="dxa" w:w="2065"/>
            <w:shd w:val="clear" w:color="auto" w:fill="F3F3F3"/>
          </w:tcPr>
          <w:p>
            <w:pPr>
              <w:spacing w:after="0"/>
            </w:pPr>
            <w:r>
              <w:rPr>
                <w:b/>
                <w:sz w:val="16"/>
              </w:rPr>
              <w:t>Target</w:t>
            </w:r>
          </w:p>
        </w:tc>
        <w:tc>
          <w:tcPr>
            <w:tcW w:type="dxa" w:w="854"/>
            <w:shd w:val="clear" w:color="auto" w:fill="F3F3F3"/>
          </w:tcPr>
          <w:p>
            <w:pPr>
              <w:spacing w:after="0"/>
            </w:pPr>
            <w:r>
              <w:rPr>
                <w:b/>
                <w:sz w:val="16"/>
              </w:rPr>
              <w:t>Cadence</w:t>
            </w:r>
          </w:p>
        </w:tc>
        <w:tc>
          <w:tcPr>
            <w:tcW w:type="dxa" w:w="1424"/>
            <w:shd w:val="clear" w:color="auto" w:fill="F3F3F3"/>
          </w:tcPr>
          <w:p>
            <w:pPr>
              <w:spacing w:after="0"/>
            </w:pPr>
            <w:r>
              <w:rPr>
                <w:b/>
                <w:sz w:val="16"/>
              </w:rPr>
              <w:t>Owner</w:t>
            </w:r>
          </w:p>
        </w:tc>
      </w:tr>
      <w:tr>
        <w:tc>
          <w:tcPr>
            <w:tcW w:type="dxa" w:w="2136"/>
          </w:tcPr>
          <w:p>
            <w:pPr>
              <w:spacing w:after="0"/>
            </w:pPr>
            <w:r>
              <w:rPr>
                <w:sz w:val="16"/>
              </w:rPr>
              <w:t>Money arrives when we say</w:t>
            </w:r>
          </w:p>
        </w:tc>
        <w:tc>
          <w:tcPr>
            <w:tcW w:type="dxa" w:w="4272"/>
          </w:tcPr>
          <w:p>
            <w:pPr>
              <w:spacing w:after="0"/>
            </w:pPr>
            <w:r>
              <w:rPr>
                <w:sz w:val="16"/>
              </w:rPr>
              <w:t>A "received" notice within minutes of the bank credit</w:t>
            </w:r>
          </w:p>
        </w:tc>
        <w:tc>
          <w:tcPr>
            <w:tcW w:type="dxa" w:w="4272"/>
          </w:tcPr>
          <w:p>
            <w:pPr>
              <w:spacing w:after="0"/>
            </w:pPr>
            <w:r>
              <w:rPr>
                <w:sz w:val="16"/>
              </w:rPr>
              <w:t>Share of scheduled contributions credited on the same banking day</w:t>
            </w:r>
          </w:p>
        </w:tc>
        <w:tc>
          <w:tcPr>
            <w:tcW w:type="dxa" w:w="2065"/>
          </w:tcPr>
          <w:p>
            <w:pPr>
              <w:spacing w:after="0"/>
            </w:pPr>
            <w:r>
              <w:rPr>
                <w:sz w:val="16"/>
              </w:rPr>
              <w:t>&gt;= 99.5% (launch gate)</w:t>
            </w:r>
          </w:p>
        </w:tc>
        <w:tc>
          <w:tcPr>
            <w:tcW w:type="dxa" w:w="854"/>
          </w:tcPr>
          <w:p>
            <w:pPr>
              <w:spacing w:after="0"/>
            </w:pPr>
            <w:r>
              <w:rPr>
                <w:sz w:val="16"/>
              </w:rPr>
              <w:t>Monthly</w:t>
            </w:r>
          </w:p>
        </w:tc>
        <w:tc>
          <w:tcPr>
            <w:tcW w:type="dxa" w:w="1424"/>
          </w:tcPr>
          <w:p>
            <w:pPr>
              <w:spacing w:after="0"/>
            </w:pPr>
            <w:r>
              <w:rPr>
                <w:sz w:val="16"/>
              </w:rPr>
              <w:t>CTO</w:t>
            </w:r>
          </w:p>
        </w:tc>
      </w:tr>
      <w:tr>
        <w:tc>
          <w:tcPr>
            <w:tcW w:type="dxa" w:w="2136"/>
          </w:tcPr>
          <w:p>
            <w:pPr>
              <w:spacing w:after="0"/>
            </w:pPr>
            <w:r>
              <w:rPr>
                <w:sz w:val="16"/>
              </w:rPr>
              <w:t>Money is invested quickly</w:t>
            </w:r>
          </w:p>
        </w:tc>
        <w:tc>
          <w:tcPr>
            <w:tcW w:type="dxa" w:w="4272"/>
          </w:tcPr>
          <w:p>
            <w:pPr>
              <w:spacing w:after="0"/>
            </w:pPr>
            <w:r>
              <w:rPr>
                <w:sz w:val="16"/>
              </w:rPr>
              <w:t>An "invested" status with the asset bought</w:t>
            </w:r>
          </w:p>
        </w:tc>
        <w:tc>
          <w:tcPr>
            <w:tcW w:type="dxa" w:w="4272"/>
          </w:tcPr>
          <w:p>
            <w:pPr>
              <w:spacing w:after="0"/>
            </w:pPr>
            <w:r>
              <w:rPr>
                <w:sz w:val="16"/>
              </w:rPr>
              <w:t>Median time from credit to invested</w:t>
            </w:r>
          </w:p>
        </w:tc>
        <w:tc>
          <w:tcPr>
            <w:tcW w:type="dxa" w:w="2065"/>
          </w:tcPr>
          <w:p>
            <w:pPr>
              <w:spacing w:after="0"/>
            </w:pPr>
            <w:r>
              <w:rPr>
                <w:sz w:val="16"/>
              </w:rPr>
              <w:t>&lt;= 1 business day</w:t>
            </w:r>
          </w:p>
        </w:tc>
        <w:tc>
          <w:tcPr>
            <w:tcW w:type="dxa" w:w="854"/>
          </w:tcPr>
          <w:p>
            <w:pPr>
              <w:spacing w:after="0"/>
            </w:pPr>
            <w:r>
              <w:rPr>
                <w:sz w:val="16"/>
              </w:rPr>
              <w:t>Monthly</w:t>
            </w:r>
          </w:p>
        </w:tc>
        <w:tc>
          <w:tcPr>
            <w:tcW w:type="dxa" w:w="1424"/>
          </w:tcPr>
          <w:p>
            <w:pPr>
              <w:spacing w:after="0"/>
            </w:pPr>
            <w:r>
              <w:rPr>
                <w:sz w:val="16"/>
              </w:rPr>
              <w:t>CTO</w:t>
            </w:r>
          </w:p>
        </w:tc>
      </w:tr>
      <w:tr>
        <w:tc>
          <w:tcPr>
            <w:tcW w:type="dxa" w:w="2136"/>
          </w:tcPr>
          <w:p>
            <w:pPr>
              <w:spacing w:after="0"/>
            </w:pPr>
            <w:r>
              <w:rPr>
                <w:sz w:val="16"/>
              </w:rPr>
              <w:t>Withdrawals are fast and free</w:t>
            </w:r>
          </w:p>
        </w:tc>
        <w:tc>
          <w:tcPr>
            <w:tcW w:type="dxa" w:w="4272"/>
          </w:tcPr>
          <w:p>
            <w:pPr>
              <w:spacing w:after="0"/>
            </w:pPr>
            <w:r>
              <w:rPr>
                <w:sz w:val="16"/>
              </w:rPr>
              <w:t>"Arrives by 22:00 today" for Golden Egg sales placed 09:00-14:30 (DNSE FAQ: about 21:00-22:00 on the sale day); the fund settlement date before confirming</w:t>
            </w:r>
          </w:p>
        </w:tc>
        <w:tc>
          <w:tcPr>
            <w:tcW w:type="dxa" w:w="4272"/>
          </w:tcPr>
          <w:p>
            <w:pPr>
              <w:spacing w:after="0"/>
            </w:pPr>
            <w:r>
              <w:rPr>
                <w:sz w:val="16"/>
              </w:rPr>
              <w:t>Median time from request to money in the linked bank</w:t>
            </w:r>
          </w:p>
        </w:tc>
        <w:tc>
          <w:tcPr>
            <w:tcW w:type="dxa" w:w="2065"/>
          </w:tcPr>
          <w:p>
            <w:pPr>
              <w:spacing w:after="0"/>
            </w:pPr>
            <w:r>
              <w:rPr>
                <w:sz w:val="16"/>
              </w:rPr>
              <w:t>Same day for Golden Egg sales</w:t>
            </w:r>
          </w:p>
        </w:tc>
        <w:tc>
          <w:tcPr>
            <w:tcW w:type="dxa" w:w="854"/>
          </w:tcPr>
          <w:p>
            <w:pPr>
              <w:spacing w:after="0"/>
            </w:pPr>
            <w:r>
              <w:rPr>
                <w:sz w:val="16"/>
              </w:rPr>
              <w:t>Monthly</w:t>
            </w:r>
          </w:p>
        </w:tc>
        <w:tc>
          <w:tcPr>
            <w:tcW w:type="dxa" w:w="1424"/>
          </w:tcPr>
          <w:p>
            <w:pPr>
              <w:spacing w:after="0"/>
            </w:pPr>
            <w:r>
              <w:rPr>
                <w:sz w:val="16"/>
              </w:rPr>
              <w:t>Head of Product</w:t>
            </w:r>
          </w:p>
        </w:tc>
      </w:tr>
      <w:tr>
        <w:tc>
          <w:tcPr>
            <w:tcW w:type="dxa" w:w="2136"/>
          </w:tcPr>
          <w:p>
            <w:pPr>
              <w:spacing w:after="0"/>
            </w:pPr>
            <w:r>
              <w:rPr>
                <w:sz w:val="16"/>
              </w:rPr>
              <w:t>Leaving is easy</w:t>
            </w:r>
          </w:p>
        </w:tc>
        <w:tc>
          <w:tcPr>
            <w:tcW w:type="dxa" w:w="4272"/>
          </w:tcPr>
          <w:p>
            <w:pPr>
              <w:spacing w:after="0"/>
            </w:pPr>
            <w:r>
              <w:rPr>
                <w:sz w:val="16"/>
              </w:rPr>
              <w:t>Pause, skip or cancel in one tap</w:t>
            </w:r>
          </w:p>
        </w:tc>
        <w:tc>
          <w:tcPr>
            <w:tcW w:type="dxa" w:w="4272"/>
          </w:tcPr>
          <w:p>
            <w:pPr>
              <w:spacing w:after="0"/>
            </w:pPr>
            <w:r>
              <w:rPr>
                <w:sz w:val="16"/>
              </w:rPr>
              <w:t>Share of cancellations completed in the app without a call</w:t>
            </w:r>
          </w:p>
        </w:tc>
        <w:tc>
          <w:tcPr>
            <w:tcW w:type="dxa" w:w="2065"/>
          </w:tcPr>
          <w:p>
            <w:pPr>
              <w:spacing w:after="0"/>
            </w:pPr>
            <w:r>
              <w:rPr>
                <w:sz w:val="16"/>
              </w:rPr>
              <w:t>100%</w:t>
            </w:r>
          </w:p>
        </w:tc>
        <w:tc>
          <w:tcPr>
            <w:tcW w:type="dxa" w:w="854"/>
          </w:tcPr>
          <w:p>
            <w:pPr>
              <w:spacing w:after="0"/>
            </w:pPr>
            <w:r>
              <w:rPr>
                <w:sz w:val="16"/>
              </w:rPr>
              <w:t>Monthly</w:t>
            </w:r>
          </w:p>
        </w:tc>
        <w:tc>
          <w:tcPr>
            <w:tcW w:type="dxa" w:w="1424"/>
          </w:tcPr>
          <w:p>
            <w:pPr>
              <w:spacing w:after="0"/>
            </w:pPr>
            <w:r>
              <w:rPr>
                <w:sz w:val="16"/>
              </w:rPr>
              <w:t>Head of Product</w:t>
            </w:r>
          </w:p>
        </w:tc>
      </w:tr>
      <w:tr>
        <w:tc>
          <w:tcPr>
            <w:tcW w:type="dxa" w:w="2136"/>
          </w:tcPr>
          <w:p>
            <w:pPr>
              <w:spacing w:after="0"/>
            </w:pPr>
            <w:r>
              <w:rPr>
                <w:sz w:val="16"/>
              </w:rPr>
              <w:t>No hidden costs</w:t>
            </w:r>
          </w:p>
        </w:tc>
        <w:tc>
          <w:tcPr>
            <w:tcW w:type="dxa" w:w="4272"/>
          </w:tcPr>
          <w:p>
            <w:pPr>
              <w:spacing w:after="0"/>
            </w:pPr>
            <w:r>
              <w:rPr>
                <w:sz w:val="16"/>
              </w:rPr>
              <w:t>One screen with every fee and tax in VND before confirming</w:t>
            </w:r>
          </w:p>
        </w:tc>
        <w:tc>
          <w:tcPr>
            <w:tcW w:type="dxa" w:w="4272"/>
          </w:tcPr>
          <w:p>
            <w:pPr>
              <w:spacing w:after="0"/>
            </w:pPr>
            <w:r>
              <w:rPr>
                <w:sz w:val="16"/>
              </w:rPr>
              <w:t>Plans confirmed with the fee screen shown (audit)</w:t>
            </w:r>
          </w:p>
        </w:tc>
        <w:tc>
          <w:tcPr>
            <w:tcW w:type="dxa" w:w="2065"/>
          </w:tcPr>
          <w:p>
            <w:pPr>
              <w:spacing w:after="0"/>
            </w:pPr>
            <w:r>
              <w:rPr>
                <w:sz w:val="16"/>
              </w:rPr>
              <w:t>100%</w:t>
            </w:r>
          </w:p>
        </w:tc>
        <w:tc>
          <w:tcPr>
            <w:tcW w:type="dxa" w:w="854"/>
          </w:tcPr>
          <w:p>
            <w:pPr>
              <w:spacing w:after="0"/>
            </w:pPr>
            <w:r>
              <w:rPr>
                <w:sz w:val="16"/>
              </w:rPr>
              <w:t>Quarterly</w:t>
            </w:r>
          </w:p>
        </w:tc>
        <w:tc>
          <w:tcPr>
            <w:tcW w:type="dxa" w:w="1424"/>
          </w:tcPr>
          <w:p>
            <w:pPr>
              <w:spacing w:after="0"/>
            </w:pPr>
            <w:r>
              <w:rPr>
                <w:sz w:val="16"/>
              </w:rPr>
              <w:t>Compliance and Legal</w:t>
            </w:r>
          </w:p>
        </w:tc>
      </w:tr>
      <w:tr>
        <w:tc>
          <w:tcPr>
            <w:tcW w:type="dxa" w:w="2136"/>
          </w:tcPr>
          <w:p>
            <w:pPr>
              <w:spacing w:after="0"/>
            </w:pPr>
            <w:r>
              <w:rPr>
                <w:sz w:val="16"/>
              </w:rPr>
              <w:t>Problems are owned, not hidden</w:t>
            </w:r>
          </w:p>
        </w:tc>
        <w:tc>
          <w:tcPr>
            <w:tcW w:type="dxa" w:w="4272"/>
          </w:tcPr>
          <w:p>
            <w:pPr>
              <w:spacing w:after="0"/>
            </w:pPr>
            <w:r>
              <w:rPr>
                <w:sz w:val="16"/>
              </w:rPr>
              <w:t>Status page and a post-incident note</w:t>
            </w:r>
          </w:p>
        </w:tc>
        <w:tc>
          <w:tcPr>
            <w:tcW w:type="dxa" w:w="4272"/>
          </w:tcPr>
          <w:p>
            <w:pPr>
              <w:spacing w:after="0"/>
            </w:pPr>
            <w:r>
              <w:rPr>
                <w:sz w:val="16"/>
              </w:rPr>
              <w:t>Incidents affecting contributions with a note published within 5 business days</w:t>
            </w:r>
          </w:p>
        </w:tc>
        <w:tc>
          <w:tcPr>
            <w:tcW w:type="dxa" w:w="2065"/>
          </w:tcPr>
          <w:p>
            <w:pPr>
              <w:spacing w:after="0"/>
            </w:pPr>
            <w:r>
              <w:rPr>
                <w:sz w:val="16"/>
              </w:rPr>
              <w:t>100%</w:t>
            </w:r>
          </w:p>
        </w:tc>
        <w:tc>
          <w:tcPr>
            <w:tcW w:type="dxa" w:w="854"/>
          </w:tcPr>
          <w:p>
            <w:pPr>
              <w:spacing w:after="0"/>
            </w:pPr>
            <w:r>
              <w:rPr>
                <w:sz w:val="16"/>
              </w:rPr>
              <w:t>Per incident</w:t>
            </w:r>
          </w:p>
        </w:tc>
        <w:tc>
          <w:tcPr>
            <w:tcW w:type="dxa" w:w="1424"/>
          </w:tcPr>
          <w:p>
            <w:pPr>
              <w:spacing w:after="0"/>
            </w:pPr>
            <w:r>
              <w:rPr>
                <w:sz w:val="16"/>
              </w:rPr>
              <w:t>CTO</w:t>
            </w:r>
          </w:p>
        </w:tc>
      </w:tr>
      <w:tr>
        <w:tc>
          <w:tcPr>
            <w:tcW w:type="dxa" w:w="2136"/>
          </w:tcPr>
          <w:p>
            <w:pPr>
              <w:spacing w:after="0"/>
            </w:pPr>
            <w:r>
              <w:rPr>
                <w:sz w:val="16"/>
              </w:rPr>
              <w:t>Complaints are counted</w:t>
            </w:r>
          </w:p>
        </w:tc>
        <w:tc>
          <w:tcPr>
            <w:tcW w:type="dxa" w:w="4272"/>
          </w:tcPr>
          <w:p>
            <w:pPr>
              <w:spacing w:after="0"/>
            </w:pPr>
            <w:r>
              <w:rPr>
                <w:sz w:val="16"/>
              </w:rPr>
              <w:t>-</w:t>
            </w:r>
          </w:p>
        </w:tc>
        <w:tc>
          <w:tcPr>
            <w:tcW w:type="dxa" w:w="4272"/>
          </w:tcPr>
          <w:p>
            <w:pPr>
              <w:spacing w:after="0"/>
            </w:pPr>
            <w:r>
              <w:rPr>
                <w:sz w:val="16"/>
              </w:rPr>
              <w:t>Trust themes in Payday-related negative reviews</w:t>
            </w:r>
          </w:p>
        </w:tc>
        <w:tc>
          <w:tcPr>
            <w:tcW w:type="dxa" w:w="2065"/>
          </w:tcPr>
          <w:p>
            <w:pPr>
              <w:spacing w:after="0"/>
            </w:pPr>
            <w:r>
              <w:rPr>
                <w:sz w:val="16"/>
              </w:rPr>
              <w:t>&lt; 10%</w:t>
            </w:r>
          </w:p>
        </w:tc>
        <w:tc>
          <w:tcPr>
            <w:tcW w:type="dxa" w:w="854"/>
          </w:tcPr>
          <w:p>
            <w:pPr>
              <w:spacing w:after="0"/>
            </w:pPr>
            <w:r>
              <w:rPr>
                <w:sz w:val="16"/>
              </w:rPr>
              <w:t>Quarterly</w:t>
            </w:r>
          </w:p>
        </w:tc>
        <w:tc>
          <w:tcPr>
            <w:tcW w:type="dxa" w:w="1424"/>
          </w:tcPr>
          <w:p>
            <w:pPr>
              <w:spacing w:after="0"/>
            </w:pPr>
            <w:r>
              <w:rPr>
                <w:sz w:val="16"/>
              </w:rPr>
              <w:t>Customer Service</w:t>
            </w:r>
          </w:p>
        </w:tc>
      </w:tr>
    </w:tbl>
    <w:p/>
    <w:p>
      <w:pPr>
        <w:pStyle w:val="SourceLine"/>
      </w:pPr>
      <w:r>
        <w:t xml:space="preserve">CSV: </w:t>
      </w:r>
      <w:r>
        <w:rPr>
          <w:rFonts w:ascii="Consolas" w:hAnsi="Consolas"/>
          <w:color w:val="6B6B6B"/>
          <w:sz w:val="18"/>
        </w:rPr>
        <w:t>outputs/round3/tables/appG3_trust_metrics.csv</w:t>
      </w:r>
      <w:r>
        <w:t>.</w:t>
      </w:r>
    </w:p>
    <w:p>
      <w:pPr>
        <w:pStyle w:val="SourceLine"/>
      </w:pPr>
      <w:r>
        <w:t>Source: authors' design; DNSE Securities (n.d.-a) for Golden Egg sale timing.</w:t>
      </w:r>
    </w:p>
    <w:p>
      <w:r>
        <w:br w:type="page"/>
      </w:r>
    </w:p>
    <w:p>
      <w:pPr>
        <w:pStyle w:val="Heading3"/>
      </w:pPr>
      <w:r>
        <w:t>G4. Full service blueprint</w:t>
      </w:r>
    </w:p>
    <w:p>
      <w:r>
        <w:rPr>
          <w:rStyle w:val="FieldLabel"/>
        </w:rPr>
        <w:t>Title:</w:t>
      </w:r>
      <w:r>
        <w:t xml:space="preserve"> </w:t>
      </w:r>
      <w:r>
        <w:t>The full blueprint behind slide 9</w:t>
      </w:r>
    </w:p>
    <w:p>
      <w:r>
        <w:rPr>
          <w:rStyle w:val="FieldLabel"/>
        </w:rPr>
        <w:t>Figure:</w:t>
      </w:r>
      <w:r>
        <w:t xml:space="preserve"> </w:t>
      </w:r>
      <w:r>
        <w:rPr>
          <w:rFonts w:ascii="Consolas" w:hAnsi="Consolas"/>
          <w:color w:val="6B6B6B"/>
          <w:sz w:val="18"/>
        </w:rPr>
        <w:t>outputs/round3/figures/service_blueprint.png</w:t>
      </w:r>
      <w:r>
        <w:t>.</w:t>
      </w:r>
    </w:p>
    <w:p>
      <w:r>
        <w:drawing>
          <wp:inline xmlns:a="http://schemas.openxmlformats.org/drawingml/2006/main" xmlns:pic="http://schemas.openxmlformats.org/drawingml/2006/picture">
            <wp:extent cx="7920000" cy="4456114"/>
            <wp:docPr id="18" name="Picture 18"/>
            <wp:cNvGraphicFramePr>
              <a:graphicFrameLocks noChangeAspect="1"/>
            </wp:cNvGraphicFramePr>
            <a:graphic>
              <a:graphicData uri="http://schemas.openxmlformats.org/drawingml/2006/picture">
                <pic:pic>
                  <pic:nvPicPr>
                    <pic:cNvPr id="0" name="service_blueprint.png"/>
                    <pic:cNvPicPr/>
                  </pic:nvPicPr>
                  <pic:blipFill>
                    <a:blip r:embed="rId15"/>
                    <a:stretch>
                      <a:fillRect/>
                    </a:stretch>
                  </pic:blipFill>
                  <pic:spPr>
                    <a:xfrm>
                      <a:off x="0" y="0"/>
                      <a:ext cx="7920000" cy="4456114"/>
                    </a:xfrm>
                    <a:prstGeom prst="rect"/>
                  </pic:spPr>
                </pic:pic>
              </a:graphicData>
            </a:graphic>
          </wp:inline>
        </w:drawing>
      </w:r>
    </w:p>
    <w:p>
      <w:pPr>
        <w:pStyle w:val="SourceLine"/>
      </w:pPr>
      <w:r>
        <w:t>Caption: Service blueprint of one payday cycle across six steps and eight lanes.</w:t>
      </w:r>
    </w:p>
    <w:p>
      <w:pPr>
        <w:pStyle w:val="SourceLine"/>
      </w:pPr>
      <w:r>
        <w:t>Source: authors' design; DNSE Securities (2026e).</w:t>
      </w:r>
    </w:p>
    <w:p>
      <w:r>
        <w:br w:type="page"/>
      </w:r>
    </w:p>
    <w:p>
      <w:pPr>
        <w:pStyle w:val="Heading2"/>
      </w:pPr>
      <w:r>
        <w:t>Appendix H: Assumptions of the cohort model</w:t>
      </w:r>
    </w:p>
    <w:p>
      <w:r>
        <w:br w:type="page"/>
      </w:r>
    </w:p>
    <w:p>
      <w:pPr>
        <w:pStyle w:val="Heading3"/>
      </w:pPr>
      <w:r>
        <w:t>H1. Key assumptions, three scenarios</w:t>
      </w:r>
    </w:p>
    <w:p>
      <w:r>
        <w:rPr>
          <w:rStyle w:val="FieldLabel"/>
        </w:rPr>
        <w:t>Title:</w:t>
      </w:r>
      <w:r>
        <w:t xml:space="preserve"> </w:t>
      </w:r>
      <w:r>
        <w:t>Twenty-six inputs drive the model; the pilot measures the uncertain ones</w:t>
      </w:r>
    </w:p>
    <w:p>
      <w:r>
        <w:rPr>
          <w:rStyle w:val="FieldLabel"/>
        </w:rPr>
        <w:t>Text:</w:t>
      </w:r>
    </w:p>
    <w:p>
      <w:pPr>
        <w:pStyle w:val="ListBullet"/>
      </w:pPr>
      <w:r>
        <w:t>Downside and upside are the low and high cases of the model. "Assumption" means the pilot measures it; the full list of 60 inputs is in the model file.</w:t>
      </w:r>
    </w:p>
    <w:p>
      <w:r>
        <w:rPr>
          <w:rStyle w:val="FieldLabel"/>
        </w:rPr>
        <w:t>Table: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4776"/>
            <w:shd w:val="clear" w:color="auto" w:fill="F3F3F3"/>
          </w:tcPr>
          <w:p>
            <w:pPr>
              <w:spacing w:after="0"/>
            </w:pPr>
            <w:r>
              <w:rPr>
                <w:b/>
                <w:sz w:val="16"/>
              </w:rPr>
              <w:t>Assumption</w:t>
            </w:r>
          </w:p>
        </w:tc>
        <w:tc>
          <w:tcPr>
            <w:tcW w:type="dxa" w:w="1389"/>
            <w:shd w:val="clear" w:color="auto" w:fill="F3F3F3"/>
          </w:tcPr>
          <w:p>
            <w:pPr>
              <w:spacing w:after="0"/>
            </w:pPr>
            <w:r>
              <w:rPr>
                <w:b/>
                <w:sz w:val="16"/>
              </w:rPr>
              <w:t>Downside</w:t>
            </w:r>
          </w:p>
        </w:tc>
        <w:tc>
          <w:tcPr>
            <w:tcW w:type="dxa" w:w="1389"/>
            <w:shd w:val="clear" w:color="auto" w:fill="F3F3F3"/>
          </w:tcPr>
          <w:p>
            <w:pPr>
              <w:spacing w:after="0"/>
            </w:pPr>
            <w:r>
              <w:rPr>
                <w:b/>
                <w:sz w:val="16"/>
              </w:rPr>
              <w:t>Base</w:t>
            </w:r>
          </w:p>
        </w:tc>
        <w:tc>
          <w:tcPr>
            <w:tcW w:type="dxa" w:w="1389"/>
            <w:shd w:val="clear" w:color="auto" w:fill="F3F3F3"/>
          </w:tcPr>
          <w:p>
            <w:pPr>
              <w:spacing w:after="0"/>
            </w:pPr>
            <w:r>
              <w:rPr>
                <w:b/>
                <w:sz w:val="16"/>
              </w:rPr>
              <w:t>Upside</w:t>
            </w:r>
          </w:p>
        </w:tc>
        <w:tc>
          <w:tcPr>
            <w:tcW w:type="dxa" w:w="868"/>
            <w:shd w:val="clear" w:color="auto" w:fill="F3F3F3"/>
          </w:tcPr>
          <w:p>
            <w:pPr>
              <w:spacing w:after="0"/>
            </w:pPr>
            <w:r>
              <w:rPr>
                <w:b/>
                <w:sz w:val="16"/>
              </w:rPr>
              <w:t>Type</w:t>
            </w:r>
          </w:p>
        </w:tc>
        <w:tc>
          <w:tcPr>
            <w:tcW w:type="dxa" w:w="5211"/>
            <w:shd w:val="clear" w:color="auto" w:fill="F3F3F3"/>
          </w:tcPr>
          <w:p>
            <w:pPr>
              <w:spacing w:after="0"/>
            </w:pPr>
            <w:r>
              <w:rPr>
                <w:b/>
                <w:sz w:val="16"/>
              </w:rPr>
              <w:t>Basis</w:t>
            </w:r>
          </w:p>
        </w:tc>
      </w:tr>
      <w:tr>
        <w:tc>
          <w:tcPr>
            <w:tcW w:type="dxa" w:w="4776"/>
          </w:tcPr>
          <w:p>
            <w:pPr>
              <w:spacing w:after="0"/>
            </w:pPr>
            <w:r>
              <w:rPr>
                <w:sz w:val="16"/>
              </w:rPr>
              <w:t>Dormant accounts (used no product, Dec 2025)</w:t>
            </w:r>
          </w:p>
        </w:tc>
        <w:tc>
          <w:tcPr>
            <w:tcW w:type="dxa" w:w="1389"/>
          </w:tcPr>
          <w:p>
            <w:pPr>
              <w:spacing w:after="0"/>
            </w:pPr>
            <w:r>
              <w:rPr>
                <w:sz w:val="16"/>
              </w:rPr>
              <w:t>1,427,181</w:t>
            </w:r>
          </w:p>
        </w:tc>
        <w:tc>
          <w:tcPr>
            <w:tcW w:type="dxa" w:w="1389"/>
          </w:tcPr>
          <w:p>
            <w:pPr>
              <w:spacing w:after="0"/>
            </w:pPr>
            <w:r>
              <w:rPr>
                <w:sz w:val="16"/>
              </w:rPr>
              <w:t>1,427,181</w:t>
            </w:r>
          </w:p>
        </w:tc>
        <w:tc>
          <w:tcPr>
            <w:tcW w:type="dxa" w:w="1389"/>
          </w:tcPr>
          <w:p>
            <w:pPr>
              <w:spacing w:after="0"/>
            </w:pPr>
            <w:r>
              <w:rPr>
                <w:sz w:val="16"/>
              </w:rPr>
              <w:t>1,427,181</w:t>
            </w:r>
          </w:p>
        </w:tc>
        <w:tc>
          <w:tcPr>
            <w:tcW w:type="dxa" w:w="868"/>
          </w:tcPr>
          <w:p>
            <w:pPr>
              <w:spacing w:after="0"/>
            </w:pPr>
            <w:r>
              <w:rPr>
                <w:sz w:val="16"/>
              </w:rPr>
              <w:t>derived</w:t>
            </w:r>
          </w:p>
        </w:tc>
        <w:tc>
          <w:tcPr>
            <w:tcW w:type="dxa" w:w="5211"/>
          </w:tcPr>
          <w:p>
            <w:pPr>
              <w:spacing w:after="0"/>
            </w:pPr>
            <w:r>
              <w:rPr>
                <w:sz w:val="16"/>
              </w:rPr>
              <w:t>DNSE Securities (2026c)</w:t>
            </w:r>
          </w:p>
        </w:tc>
      </w:tr>
      <w:tr>
        <w:tc>
          <w:tcPr>
            <w:tcW w:type="dxa" w:w="4776"/>
          </w:tcPr>
          <w:p>
            <w:pPr>
              <w:spacing w:after="0"/>
            </w:pPr>
            <w:r>
              <w:rPr>
                <w:sz w:val="16"/>
              </w:rPr>
              <w:t>Share of dormant accounts salaried and reachable</w:t>
            </w:r>
          </w:p>
        </w:tc>
        <w:tc>
          <w:tcPr>
            <w:tcW w:type="dxa" w:w="1389"/>
          </w:tcPr>
          <w:p>
            <w:pPr>
              <w:spacing w:after="0"/>
            </w:pPr>
            <w:r>
              <w:rPr>
                <w:sz w:val="16"/>
              </w:rPr>
              <w:t>15%</w:t>
            </w:r>
          </w:p>
        </w:tc>
        <w:tc>
          <w:tcPr>
            <w:tcW w:type="dxa" w:w="1389"/>
          </w:tcPr>
          <w:p>
            <w:pPr>
              <w:spacing w:after="0"/>
            </w:pPr>
            <w:r>
              <w:rPr>
                <w:sz w:val="16"/>
              </w:rPr>
              <w:t>25%</w:t>
            </w:r>
          </w:p>
        </w:tc>
        <w:tc>
          <w:tcPr>
            <w:tcW w:type="dxa" w:w="1389"/>
          </w:tcPr>
          <w:p>
            <w:pPr>
              <w:spacing w:after="0"/>
            </w:pPr>
            <w:r>
              <w:rPr>
                <w:sz w:val="16"/>
              </w:rPr>
              <w:t>35%</w:t>
            </w:r>
          </w:p>
        </w:tc>
        <w:tc>
          <w:tcPr>
            <w:tcW w:type="dxa" w:w="868"/>
          </w:tcPr>
          <w:p>
            <w:pPr>
              <w:spacing w:after="0"/>
            </w:pPr>
            <w:r>
              <w:rPr>
                <w:sz w:val="16"/>
              </w:rPr>
              <w:t>assumption</w:t>
            </w:r>
          </w:p>
        </w:tc>
        <w:tc>
          <w:tcPr>
            <w:tcW w:type="dxa" w:w="5211"/>
          </w:tcPr>
          <w:p>
            <w:pPr>
              <w:spacing w:after="0"/>
            </w:pPr>
            <w:r>
              <w:rPr>
                <w:sz w:val="16"/>
              </w:rPr>
              <w:t>World Bank (2025); pilot survey</w:t>
            </w:r>
          </w:p>
        </w:tc>
      </w:tr>
      <w:tr>
        <w:tc>
          <w:tcPr>
            <w:tcW w:type="dxa" w:w="4776"/>
          </w:tcPr>
          <w:p>
            <w:pPr>
              <w:spacing w:after="0"/>
            </w:pPr>
            <w:r>
              <w:rPr>
                <w:sz w:val="16"/>
              </w:rPr>
              <w:t>Pilot accounts (three arms)</w:t>
            </w:r>
          </w:p>
        </w:tc>
        <w:tc>
          <w:tcPr>
            <w:tcW w:type="dxa" w:w="1389"/>
          </w:tcPr>
          <w:p>
            <w:pPr>
              <w:spacing w:after="0"/>
            </w:pPr>
            <w:r>
              <w:rPr>
                <w:sz w:val="16"/>
              </w:rPr>
              <w:t>45,000</w:t>
            </w:r>
          </w:p>
        </w:tc>
        <w:tc>
          <w:tcPr>
            <w:tcW w:type="dxa" w:w="1389"/>
          </w:tcPr>
          <w:p>
            <w:pPr>
              <w:spacing w:after="0"/>
            </w:pPr>
            <w:r>
              <w:rPr>
                <w:sz w:val="16"/>
              </w:rPr>
              <w:t>45,000</w:t>
            </w:r>
          </w:p>
        </w:tc>
        <w:tc>
          <w:tcPr>
            <w:tcW w:type="dxa" w:w="1389"/>
          </w:tcPr>
          <w:p>
            <w:pPr>
              <w:spacing w:after="0"/>
            </w:pPr>
            <w:r>
              <w:rPr>
                <w:sz w:val="16"/>
              </w:rPr>
              <w:t>45,000</w:t>
            </w:r>
          </w:p>
        </w:tc>
        <w:tc>
          <w:tcPr>
            <w:tcW w:type="dxa" w:w="868"/>
          </w:tcPr>
          <w:p>
            <w:pPr>
              <w:spacing w:after="0"/>
            </w:pPr>
            <w:r>
              <w:rPr>
                <w:sz w:val="16"/>
              </w:rPr>
              <w:t>assumption</w:t>
            </w:r>
          </w:p>
        </w:tc>
        <w:tc>
          <w:tcPr>
            <w:tcW w:type="dxa" w:w="5211"/>
          </w:tcPr>
          <w:p>
            <w:pPr>
              <w:spacing w:after="0"/>
            </w:pPr>
            <w:r>
              <w:rPr>
                <w:sz w:val="16"/>
              </w:rPr>
              <w:t>Decision D4</w:t>
            </w:r>
          </w:p>
        </w:tc>
      </w:tr>
      <w:tr>
        <w:tc>
          <w:tcPr>
            <w:tcW w:type="dxa" w:w="4776"/>
          </w:tcPr>
          <w:p>
            <w:pPr>
              <w:spacing w:after="0"/>
            </w:pPr>
            <w:r>
              <w:rPr>
                <w:sz w:val="16"/>
              </w:rPr>
              <w:t>Enrolment of contacted dormant accounts</w:t>
            </w:r>
          </w:p>
        </w:tc>
        <w:tc>
          <w:tcPr>
            <w:tcW w:type="dxa" w:w="1389"/>
          </w:tcPr>
          <w:p>
            <w:pPr>
              <w:spacing w:after="0"/>
            </w:pPr>
            <w:r>
              <w:rPr>
                <w:sz w:val="16"/>
              </w:rPr>
              <w:t>1%</w:t>
            </w:r>
          </w:p>
        </w:tc>
        <w:tc>
          <w:tcPr>
            <w:tcW w:type="dxa" w:w="1389"/>
          </w:tcPr>
          <w:p>
            <w:pPr>
              <w:spacing w:after="0"/>
            </w:pPr>
            <w:r>
              <w:rPr>
                <w:sz w:val="16"/>
              </w:rPr>
              <w:t>2%</w:t>
            </w:r>
          </w:p>
        </w:tc>
        <w:tc>
          <w:tcPr>
            <w:tcW w:type="dxa" w:w="1389"/>
          </w:tcPr>
          <w:p>
            <w:pPr>
              <w:spacing w:after="0"/>
            </w:pPr>
            <w:r>
              <w:rPr>
                <w:sz w:val="16"/>
              </w:rPr>
              <w:t>4%</w:t>
            </w:r>
          </w:p>
        </w:tc>
        <w:tc>
          <w:tcPr>
            <w:tcW w:type="dxa" w:w="868"/>
          </w:tcPr>
          <w:p>
            <w:pPr>
              <w:spacing w:after="0"/>
            </w:pPr>
            <w:r>
              <w:rPr>
                <w:sz w:val="16"/>
              </w:rPr>
              <w:t>assumption</w:t>
            </w:r>
          </w:p>
        </w:tc>
        <w:tc>
          <w:tcPr>
            <w:tcW w:type="dxa" w:w="5211"/>
          </w:tcPr>
          <w:p>
            <w:pPr>
              <w:spacing w:after="0"/>
            </w:pPr>
            <w:r>
              <w:rPr>
                <w:sz w:val="16"/>
              </w:rPr>
              <w:t>Never-Sleeping Account reached 0.8% of accounts; TCBS (2026)</w:t>
            </w:r>
          </w:p>
        </w:tc>
      </w:tr>
      <w:tr>
        <w:tc>
          <w:tcPr>
            <w:tcW w:type="dxa" w:w="4776"/>
          </w:tcPr>
          <w:p>
            <w:pPr>
              <w:spacing w:after="0"/>
            </w:pPr>
            <w:r>
              <w:rPr>
                <w:sz w:val="16"/>
              </w:rPr>
              <w:t>Enrolment of active customers over 12 months</w:t>
            </w:r>
          </w:p>
        </w:tc>
        <w:tc>
          <w:tcPr>
            <w:tcW w:type="dxa" w:w="1389"/>
          </w:tcPr>
          <w:p>
            <w:pPr>
              <w:spacing w:after="0"/>
            </w:pPr>
            <w:r>
              <w:rPr>
                <w:sz w:val="16"/>
              </w:rPr>
              <w:t>2%</w:t>
            </w:r>
          </w:p>
        </w:tc>
        <w:tc>
          <w:tcPr>
            <w:tcW w:type="dxa" w:w="1389"/>
          </w:tcPr>
          <w:p>
            <w:pPr>
              <w:spacing w:after="0"/>
            </w:pPr>
            <w:r>
              <w:rPr>
                <w:sz w:val="16"/>
              </w:rPr>
              <w:t>4%</w:t>
            </w:r>
          </w:p>
        </w:tc>
        <w:tc>
          <w:tcPr>
            <w:tcW w:type="dxa" w:w="1389"/>
          </w:tcPr>
          <w:p>
            <w:pPr>
              <w:spacing w:after="0"/>
            </w:pPr>
            <w:r>
              <w:rPr>
                <w:sz w:val="16"/>
              </w:rPr>
              <w:t>6%</w:t>
            </w:r>
          </w:p>
        </w:tc>
        <w:tc>
          <w:tcPr>
            <w:tcW w:type="dxa" w:w="868"/>
          </w:tcPr>
          <w:p>
            <w:pPr>
              <w:spacing w:after="0"/>
            </w:pPr>
            <w:r>
              <w:rPr>
                <w:sz w:val="16"/>
              </w:rPr>
              <w:t>assumption</w:t>
            </w:r>
          </w:p>
        </w:tc>
        <w:tc>
          <w:tcPr>
            <w:tcW w:type="dxa" w:w="5211"/>
          </w:tcPr>
          <w:p>
            <w:pPr>
              <w:spacing w:after="0"/>
            </w:pPr>
            <w:r>
              <w:rPr>
                <w:sz w:val="16"/>
              </w:rPr>
              <w:t>Never-Sleeping Account sign-ups equal 14% of active customers</w:t>
            </w:r>
          </w:p>
        </w:tc>
      </w:tr>
      <w:tr>
        <w:tc>
          <w:tcPr>
            <w:tcW w:type="dxa" w:w="4776"/>
          </w:tcPr>
          <w:p>
            <w:pPr>
              <w:spacing w:after="0"/>
            </w:pPr>
            <w:r>
              <w:rPr>
                <w:sz w:val="16"/>
              </w:rPr>
              <w:t>New accounts a month</w:t>
            </w:r>
          </w:p>
        </w:tc>
        <w:tc>
          <w:tcPr>
            <w:tcW w:type="dxa" w:w="1389"/>
          </w:tcPr>
          <w:p>
            <w:pPr>
              <w:spacing w:after="0"/>
            </w:pPr>
            <w:r>
              <w:rPr>
                <w:sz w:val="16"/>
              </w:rPr>
              <w:t>20,000</w:t>
            </w:r>
          </w:p>
        </w:tc>
        <w:tc>
          <w:tcPr>
            <w:tcW w:type="dxa" w:w="1389"/>
          </w:tcPr>
          <w:p>
            <w:pPr>
              <w:spacing w:after="0"/>
            </w:pPr>
            <w:r>
              <w:rPr>
                <w:sz w:val="16"/>
              </w:rPr>
              <w:t>31,180</w:t>
            </w:r>
          </w:p>
        </w:tc>
        <w:tc>
          <w:tcPr>
            <w:tcW w:type="dxa" w:w="1389"/>
          </w:tcPr>
          <w:p>
            <w:pPr>
              <w:spacing w:after="0"/>
            </w:pPr>
            <w:r>
              <w:rPr>
                <w:sz w:val="16"/>
              </w:rPr>
              <w:t>43,210</w:t>
            </w:r>
          </w:p>
        </w:tc>
        <w:tc>
          <w:tcPr>
            <w:tcW w:type="dxa" w:w="868"/>
          </w:tcPr>
          <w:p>
            <w:pPr>
              <w:spacing w:after="0"/>
            </w:pPr>
            <w:r>
              <w:rPr>
                <w:sz w:val="16"/>
              </w:rPr>
              <w:t>derived</w:t>
            </w:r>
          </w:p>
        </w:tc>
        <w:tc>
          <w:tcPr>
            <w:tcW w:type="dxa" w:w="5211"/>
          </w:tcPr>
          <w:p>
            <w:pPr>
              <w:spacing w:after="0"/>
            </w:pPr>
            <w:r>
              <w:rPr>
                <w:sz w:val="16"/>
              </w:rPr>
              <w:t>DNSE Securities (2026c); VnExpress (2026a)</w:t>
            </w:r>
          </w:p>
        </w:tc>
      </w:tr>
      <w:tr>
        <w:tc>
          <w:tcPr>
            <w:tcW w:type="dxa" w:w="4776"/>
          </w:tcPr>
          <w:p>
            <w:pPr>
              <w:spacing w:after="0"/>
            </w:pPr>
            <w:r>
              <w:rPr>
                <w:sz w:val="16"/>
              </w:rPr>
              <w:t>Set-up within 60 days of opening</w:t>
            </w:r>
          </w:p>
        </w:tc>
        <w:tc>
          <w:tcPr>
            <w:tcW w:type="dxa" w:w="1389"/>
          </w:tcPr>
          <w:p>
            <w:pPr>
              <w:spacing w:after="0"/>
            </w:pPr>
            <w:r>
              <w:rPr>
                <w:sz w:val="16"/>
              </w:rPr>
              <w:t>1%</w:t>
            </w:r>
          </w:p>
        </w:tc>
        <w:tc>
          <w:tcPr>
            <w:tcW w:type="dxa" w:w="1389"/>
          </w:tcPr>
          <w:p>
            <w:pPr>
              <w:spacing w:after="0"/>
            </w:pPr>
            <w:r>
              <w:rPr>
                <w:sz w:val="16"/>
              </w:rPr>
              <w:t>2%</w:t>
            </w:r>
          </w:p>
        </w:tc>
        <w:tc>
          <w:tcPr>
            <w:tcW w:type="dxa" w:w="1389"/>
          </w:tcPr>
          <w:p>
            <w:pPr>
              <w:spacing w:after="0"/>
            </w:pPr>
            <w:r>
              <w:rPr>
                <w:sz w:val="16"/>
              </w:rPr>
              <w:t>3%</w:t>
            </w:r>
          </w:p>
        </w:tc>
        <w:tc>
          <w:tcPr>
            <w:tcW w:type="dxa" w:w="868"/>
          </w:tcPr>
          <w:p>
            <w:pPr>
              <w:spacing w:after="0"/>
            </w:pPr>
            <w:r>
              <w:rPr>
                <w:sz w:val="16"/>
              </w:rPr>
              <w:t>assumption</w:t>
            </w:r>
          </w:p>
        </w:tc>
        <w:tc>
          <w:tcPr>
            <w:tcW w:type="dxa" w:w="5211"/>
          </w:tcPr>
          <w:p>
            <w:pPr>
              <w:spacing w:after="0"/>
            </w:pPr>
            <w:r>
              <w:rPr>
                <w:sz w:val="16"/>
              </w:rPr>
              <w:t>Assumption</w:t>
            </w:r>
          </w:p>
        </w:tc>
      </w:tr>
      <w:tr>
        <w:tc>
          <w:tcPr>
            <w:tcW w:type="dxa" w:w="4776"/>
          </w:tcPr>
          <w:p>
            <w:pPr>
              <w:spacing w:after="0"/>
            </w:pPr>
            <w:r>
              <w:rPr>
                <w:sz w:val="16"/>
              </w:rPr>
              <w:t>Employers signed a quarter</w:t>
            </w:r>
          </w:p>
        </w:tc>
        <w:tc>
          <w:tcPr>
            <w:tcW w:type="dxa" w:w="1389"/>
          </w:tcPr>
          <w:p>
            <w:pPr>
              <w:spacing w:after="0"/>
            </w:pPr>
            <w:r>
              <w:rPr>
                <w:sz w:val="16"/>
              </w:rPr>
              <w:t>2</w:t>
            </w:r>
          </w:p>
        </w:tc>
        <w:tc>
          <w:tcPr>
            <w:tcW w:type="dxa" w:w="1389"/>
          </w:tcPr>
          <w:p>
            <w:pPr>
              <w:spacing w:after="0"/>
            </w:pPr>
            <w:r>
              <w:rPr>
                <w:sz w:val="16"/>
              </w:rPr>
              <w:t>4</w:t>
            </w:r>
          </w:p>
        </w:tc>
        <w:tc>
          <w:tcPr>
            <w:tcW w:type="dxa" w:w="1389"/>
          </w:tcPr>
          <w:p>
            <w:pPr>
              <w:spacing w:after="0"/>
            </w:pPr>
            <w:r>
              <w:rPr>
                <w:sz w:val="16"/>
              </w:rPr>
              <w:t>8</w:t>
            </w:r>
          </w:p>
        </w:tc>
        <w:tc>
          <w:tcPr>
            <w:tcW w:type="dxa" w:w="868"/>
          </w:tcPr>
          <w:p>
            <w:pPr>
              <w:spacing w:after="0"/>
            </w:pPr>
            <w:r>
              <w:rPr>
                <w:sz w:val="16"/>
              </w:rPr>
              <w:t>assumption</w:t>
            </w:r>
          </w:p>
        </w:tc>
        <w:tc>
          <w:tcPr>
            <w:tcW w:type="dxa" w:w="5211"/>
          </w:tcPr>
          <w:p>
            <w:pPr>
              <w:spacing w:after="0"/>
            </w:pPr>
            <w:r>
              <w:rPr>
                <w:sz w:val="16"/>
              </w:rPr>
              <w:t>Go-to-market plan</w:t>
            </w:r>
          </w:p>
        </w:tc>
      </w:tr>
      <w:tr>
        <w:tc>
          <w:tcPr>
            <w:tcW w:type="dxa" w:w="4776"/>
          </w:tcPr>
          <w:p>
            <w:pPr>
              <w:spacing w:after="0"/>
            </w:pPr>
            <w:r>
              <w:rPr>
                <w:sz w:val="16"/>
              </w:rPr>
              <w:t>Employees who enrol after an HR session</w:t>
            </w:r>
          </w:p>
        </w:tc>
        <w:tc>
          <w:tcPr>
            <w:tcW w:type="dxa" w:w="1389"/>
          </w:tcPr>
          <w:p>
            <w:pPr>
              <w:spacing w:after="0"/>
            </w:pPr>
            <w:r>
              <w:rPr>
                <w:sz w:val="16"/>
              </w:rPr>
              <w:t>10%</w:t>
            </w:r>
          </w:p>
        </w:tc>
        <w:tc>
          <w:tcPr>
            <w:tcW w:type="dxa" w:w="1389"/>
          </w:tcPr>
          <w:p>
            <w:pPr>
              <w:spacing w:after="0"/>
            </w:pPr>
            <w:r>
              <w:rPr>
                <w:sz w:val="16"/>
              </w:rPr>
              <w:t>20%</w:t>
            </w:r>
          </w:p>
        </w:tc>
        <w:tc>
          <w:tcPr>
            <w:tcW w:type="dxa" w:w="1389"/>
          </w:tcPr>
          <w:p>
            <w:pPr>
              <w:spacing w:after="0"/>
            </w:pPr>
            <w:r>
              <w:rPr>
                <w:sz w:val="16"/>
              </w:rPr>
              <w:t>28%</w:t>
            </w:r>
          </w:p>
        </w:tc>
        <w:tc>
          <w:tcPr>
            <w:tcW w:type="dxa" w:w="868"/>
          </w:tcPr>
          <w:p>
            <w:pPr>
              <w:spacing w:after="0"/>
            </w:pPr>
            <w:r>
              <w:rPr>
                <w:sz w:val="16"/>
              </w:rPr>
              <w:t>assumption</w:t>
            </w:r>
          </w:p>
        </w:tc>
        <w:tc>
          <w:tcPr>
            <w:tcW w:type="dxa" w:w="5211"/>
          </w:tcPr>
          <w:p>
            <w:pPr>
              <w:spacing w:after="0"/>
            </w:pPr>
            <w:r>
              <w:rPr>
                <w:sz w:val="16"/>
              </w:rPr>
              <w:t>Ashraf et al. (2006) as upper bound</w:t>
            </w:r>
          </w:p>
        </w:tc>
      </w:tr>
      <w:tr>
        <w:tc>
          <w:tcPr>
            <w:tcW w:type="dxa" w:w="4776"/>
          </w:tcPr>
          <w:p>
            <w:pPr>
              <w:spacing w:after="0"/>
            </w:pPr>
            <w:r>
              <w:rPr>
                <w:sz w:val="16"/>
              </w:rPr>
              <w:t>Monthly contribution</w:t>
            </w:r>
          </w:p>
        </w:tc>
        <w:tc>
          <w:tcPr>
            <w:tcW w:type="dxa" w:w="1389"/>
          </w:tcPr>
          <w:p>
            <w:pPr>
              <w:spacing w:after="0"/>
            </w:pPr>
            <w:r>
              <w:rPr>
                <w:sz w:val="16"/>
              </w:rPr>
              <w:t>VND 800,000</w:t>
            </w:r>
          </w:p>
        </w:tc>
        <w:tc>
          <w:tcPr>
            <w:tcW w:type="dxa" w:w="1389"/>
          </w:tcPr>
          <w:p>
            <w:pPr>
              <w:spacing w:after="0"/>
            </w:pPr>
            <w:r>
              <w:rPr>
                <w:sz w:val="16"/>
              </w:rPr>
              <w:t>VND 1,000,000</w:t>
            </w:r>
          </w:p>
        </w:tc>
        <w:tc>
          <w:tcPr>
            <w:tcW w:type="dxa" w:w="1389"/>
          </w:tcPr>
          <w:p>
            <w:pPr>
              <w:spacing w:after="0"/>
            </w:pPr>
            <w:r>
              <w:rPr>
                <w:sz w:val="16"/>
              </w:rPr>
              <w:t>VND 1,500,000</w:t>
            </w:r>
          </w:p>
        </w:tc>
        <w:tc>
          <w:tcPr>
            <w:tcW w:type="dxa" w:w="868"/>
          </w:tcPr>
          <w:p>
            <w:pPr>
              <w:spacing w:after="0"/>
            </w:pPr>
            <w:r>
              <w:rPr>
                <w:sz w:val="16"/>
              </w:rPr>
              <w:t>assumption</w:t>
            </w:r>
          </w:p>
        </w:tc>
        <w:tc>
          <w:tcPr>
            <w:tcW w:type="dxa" w:w="5211"/>
          </w:tcPr>
          <w:p>
            <w:pPr>
              <w:spacing w:after="0"/>
            </w:pPr>
            <w:r>
              <w:rPr>
                <w:sz w:val="16"/>
              </w:rPr>
              <w:t>About 11% of the VND 9.0 million average income (National Statistics Office, 2026)</w:t>
            </w:r>
          </w:p>
        </w:tc>
      </w:tr>
      <w:tr>
        <w:tc>
          <w:tcPr>
            <w:tcW w:type="dxa" w:w="4776"/>
          </w:tcPr>
          <w:p>
            <w:pPr>
              <w:spacing w:after="0"/>
            </w:pPr>
            <w:r>
              <w:rPr>
                <w:sz w:val="16"/>
              </w:rPr>
              <w:t>Stop rate, 2nd and 3rd contributions (a month)</w:t>
            </w:r>
          </w:p>
        </w:tc>
        <w:tc>
          <w:tcPr>
            <w:tcW w:type="dxa" w:w="1389"/>
          </w:tcPr>
          <w:p>
            <w:pPr>
              <w:spacing w:after="0"/>
            </w:pPr>
            <w:r>
              <w:rPr>
                <w:sz w:val="16"/>
              </w:rPr>
              <w:t>15.0%</w:t>
            </w:r>
          </w:p>
        </w:tc>
        <w:tc>
          <w:tcPr>
            <w:tcW w:type="dxa" w:w="1389"/>
          </w:tcPr>
          <w:p>
            <w:pPr>
              <w:spacing w:after="0"/>
            </w:pPr>
            <w:r>
              <w:rPr>
                <w:sz w:val="16"/>
              </w:rPr>
              <w:t>10.0%</w:t>
            </w:r>
          </w:p>
        </w:tc>
        <w:tc>
          <w:tcPr>
            <w:tcW w:type="dxa" w:w="1389"/>
          </w:tcPr>
          <w:p>
            <w:pPr>
              <w:spacing w:after="0"/>
            </w:pPr>
            <w:r>
              <w:rPr>
                <w:sz w:val="16"/>
              </w:rPr>
              <w:t>6.0%</w:t>
            </w:r>
          </w:p>
        </w:tc>
        <w:tc>
          <w:tcPr>
            <w:tcW w:type="dxa" w:w="868"/>
          </w:tcPr>
          <w:p>
            <w:pPr>
              <w:spacing w:after="0"/>
            </w:pPr>
            <w:r>
              <w:rPr>
                <w:sz w:val="16"/>
              </w:rPr>
              <w:t>assumption</w:t>
            </w:r>
          </w:p>
        </w:tc>
        <w:tc>
          <w:tcPr>
            <w:tcW w:type="dxa" w:w="5211"/>
          </w:tcPr>
          <w:p>
            <w:pPr>
              <w:spacing w:after="0"/>
            </w:pPr>
            <w:r>
              <w:rPr>
                <w:sz w:val="16"/>
              </w:rPr>
              <w:t>Assumption; pilot measures it</w:t>
            </w:r>
          </w:p>
        </w:tc>
      </w:tr>
      <w:tr>
        <w:tc>
          <w:tcPr>
            <w:tcW w:type="dxa" w:w="4776"/>
          </w:tcPr>
          <w:p>
            <w:pPr>
              <w:spacing w:after="0"/>
            </w:pPr>
            <w:r>
              <w:rPr>
                <w:sz w:val="16"/>
              </w:rPr>
              <w:t>Stop rate after the 3rd contribution (a month)</w:t>
            </w:r>
          </w:p>
        </w:tc>
        <w:tc>
          <w:tcPr>
            <w:tcW w:type="dxa" w:w="1389"/>
          </w:tcPr>
          <w:p>
            <w:pPr>
              <w:spacing w:after="0"/>
            </w:pPr>
            <w:r>
              <w:rPr>
                <w:sz w:val="16"/>
              </w:rPr>
              <w:t>4.0%</w:t>
            </w:r>
          </w:p>
        </w:tc>
        <w:tc>
          <w:tcPr>
            <w:tcW w:type="dxa" w:w="1389"/>
          </w:tcPr>
          <w:p>
            <w:pPr>
              <w:spacing w:after="0"/>
            </w:pPr>
            <w:r>
              <w:rPr>
                <w:sz w:val="16"/>
              </w:rPr>
              <w:t>2.5%</w:t>
            </w:r>
          </w:p>
        </w:tc>
        <w:tc>
          <w:tcPr>
            <w:tcW w:type="dxa" w:w="1389"/>
          </w:tcPr>
          <w:p>
            <w:pPr>
              <w:spacing w:after="0"/>
            </w:pPr>
            <w:r>
              <w:rPr>
                <w:sz w:val="16"/>
              </w:rPr>
              <w:t>1.5%</w:t>
            </w:r>
          </w:p>
        </w:tc>
        <w:tc>
          <w:tcPr>
            <w:tcW w:type="dxa" w:w="868"/>
          </w:tcPr>
          <w:p>
            <w:pPr>
              <w:spacing w:after="0"/>
            </w:pPr>
            <w:r>
              <w:rPr>
                <w:sz w:val="16"/>
              </w:rPr>
              <w:t>assumption</w:t>
            </w:r>
          </w:p>
        </w:tc>
        <w:tc>
          <w:tcPr>
            <w:tcW w:type="dxa" w:w="5211"/>
          </w:tcPr>
          <w:p>
            <w:pPr>
              <w:spacing w:after="0"/>
            </w:pPr>
            <w:r>
              <w:rPr>
                <w:sz w:val="16"/>
              </w:rPr>
              <w:t>Assumption; pilot measures it</w:t>
            </w:r>
          </w:p>
        </w:tc>
      </w:tr>
      <w:tr>
        <w:tc>
          <w:tcPr>
            <w:tcW w:type="dxa" w:w="4776"/>
          </w:tcPr>
          <w:p>
            <w:pPr>
              <w:spacing w:after="0"/>
            </w:pPr>
            <w:r>
              <w:rPr>
                <w:sz w:val="16"/>
              </w:rPr>
              <w:t>Balances withdrawn a year</w:t>
            </w:r>
          </w:p>
        </w:tc>
        <w:tc>
          <w:tcPr>
            <w:tcW w:type="dxa" w:w="1389"/>
          </w:tcPr>
          <w:p>
            <w:pPr>
              <w:spacing w:after="0"/>
            </w:pPr>
            <w:r>
              <w:rPr>
                <w:sz w:val="16"/>
              </w:rPr>
              <w:t>15%</w:t>
            </w:r>
          </w:p>
        </w:tc>
        <w:tc>
          <w:tcPr>
            <w:tcW w:type="dxa" w:w="1389"/>
          </w:tcPr>
          <w:p>
            <w:pPr>
              <w:spacing w:after="0"/>
            </w:pPr>
            <w:r>
              <w:rPr>
                <w:sz w:val="16"/>
              </w:rPr>
              <w:t>10%</w:t>
            </w:r>
          </w:p>
        </w:tc>
        <w:tc>
          <w:tcPr>
            <w:tcW w:type="dxa" w:w="1389"/>
          </w:tcPr>
          <w:p>
            <w:pPr>
              <w:spacing w:after="0"/>
            </w:pPr>
            <w:r>
              <w:rPr>
                <w:sz w:val="16"/>
              </w:rPr>
              <w:t>5%</w:t>
            </w:r>
          </w:p>
        </w:tc>
        <w:tc>
          <w:tcPr>
            <w:tcW w:type="dxa" w:w="868"/>
          </w:tcPr>
          <w:p>
            <w:pPr>
              <w:spacing w:after="0"/>
            </w:pPr>
            <w:r>
              <w:rPr>
                <w:sz w:val="16"/>
              </w:rPr>
              <w:t>assumption</w:t>
            </w:r>
          </w:p>
        </w:tc>
        <w:tc>
          <w:tcPr>
            <w:tcW w:type="dxa" w:w="5211"/>
          </w:tcPr>
          <w:p>
            <w:pPr>
              <w:spacing w:after="0"/>
            </w:pPr>
            <w:r>
              <w:rPr>
                <w:sz w:val="16"/>
              </w:rPr>
              <w:t>Assumption; inflows tagged</w:t>
            </w:r>
          </w:p>
        </w:tc>
      </w:tr>
      <w:tr>
        <w:tc>
          <w:tcPr>
            <w:tcW w:type="dxa" w:w="4776"/>
          </w:tcPr>
          <w:p>
            <w:pPr>
              <w:spacing w:after="0"/>
            </w:pPr>
            <w:r>
              <w:rPr>
                <w:sz w:val="16"/>
              </w:rPr>
              <w:t>DNSE margin on bank bonds in Golden Egg</w:t>
            </w:r>
          </w:p>
        </w:tc>
        <w:tc>
          <w:tcPr>
            <w:tcW w:type="dxa" w:w="1389"/>
          </w:tcPr>
          <w:p>
            <w:pPr>
              <w:spacing w:after="0"/>
            </w:pPr>
            <w:r>
              <w:rPr>
                <w:sz w:val="16"/>
              </w:rPr>
              <w:t>0.30%</w:t>
            </w:r>
          </w:p>
        </w:tc>
        <w:tc>
          <w:tcPr>
            <w:tcW w:type="dxa" w:w="1389"/>
          </w:tcPr>
          <w:p>
            <w:pPr>
              <w:spacing w:after="0"/>
            </w:pPr>
            <w:r>
              <w:rPr>
                <w:sz w:val="16"/>
              </w:rPr>
              <w:t>0.60%</w:t>
            </w:r>
          </w:p>
        </w:tc>
        <w:tc>
          <w:tcPr>
            <w:tcW w:type="dxa" w:w="1389"/>
          </w:tcPr>
          <w:p>
            <w:pPr>
              <w:spacing w:after="0"/>
            </w:pPr>
            <w:r>
              <w:rPr>
                <w:sz w:val="16"/>
              </w:rPr>
              <w:t>1.00%</w:t>
            </w:r>
          </w:p>
        </w:tc>
        <w:tc>
          <w:tcPr>
            <w:tcW w:type="dxa" w:w="868"/>
          </w:tcPr>
          <w:p>
            <w:pPr>
              <w:spacing w:after="0"/>
            </w:pPr>
            <w:r>
              <w:rPr>
                <w:sz w:val="16"/>
              </w:rPr>
              <w:t>assumption</w:t>
            </w:r>
          </w:p>
        </w:tc>
        <w:tc>
          <w:tcPr>
            <w:tcW w:type="dxa" w:w="5211"/>
          </w:tcPr>
          <w:p>
            <w:pPr>
              <w:spacing w:after="0"/>
            </w:pPr>
            <w:r>
              <w:rPr>
                <w:sz w:val="16"/>
              </w:rPr>
              <w:t>Thi truong Tai chinh Tien te (2026a); DNSE Securities (n.d.-b)</w:t>
            </w:r>
          </w:p>
        </w:tc>
      </w:tr>
      <w:tr>
        <w:tc>
          <w:tcPr>
            <w:tcW w:type="dxa" w:w="4776"/>
          </w:tcPr>
          <w:p>
            <w:pPr>
              <w:spacing w:after="0"/>
            </w:pPr>
            <w:r>
              <w:rPr>
                <w:sz w:val="16"/>
              </w:rPr>
              <w:t>Distributor share of bond-fund fees</w:t>
            </w:r>
          </w:p>
        </w:tc>
        <w:tc>
          <w:tcPr>
            <w:tcW w:type="dxa" w:w="1389"/>
          </w:tcPr>
          <w:p>
            <w:pPr>
              <w:spacing w:after="0"/>
            </w:pPr>
            <w:r>
              <w:rPr>
                <w:sz w:val="16"/>
              </w:rPr>
              <w:t>0.22%</w:t>
            </w:r>
          </w:p>
        </w:tc>
        <w:tc>
          <w:tcPr>
            <w:tcW w:type="dxa" w:w="1389"/>
          </w:tcPr>
          <w:p>
            <w:pPr>
              <w:spacing w:after="0"/>
            </w:pPr>
            <w:r>
              <w:rPr>
                <w:sz w:val="16"/>
              </w:rPr>
              <w:t>0.33%</w:t>
            </w:r>
          </w:p>
        </w:tc>
        <w:tc>
          <w:tcPr>
            <w:tcW w:type="dxa" w:w="1389"/>
          </w:tcPr>
          <w:p>
            <w:pPr>
              <w:spacing w:after="0"/>
            </w:pPr>
            <w:r>
              <w:rPr>
                <w:sz w:val="16"/>
              </w:rPr>
              <w:t>0.44%</w:t>
            </w:r>
          </w:p>
        </w:tc>
        <w:tc>
          <w:tcPr>
            <w:tcW w:type="dxa" w:w="868"/>
          </w:tcPr>
          <w:p>
            <w:pPr>
              <w:spacing w:after="0"/>
            </w:pPr>
            <w:r>
              <w:rPr>
                <w:sz w:val="16"/>
              </w:rPr>
              <w:t>assumption</w:t>
            </w:r>
          </w:p>
        </w:tc>
        <w:tc>
          <w:tcPr>
            <w:tcW w:type="dxa" w:w="5211"/>
          </w:tcPr>
          <w:p>
            <w:pPr>
              <w:spacing w:after="0"/>
            </w:pPr>
            <w:r>
              <w:rPr>
                <w:sz w:val="16"/>
              </w:rPr>
              <w:t>SSI Asset Management (2026); VCBF (2026); fund prospectuses</w:t>
            </w:r>
          </w:p>
        </w:tc>
      </w:tr>
      <w:tr>
        <w:tc>
          <w:tcPr>
            <w:tcW w:type="dxa" w:w="4776"/>
          </w:tcPr>
          <w:p>
            <w:pPr>
              <w:spacing w:after="0"/>
            </w:pPr>
            <w:r>
              <w:rPr>
                <w:sz w:val="16"/>
              </w:rPr>
              <w:t>Distributor share of equity-fund fees</w:t>
            </w:r>
          </w:p>
        </w:tc>
        <w:tc>
          <w:tcPr>
            <w:tcW w:type="dxa" w:w="1389"/>
          </w:tcPr>
          <w:p>
            <w:pPr>
              <w:spacing w:after="0"/>
            </w:pPr>
            <w:r>
              <w:rPr>
                <w:sz w:val="16"/>
              </w:rPr>
              <w:t>0.38%</w:t>
            </w:r>
          </w:p>
        </w:tc>
        <w:tc>
          <w:tcPr>
            <w:tcW w:type="dxa" w:w="1389"/>
          </w:tcPr>
          <w:p>
            <w:pPr>
              <w:spacing w:after="0"/>
            </w:pPr>
            <w:r>
              <w:rPr>
                <w:sz w:val="16"/>
              </w:rPr>
              <w:t>0.56%</w:t>
            </w:r>
          </w:p>
        </w:tc>
        <w:tc>
          <w:tcPr>
            <w:tcW w:type="dxa" w:w="1389"/>
          </w:tcPr>
          <w:p>
            <w:pPr>
              <w:spacing w:after="0"/>
            </w:pPr>
            <w:r>
              <w:rPr>
                <w:sz w:val="16"/>
              </w:rPr>
              <w:t>0.75%</w:t>
            </w:r>
          </w:p>
        </w:tc>
        <w:tc>
          <w:tcPr>
            <w:tcW w:type="dxa" w:w="868"/>
          </w:tcPr>
          <w:p>
            <w:pPr>
              <w:spacing w:after="0"/>
            </w:pPr>
            <w:r>
              <w:rPr>
                <w:sz w:val="16"/>
              </w:rPr>
              <w:t>assumption</w:t>
            </w:r>
          </w:p>
        </w:tc>
        <w:tc>
          <w:tcPr>
            <w:tcW w:type="dxa" w:w="5211"/>
          </w:tcPr>
          <w:p>
            <w:pPr>
              <w:spacing w:after="0"/>
            </w:pPr>
            <w:r>
              <w:rPr>
                <w:sz w:val="16"/>
              </w:rPr>
              <w:t>Fund prospectuses and factsheets, 2026</w:t>
            </w:r>
          </w:p>
        </w:tc>
      </w:tr>
      <w:tr>
        <w:tc>
          <w:tcPr>
            <w:tcW w:type="dxa" w:w="4776"/>
          </w:tcPr>
          <w:p>
            <w:pPr>
              <w:spacing w:after="0"/>
            </w:pPr>
            <w:r>
              <w:rPr>
                <w:sz w:val="16"/>
              </w:rPr>
              <w:t>Build team, months 1 to 6</w:t>
            </w:r>
          </w:p>
        </w:tc>
        <w:tc>
          <w:tcPr>
            <w:tcW w:type="dxa" w:w="1389"/>
          </w:tcPr>
          <w:p>
            <w:pPr>
              <w:spacing w:after="0"/>
            </w:pPr>
            <w:r>
              <w:rPr>
                <w:sz w:val="16"/>
              </w:rPr>
              <w:t>VND 3.97 billion</w:t>
            </w:r>
          </w:p>
        </w:tc>
        <w:tc>
          <w:tcPr>
            <w:tcW w:type="dxa" w:w="1389"/>
          </w:tcPr>
          <w:p>
            <w:pPr>
              <w:spacing w:after="0"/>
            </w:pPr>
            <w:r>
              <w:rPr>
                <w:sz w:val="16"/>
              </w:rPr>
              <w:t>VND 3.18 billion</w:t>
            </w:r>
          </w:p>
        </w:tc>
        <w:tc>
          <w:tcPr>
            <w:tcW w:type="dxa" w:w="1389"/>
          </w:tcPr>
          <w:p>
            <w:pPr>
              <w:spacing w:after="0"/>
            </w:pPr>
            <w:r>
              <w:rPr>
                <w:sz w:val="16"/>
              </w:rPr>
              <w:t>VND 2.54 billion</w:t>
            </w:r>
          </w:p>
        </w:tc>
        <w:tc>
          <w:tcPr>
            <w:tcW w:type="dxa" w:w="868"/>
          </w:tcPr>
          <w:p>
            <w:pPr>
              <w:spacing w:after="0"/>
            </w:pPr>
            <w:r>
              <w:rPr>
                <w:sz w:val="16"/>
              </w:rPr>
              <w:t>derived</w:t>
            </w:r>
          </w:p>
        </w:tc>
        <w:tc>
          <w:tcPr>
            <w:tcW w:type="dxa" w:w="5211"/>
          </w:tcPr>
          <w:p>
            <w:pPr>
              <w:spacing w:after="0"/>
            </w:pPr>
            <w:r>
              <w:rPr>
                <w:sz w:val="16"/>
              </w:rPr>
              <w:t>ITviec (2025) salary medians</w:t>
            </w:r>
          </w:p>
        </w:tc>
      </w:tr>
      <w:tr>
        <w:tc>
          <w:tcPr>
            <w:tcW w:type="dxa" w:w="4776"/>
          </w:tcPr>
          <w:p>
            <w:pPr>
              <w:spacing w:after="0"/>
            </w:pPr>
            <w:r>
              <w:rPr>
                <w:sz w:val="16"/>
              </w:rPr>
              <w:t>Integration, security tests, legal opinions</w:t>
            </w:r>
          </w:p>
        </w:tc>
        <w:tc>
          <w:tcPr>
            <w:tcW w:type="dxa" w:w="1389"/>
          </w:tcPr>
          <w:p>
            <w:pPr>
              <w:spacing w:after="0"/>
            </w:pPr>
            <w:r>
              <w:rPr>
                <w:sz w:val="16"/>
              </w:rPr>
              <w:t>VND 1.50 billion</w:t>
            </w:r>
          </w:p>
        </w:tc>
        <w:tc>
          <w:tcPr>
            <w:tcW w:type="dxa" w:w="1389"/>
          </w:tcPr>
          <w:p>
            <w:pPr>
              <w:spacing w:after="0"/>
            </w:pPr>
            <w:r>
              <w:rPr>
                <w:sz w:val="16"/>
              </w:rPr>
              <w:t>VND 1.00 billion</w:t>
            </w:r>
          </w:p>
        </w:tc>
        <w:tc>
          <w:tcPr>
            <w:tcW w:type="dxa" w:w="1389"/>
          </w:tcPr>
          <w:p>
            <w:pPr>
              <w:spacing w:after="0"/>
            </w:pPr>
            <w:r>
              <w:rPr>
                <w:sz w:val="16"/>
              </w:rPr>
              <w:t>VND 0.60 billion</w:t>
            </w:r>
          </w:p>
        </w:tc>
        <w:tc>
          <w:tcPr>
            <w:tcW w:type="dxa" w:w="868"/>
          </w:tcPr>
          <w:p>
            <w:pPr>
              <w:spacing w:after="0"/>
            </w:pPr>
            <w:r>
              <w:rPr>
                <w:sz w:val="16"/>
              </w:rPr>
              <w:t>assumption</w:t>
            </w:r>
          </w:p>
        </w:tc>
        <w:tc>
          <w:tcPr>
            <w:tcW w:type="dxa" w:w="5211"/>
          </w:tcPr>
          <w:p>
            <w:pPr>
              <w:spacing w:after="0"/>
            </w:pPr>
            <w:r>
              <w:rPr>
                <w:sz w:val="16"/>
              </w:rPr>
              <w:t>VPBank (2024); assumption</w:t>
            </w:r>
          </w:p>
        </w:tc>
      </w:tr>
      <w:tr>
        <w:tc>
          <w:tcPr>
            <w:tcW w:type="dxa" w:w="4776"/>
          </w:tcPr>
          <w:p>
            <w:pPr>
              <w:spacing w:after="0"/>
            </w:pPr>
            <w:r>
              <w:rPr>
                <w:sz w:val="16"/>
              </w:rPr>
              <w:t>Running team, a year</w:t>
            </w:r>
          </w:p>
        </w:tc>
        <w:tc>
          <w:tcPr>
            <w:tcW w:type="dxa" w:w="1389"/>
          </w:tcPr>
          <w:p>
            <w:pPr>
              <w:spacing w:after="0"/>
            </w:pPr>
            <w:r>
              <w:rPr>
                <w:sz w:val="16"/>
              </w:rPr>
              <w:t>VND 4.72 billion</w:t>
            </w:r>
          </w:p>
        </w:tc>
        <w:tc>
          <w:tcPr>
            <w:tcW w:type="dxa" w:w="1389"/>
          </w:tcPr>
          <w:p>
            <w:pPr>
              <w:spacing w:after="0"/>
            </w:pPr>
            <w:r>
              <w:rPr>
                <w:sz w:val="16"/>
              </w:rPr>
              <w:t>VND 3.78 billion</w:t>
            </w:r>
          </w:p>
        </w:tc>
        <w:tc>
          <w:tcPr>
            <w:tcW w:type="dxa" w:w="1389"/>
          </w:tcPr>
          <w:p>
            <w:pPr>
              <w:spacing w:after="0"/>
            </w:pPr>
            <w:r>
              <w:rPr>
                <w:sz w:val="16"/>
              </w:rPr>
              <w:t>VND 2.52 billion</w:t>
            </w:r>
          </w:p>
        </w:tc>
        <w:tc>
          <w:tcPr>
            <w:tcW w:type="dxa" w:w="868"/>
          </w:tcPr>
          <w:p>
            <w:pPr>
              <w:spacing w:after="0"/>
            </w:pPr>
            <w:r>
              <w:rPr>
                <w:sz w:val="16"/>
              </w:rPr>
              <w:t>derived</w:t>
            </w:r>
          </w:p>
        </w:tc>
        <w:tc>
          <w:tcPr>
            <w:tcW w:type="dxa" w:w="5211"/>
          </w:tcPr>
          <w:p>
            <w:pPr>
              <w:spacing w:after="0"/>
            </w:pPr>
            <w:r>
              <w:rPr>
                <w:sz w:val="16"/>
              </w:rPr>
              <w:t>ITviec (2025) salary medians</w:t>
            </w:r>
          </w:p>
        </w:tc>
      </w:tr>
      <w:tr>
        <w:tc>
          <w:tcPr>
            <w:tcW w:type="dxa" w:w="4776"/>
          </w:tcPr>
          <w:p>
            <w:pPr>
              <w:spacing w:after="0"/>
            </w:pPr>
            <w:r>
              <w:rPr>
                <w:sz w:val="16"/>
              </w:rPr>
              <w:t>Operations, compliance and cloud, a year</w:t>
            </w:r>
          </w:p>
        </w:tc>
        <w:tc>
          <w:tcPr>
            <w:tcW w:type="dxa" w:w="1389"/>
          </w:tcPr>
          <w:p>
            <w:pPr>
              <w:spacing w:after="0"/>
            </w:pPr>
            <w:r>
              <w:rPr>
                <w:sz w:val="16"/>
              </w:rPr>
              <w:t>VND 1.80 billion</w:t>
            </w:r>
          </w:p>
        </w:tc>
        <w:tc>
          <w:tcPr>
            <w:tcW w:type="dxa" w:w="1389"/>
          </w:tcPr>
          <w:p>
            <w:pPr>
              <w:spacing w:after="0"/>
            </w:pPr>
            <w:r>
              <w:rPr>
                <w:sz w:val="16"/>
              </w:rPr>
              <w:t>VND 1.20 billion</w:t>
            </w:r>
          </w:p>
        </w:tc>
        <w:tc>
          <w:tcPr>
            <w:tcW w:type="dxa" w:w="1389"/>
          </w:tcPr>
          <w:p>
            <w:pPr>
              <w:spacing w:after="0"/>
            </w:pPr>
            <w:r>
              <w:rPr>
                <w:sz w:val="16"/>
              </w:rPr>
              <w:t>VND 0.80 billion</w:t>
            </w:r>
          </w:p>
        </w:tc>
        <w:tc>
          <w:tcPr>
            <w:tcW w:type="dxa" w:w="868"/>
          </w:tcPr>
          <w:p>
            <w:pPr>
              <w:spacing w:after="0"/>
            </w:pPr>
            <w:r>
              <w:rPr>
                <w:sz w:val="16"/>
              </w:rPr>
              <w:t>assumption</w:t>
            </w:r>
          </w:p>
        </w:tc>
        <w:tc>
          <w:tcPr>
            <w:tcW w:type="dxa" w:w="5211"/>
          </w:tcPr>
          <w:p>
            <w:pPr>
              <w:spacing w:after="0"/>
            </w:pPr>
            <w:r>
              <w:rPr>
                <w:sz w:val="16"/>
              </w:rPr>
              <w:t>Assumption</w:t>
            </w:r>
          </w:p>
        </w:tc>
      </w:tr>
      <w:tr>
        <w:tc>
          <w:tcPr>
            <w:tcW w:type="dxa" w:w="4776"/>
          </w:tcPr>
          <w:p>
            <w:pPr>
              <w:spacing w:after="0"/>
            </w:pPr>
            <w:r>
              <w:rPr>
                <w:sz w:val="16"/>
              </w:rPr>
              <w:t>Content and promotion review, a year</w:t>
            </w:r>
          </w:p>
        </w:tc>
        <w:tc>
          <w:tcPr>
            <w:tcW w:type="dxa" w:w="1389"/>
          </w:tcPr>
          <w:p>
            <w:pPr>
              <w:spacing w:after="0"/>
            </w:pPr>
            <w:r>
              <w:rPr>
                <w:sz w:val="16"/>
              </w:rPr>
              <w:t>VND 1.50 billion</w:t>
            </w:r>
          </w:p>
        </w:tc>
        <w:tc>
          <w:tcPr>
            <w:tcW w:type="dxa" w:w="1389"/>
          </w:tcPr>
          <w:p>
            <w:pPr>
              <w:spacing w:after="0"/>
            </w:pPr>
            <w:r>
              <w:rPr>
                <w:sz w:val="16"/>
              </w:rPr>
              <w:t>VND 1.00 billion</w:t>
            </w:r>
          </w:p>
        </w:tc>
        <w:tc>
          <w:tcPr>
            <w:tcW w:type="dxa" w:w="1389"/>
          </w:tcPr>
          <w:p>
            <w:pPr>
              <w:spacing w:after="0"/>
            </w:pPr>
            <w:r>
              <w:rPr>
                <w:sz w:val="16"/>
              </w:rPr>
              <w:t>VND 0.60 billion</w:t>
            </w:r>
          </w:p>
        </w:tc>
        <w:tc>
          <w:tcPr>
            <w:tcW w:type="dxa" w:w="868"/>
          </w:tcPr>
          <w:p>
            <w:pPr>
              <w:spacing w:after="0"/>
            </w:pPr>
            <w:r>
              <w:rPr>
                <w:sz w:val="16"/>
              </w:rPr>
              <w:t>assumption</w:t>
            </w:r>
          </w:p>
        </w:tc>
        <w:tc>
          <w:tcPr>
            <w:tcW w:type="dxa" w:w="5211"/>
          </w:tcPr>
          <w:p>
            <w:pPr>
              <w:spacing w:after="0"/>
            </w:pPr>
            <w:r>
              <w:rPr>
                <w:sz w:val="16"/>
              </w:rPr>
              <w:t>Assumption</w:t>
            </w:r>
          </w:p>
        </w:tc>
      </w:tr>
      <w:tr>
        <w:tc>
          <w:tcPr>
            <w:tcW w:type="dxa" w:w="4776"/>
          </w:tcPr>
          <w:p>
            <w:pPr>
              <w:spacing w:after="0"/>
            </w:pPr>
            <w:r>
              <w:rPr>
                <w:sz w:val="16"/>
              </w:rPr>
              <w:t>Reach cost per dormant account contacted</w:t>
            </w:r>
          </w:p>
        </w:tc>
        <w:tc>
          <w:tcPr>
            <w:tcW w:type="dxa" w:w="1389"/>
          </w:tcPr>
          <w:p>
            <w:pPr>
              <w:spacing w:after="0"/>
            </w:pPr>
            <w:r>
              <w:rPr>
                <w:sz w:val="16"/>
              </w:rPr>
              <w:t>VND 2,200</w:t>
            </w:r>
          </w:p>
        </w:tc>
        <w:tc>
          <w:tcPr>
            <w:tcW w:type="dxa" w:w="1389"/>
          </w:tcPr>
          <w:p>
            <w:pPr>
              <w:spacing w:after="0"/>
            </w:pPr>
            <w:r>
              <w:rPr>
                <w:sz w:val="16"/>
              </w:rPr>
              <w:t>VND 1,300</w:t>
            </w:r>
          </w:p>
        </w:tc>
        <w:tc>
          <w:tcPr>
            <w:tcW w:type="dxa" w:w="1389"/>
          </w:tcPr>
          <w:p>
            <w:pPr>
              <w:spacing w:after="0"/>
            </w:pPr>
            <w:r>
              <w:rPr>
                <w:sz w:val="16"/>
              </w:rPr>
              <w:t>VND 1,100</w:t>
            </w:r>
          </w:p>
        </w:tc>
        <w:tc>
          <w:tcPr>
            <w:tcW w:type="dxa" w:w="868"/>
          </w:tcPr>
          <w:p>
            <w:pPr>
              <w:spacing w:after="0"/>
            </w:pPr>
            <w:r>
              <w:rPr>
                <w:sz w:val="16"/>
              </w:rPr>
              <w:t>derived</w:t>
            </w:r>
          </w:p>
        </w:tc>
        <w:tc>
          <w:tcPr>
            <w:tcW w:type="dxa" w:w="5211"/>
          </w:tcPr>
          <w:p>
            <w:pPr>
              <w:spacing w:after="0"/>
            </w:pPr>
            <w:r>
              <w:rPr>
                <w:sz w:val="16"/>
              </w:rPr>
              <w:t>Zalo Business Solutions (n.d.); MobiFone (n.d.)</w:t>
            </w:r>
          </w:p>
        </w:tc>
      </w:tr>
      <w:tr>
        <w:tc>
          <w:tcPr>
            <w:tcW w:type="dxa" w:w="4776"/>
          </w:tcPr>
          <w:p>
            <w:pPr>
              <w:spacing w:after="0"/>
            </w:pPr>
            <w:r>
              <w:rPr>
                <w:sz w:val="16"/>
              </w:rPr>
              <w:t>Bank fee per contribution</w:t>
            </w:r>
          </w:p>
        </w:tc>
        <w:tc>
          <w:tcPr>
            <w:tcW w:type="dxa" w:w="1389"/>
          </w:tcPr>
          <w:p>
            <w:pPr>
              <w:spacing w:after="0"/>
            </w:pPr>
            <w:r>
              <w:rPr>
                <w:sz w:val="16"/>
              </w:rPr>
              <w:t>VND 5,500</w:t>
            </w:r>
          </w:p>
        </w:tc>
        <w:tc>
          <w:tcPr>
            <w:tcW w:type="dxa" w:w="1389"/>
          </w:tcPr>
          <w:p>
            <w:pPr>
              <w:spacing w:after="0"/>
            </w:pPr>
            <w:r>
              <w:rPr>
                <w:sz w:val="16"/>
              </w:rPr>
              <w:t>VND 3,300</w:t>
            </w:r>
          </w:p>
        </w:tc>
        <w:tc>
          <w:tcPr>
            <w:tcW w:type="dxa" w:w="1389"/>
          </w:tcPr>
          <w:p>
            <w:pPr>
              <w:spacing w:after="0"/>
            </w:pPr>
            <w:r>
              <w:rPr>
                <w:sz w:val="16"/>
              </w:rPr>
              <w:t>VND 0</w:t>
            </w:r>
          </w:p>
        </w:tc>
        <w:tc>
          <w:tcPr>
            <w:tcW w:type="dxa" w:w="868"/>
          </w:tcPr>
          <w:p>
            <w:pPr>
              <w:spacing w:after="0"/>
            </w:pPr>
            <w:r>
              <w:rPr>
                <w:sz w:val="16"/>
              </w:rPr>
              <w:t>assumption</w:t>
            </w:r>
          </w:p>
        </w:tc>
        <w:tc>
          <w:tcPr>
            <w:tcW w:type="dxa" w:w="5211"/>
          </w:tcPr>
          <w:p>
            <w:pPr>
              <w:spacing w:after="0"/>
            </w:pPr>
            <w:r>
              <w:rPr>
                <w:sz w:val="16"/>
              </w:rPr>
              <w:t>VPBank (2024) list price</w:t>
            </w:r>
          </w:p>
        </w:tc>
      </w:tr>
      <w:tr>
        <w:tc>
          <w:tcPr>
            <w:tcW w:type="dxa" w:w="4776"/>
          </w:tcPr>
          <w:p>
            <w:pPr>
              <w:spacing w:after="0"/>
            </w:pPr>
            <w:r>
              <w:rPr>
                <w:sz w:val="16"/>
              </w:rPr>
              <w:t>Service cost per active saver a month</w:t>
            </w:r>
          </w:p>
        </w:tc>
        <w:tc>
          <w:tcPr>
            <w:tcW w:type="dxa" w:w="1389"/>
          </w:tcPr>
          <w:p>
            <w:pPr>
              <w:spacing w:after="0"/>
            </w:pPr>
            <w:r>
              <w:rPr>
                <w:sz w:val="16"/>
              </w:rPr>
              <w:t>VND 2,000</w:t>
            </w:r>
          </w:p>
        </w:tc>
        <w:tc>
          <w:tcPr>
            <w:tcW w:type="dxa" w:w="1389"/>
          </w:tcPr>
          <w:p>
            <w:pPr>
              <w:spacing w:after="0"/>
            </w:pPr>
            <w:r>
              <w:rPr>
                <w:sz w:val="16"/>
              </w:rPr>
              <w:t>VND 1,000</w:t>
            </w:r>
          </w:p>
        </w:tc>
        <w:tc>
          <w:tcPr>
            <w:tcW w:type="dxa" w:w="1389"/>
          </w:tcPr>
          <w:p>
            <w:pPr>
              <w:spacing w:after="0"/>
            </w:pPr>
            <w:r>
              <w:rPr>
                <w:sz w:val="16"/>
              </w:rPr>
              <w:t>VND 500</w:t>
            </w:r>
          </w:p>
        </w:tc>
        <w:tc>
          <w:tcPr>
            <w:tcW w:type="dxa" w:w="868"/>
          </w:tcPr>
          <w:p>
            <w:pPr>
              <w:spacing w:after="0"/>
            </w:pPr>
            <w:r>
              <w:rPr>
                <w:sz w:val="16"/>
              </w:rPr>
              <w:t>assumption</w:t>
            </w:r>
          </w:p>
        </w:tc>
        <w:tc>
          <w:tcPr>
            <w:tcW w:type="dxa" w:w="5211"/>
          </w:tcPr>
          <w:p>
            <w:pPr>
              <w:spacing w:after="0"/>
            </w:pPr>
            <w:r>
              <w:rPr>
                <w:sz w:val="16"/>
              </w:rPr>
              <w:t>Zalo confirmation, statements</w:t>
            </w:r>
          </w:p>
        </w:tc>
      </w:tr>
      <w:tr>
        <w:tc>
          <w:tcPr>
            <w:tcW w:type="dxa" w:w="4776"/>
          </w:tcPr>
          <w:p>
            <w:pPr>
              <w:spacing w:after="0"/>
            </w:pPr>
            <w:r>
              <w:rPr>
                <w:sz w:val="16"/>
              </w:rPr>
              <w:t>Discount rate</w:t>
            </w:r>
          </w:p>
        </w:tc>
        <w:tc>
          <w:tcPr>
            <w:tcW w:type="dxa" w:w="1389"/>
          </w:tcPr>
          <w:p>
            <w:pPr>
              <w:spacing w:after="0"/>
            </w:pPr>
            <w:r>
              <w:rPr>
                <w:sz w:val="16"/>
              </w:rPr>
              <w:t>12%</w:t>
            </w:r>
          </w:p>
        </w:tc>
        <w:tc>
          <w:tcPr>
            <w:tcW w:type="dxa" w:w="1389"/>
          </w:tcPr>
          <w:p>
            <w:pPr>
              <w:spacing w:after="0"/>
            </w:pPr>
            <w:r>
              <w:rPr>
                <w:sz w:val="16"/>
              </w:rPr>
              <w:t>12%</w:t>
            </w:r>
          </w:p>
        </w:tc>
        <w:tc>
          <w:tcPr>
            <w:tcW w:type="dxa" w:w="1389"/>
          </w:tcPr>
          <w:p>
            <w:pPr>
              <w:spacing w:after="0"/>
            </w:pPr>
            <w:r>
              <w:rPr>
                <w:sz w:val="16"/>
              </w:rPr>
              <w:t>12%</w:t>
            </w:r>
          </w:p>
        </w:tc>
        <w:tc>
          <w:tcPr>
            <w:tcW w:type="dxa" w:w="868"/>
          </w:tcPr>
          <w:p>
            <w:pPr>
              <w:spacing w:after="0"/>
            </w:pPr>
            <w:r>
              <w:rPr>
                <w:sz w:val="16"/>
              </w:rPr>
              <w:t>assumption</w:t>
            </w:r>
          </w:p>
        </w:tc>
        <w:tc>
          <w:tcPr>
            <w:tcW w:type="dxa" w:w="5211"/>
          </w:tcPr>
          <w:p>
            <w:pPr>
              <w:spacing w:after="0"/>
            </w:pPr>
            <w:r>
              <w:rPr>
                <w:sz w:val="16"/>
              </w:rPr>
              <w:t>Hurdle rate</w:t>
            </w:r>
          </w:p>
        </w:tc>
      </w:tr>
      <w:tr>
        <w:tc>
          <w:tcPr>
            <w:tcW w:type="dxa" w:w="4776"/>
          </w:tcPr>
          <w:p>
            <w:pPr>
              <w:spacing w:after="0"/>
            </w:pPr>
            <w:r>
              <w:rPr>
                <w:sz w:val="16"/>
              </w:rPr>
              <w:t>Asset mix: Golden Egg / bond funds / equity funds / ETF</w:t>
            </w:r>
          </w:p>
        </w:tc>
        <w:tc>
          <w:tcPr>
            <w:tcW w:type="dxa" w:w="1389"/>
          </w:tcPr>
          <w:p>
            <w:pPr>
              <w:spacing w:after="0"/>
            </w:pPr>
            <w:r>
              <w:rPr>
                <w:sz w:val="16"/>
              </w:rPr>
              <w:t>same</w:t>
            </w:r>
          </w:p>
        </w:tc>
        <w:tc>
          <w:tcPr>
            <w:tcW w:type="dxa" w:w="1389"/>
          </w:tcPr>
          <w:p>
            <w:pPr>
              <w:spacing w:after="0"/>
            </w:pPr>
            <w:r>
              <w:rPr>
                <w:sz w:val="16"/>
              </w:rPr>
              <w:t>45/35/10/10</w:t>
            </w:r>
          </w:p>
        </w:tc>
        <w:tc>
          <w:tcPr>
            <w:tcW w:type="dxa" w:w="1389"/>
          </w:tcPr>
          <w:p>
            <w:pPr>
              <w:spacing w:after="0"/>
            </w:pPr>
            <w:r>
              <w:rPr>
                <w:sz w:val="16"/>
              </w:rPr>
              <w:t>same</w:t>
            </w:r>
          </w:p>
        </w:tc>
        <w:tc>
          <w:tcPr>
            <w:tcW w:type="dxa" w:w="868"/>
          </w:tcPr>
          <w:p>
            <w:pPr>
              <w:spacing w:after="0"/>
            </w:pPr>
            <w:r>
              <w:rPr>
                <w:sz w:val="16"/>
              </w:rPr>
              <w:t>assumption</w:t>
            </w:r>
          </w:p>
        </w:tc>
        <w:tc>
          <w:tcPr>
            <w:tcW w:type="dxa" w:w="5211"/>
          </w:tcPr>
          <w:p>
            <w:pPr>
              <w:spacing w:after="0"/>
            </w:pPr>
            <w:r>
              <w:rPr>
                <w:sz w:val="16"/>
              </w:rPr>
              <w:t>Design: glide path by goal horizon</w:t>
            </w:r>
          </w:p>
        </w:tc>
      </w:tr>
    </w:tbl>
    <w:p/>
    <w:p>
      <w:pPr>
        <w:pStyle w:val="SourceLine"/>
      </w:pPr>
      <w:r>
        <w:t xml:space="preserve">CSV: </w:t>
      </w:r>
      <w:r>
        <w:rPr>
          <w:rFonts w:ascii="Consolas" w:hAnsi="Consolas"/>
          <w:color w:val="6B6B6B"/>
          <w:sz w:val="18"/>
        </w:rPr>
        <w:t>outputs/round3/tables/appH1_assumptions.csv</w:t>
      </w:r>
      <w:r>
        <w:t xml:space="preserve"> (from </w:t>
      </w:r>
      <w:r>
        <w:rPr>
          <w:rFonts w:ascii="Consolas" w:hAnsi="Consolas"/>
          <w:color w:val="6B6B6B"/>
          <w:sz w:val="18"/>
        </w:rPr>
        <w:t>data/round3/payday_assumptions.csv</w:t>
      </w:r>
      <w:r>
        <w:t>).</w:t>
      </w:r>
    </w:p>
    <w:p>
      <w:pPr>
        <w:pStyle w:val="SourceLine"/>
      </w:pPr>
      <w:r>
        <w:t>Source: as listed in the table.</w:t>
      </w:r>
    </w:p>
    <w:p>
      <w:r>
        <w:br w:type="page"/>
      </w:r>
    </w:p>
    <w:p>
      <w:pPr>
        <w:pStyle w:val="Heading2"/>
      </w:pPr>
      <w:r>
        <w:t>Appendix I: Backup answers for Q&amp;A</w:t>
      </w:r>
    </w:p>
    <w:p>
      <w:r>
        <w:br w:type="page"/>
      </w:r>
    </w:p>
    <w:p>
      <w:pPr>
        <w:pStyle w:val="Heading3"/>
      </w:pPr>
      <w:r>
        <w:t>I1. Questions the Board is likely to ask</w:t>
      </w:r>
    </w:p>
    <w:p>
      <w:r>
        <w:rPr>
          <w:rStyle w:val="FieldLabel"/>
        </w:rPr>
        <w:t>Title:</w:t>
      </w:r>
      <w:r>
        <w:t xml:space="preserve"> </w:t>
      </w:r>
      <w:r>
        <w:t>Short answers, each with the number behind it</w:t>
      </w:r>
    </w:p>
    <w:p>
      <w:r>
        <w:rPr>
          <w:rStyle w:val="FieldLabel"/>
        </w:rPr>
        <w:t>Table:</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3895"/>
            <w:shd w:val="clear" w:color="auto" w:fill="F3F3F3"/>
          </w:tcPr>
          <w:p>
            <w:pPr>
              <w:spacing w:after="0"/>
            </w:pPr>
            <w:r>
              <w:rPr>
                <w:b/>
                <w:sz w:val="18"/>
              </w:rPr>
              <w:t>Question</w:t>
            </w:r>
          </w:p>
        </w:tc>
        <w:tc>
          <w:tcPr>
            <w:tcW w:type="dxa" w:w="5564"/>
            <w:shd w:val="clear" w:color="auto" w:fill="F3F3F3"/>
          </w:tcPr>
          <w:p>
            <w:pPr>
              <w:spacing w:after="0"/>
            </w:pPr>
            <w:r>
              <w:rPr>
                <w:b/>
                <w:sz w:val="18"/>
              </w:rPr>
              <w:t>Short answer</w:t>
            </w:r>
          </w:p>
        </w:tc>
        <w:tc>
          <w:tcPr>
            <w:tcW w:type="dxa" w:w="5564"/>
            <w:shd w:val="clear" w:color="auto" w:fill="F3F3F3"/>
          </w:tcPr>
          <w:p>
            <w:pPr>
              <w:spacing w:after="0"/>
            </w:pPr>
            <w:r>
              <w:rPr>
                <w:b/>
                <w:sz w:val="18"/>
              </w:rPr>
              <w:t>Evidence</w:t>
            </w:r>
          </w:p>
        </w:tc>
      </w:tr>
      <w:tr>
        <w:tc>
          <w:tcPr>
            <w:tcW w:type="dxa" w:w="3895"/>
          </w:tcPr>
          <w:p>
            <w:pPr>
              <w:spacing w:after="0"/>
            </w:pPr>
            <w:r>
              <w:rPr>
                <w:sz w:val="18"/>
              </w:rPr>
              <w:t>Why not just a bank deposit?</w:t>
            </w:r>
          </w:p>
        </w:tc>
        <w:tc>
          <w:tcPr>
            <w:tcW w:type="dxa" w:w="5564"/>
          </w:tcPr>
          <w:p>
            <w:pPr>
              <w:spacing w:after="0"/>
            </w:pPr>
            <w:r>
              <w:rPr>
                <w:sz w:val="18"/>
              </w:rPr>
              <w:t>Golden Egg pays 6.20–7.60% against 5.9% for a Big Four 12-month deposit, but bond coupons are taxed 5% and deposits are not. We compete on short terms, automation, a goal and published proof, not on the rate.</w:t>
            </w:r>
          </w:p>
        </w:tc>
        <w:tc>
          <w:tcPr>
            <w:tcW w:type="dxa" w:w="5564"/>
          </w:tcPr>
          <w:p>
            <w:pPr>
              <w:spacing w:after="0"/>
            </w:pPr>
            <w:r>
              <w:rPr>
                <w:sz w:val="18"/>
              </w:rPr>
              <w:t>DNSE Securities (n.d.-a, n.d.-b); Thi truong Tai chinh Tien te (2026b)</w:t>
            </w:r>
          </w:p>
        </w:tc>
      </w:tr>
      <w:tr>
        <w:tc>
          <w:tcPr>
            <w:tcW w:type="dxa" w:w="3895"/>
          </w:tcPr>
          <w:p>
            <w:pPr>
              <w:spacing w:after="0"/>
            </w:pPr>
            <w:r>
              <w:rPr>
                <w:sz w:val="18"/>
              </w:rPr>
              <w:t>Is VPS Smart Indexing the same thing?</w:t>
            </w:r>
          </w:p>
        </w:tc>
        <w:tc>
          <w:tcPr>
            <w:tcW w:type="dxa" w:w="5564"/>
          </w:tcPr>
          <w:p>
            <w:pPr>
              <w:spacing w:after="0"/>
            </w:pPr>
            <w:r>
              <w:rPr>
                <w:sz w:val="18"/>
              </w:rPr>
              <w:t>No. VPS decides for the customer, holds shares only, starts at VND 50 million plus 10 million a month and charges 0.5% a year. Payday is customer-confirmed, holds four asset types and starts at VND 500,000.</w:t>
            </w:r>
          </w:p>
        </w:tc>
        <w:tc>
          <w:tcPr>
            <w:tcW w:type="dxa" w:w="5564"/>
          </w:tcPr>
          <w:p>
            <w:pPr>
              <w:spacing w:after="0"/>
            </w:pPr>
            <w:r>
              <w:rPr>
                <w:sz w:val="18"/>
              </w:rPr>
              <w:t>Tuoi Tre (2026); Tin nhanh Chung khoan (2026)</w:t>
            </w:r>
          </w:p>
        </w:tc>
      </w:tr>
      <w:tr>
        <w:tc>
          <w:tcPr>
            <w:tcW w:type="dxa" w:w="3895"/>
          </w:tcPr>
          <w:p>
            <w:pPr>
              <w:spacing w:after="0"/>
            </w:pPr>
            <w:r>
              <w:rPr>
                <w:sz w:val="18"/>
              </w:rPr>
              <w:t>Who is liable if Ensa's advice is wrong?</w:t>
            </w:r>
          </w:p>
        </w:tc>
        <w:tc>
          <w:tcPr>
            <w:tcW w:type="dxa" w:w="5564"/>
          </w:tcPr>
          <w:p>
            <w:pPr>
              <w:spacing w:after="0"/>
            </w:pPr>
            <w:r>
              <w:rPr>
                <w:sz w:val="18"/>
              </w:rPr>
              <w:t>Ensa only collects the facts. A licensed adviser signs the model plans, every recommendation is logged, and nothing is invested without the customer's confirmation.</w:t>
            </w:r>
          </w:p>
        </w:tc>
        <w:tc>
          <w:tcPr>
            <w:tcW w:type="dxa" w:w="5564"/>
          </w:tcPr>
          <w:p>
            <w:pPr>
              <w:spacing w:after="0"/>
            </w:pPr>
            <w:r>
              <w:rPr>
                <w:sz w:val="18"/>
              </w:rPr>
              <w:t>Ministry of Finance (2020), Articles 4 and 24; National Assembly (2019), Article 72</w:t>
            </w:r>
          </w:p>
        </w:tc>
      </w:tr>
      <w:tr>
        <w:tc>
          <w:tcPr>
            <w:tcW w:type="dxa" w:w="3895"/>
          </w:tcPr>
          <w:p>
            <w:pPr>
              <w:spacing w:after="0"/>
            </w:pPr>
            <w:r>
              <w:rPr>
                <w:sz w:val="18"/>
              </w:rPr>
              <w:t>What happens in a market fall?</w:t>
            </w:r>
          </w:p>
        </w:tc>
        <w:tc>
          <w:tcPr>
            <w:tcW w:type="dxa" w:w="5564"/>
          </w:tcPr>
          <w:p>
            <w:pPr>
              <w:spacing w:after="0"/>
            </w:pPr>
            <w:r>
              <w:rPr>
                <w:sz w:val="18"/>
              </w:rPr>
              <w:t>Goals under a year hold only bank bonds. In the stress test, a fall in year 2 cuts new funded accounts at month 36 by 12.3% and month-60 cash by VND 0.35 billion.</w:t>
            </w:r>
          </w:p>
        </w:tc>
        <w:tc>
          <w:tcPr>
            <w:tcW w:type="dxa" w:w="5564"/>
          </w:tcPr>
          <w:p>
            <w:pPr>
              <w:spacing w:after="0"/>
            </w:pPr>
            <w:r>
              <w:rPr>
                <w:sz w:val="18"/>
              </w:rPr>
              <w:t>Authors' cohort model; VnExpress (2026b)</w:t>
            </w:r>
          </w:p>
        </w:tc>
      </w:tr>
      <w:tr>
        <w:tc>
          <w:tcPr>
            <w:tcW w:type="dxa" w:w="3895"/>
          </w:tcPr>
          <w:p>
            <w:pPr>
              <w:spacing w:after="0"/>
            </w:pPr>
            <w:r>
              <w:rPr>
                <w:sz w:val="18"/>
              </w:rPr>
              <w:t>Why not use DNSE's own bonds?</w:t>
            </w:r>
          </w:p>
        </w:tc>
        <w:tc>
          <w:tcPr>
            <w:tcW w:type="dxa" w:w="5564"/>
          </w:tcPr>
          <w:p>
            <w:pPr>
              <w:spacing w:after="0"/>
            </w:pPr>
            <w:r>
              <w:rPr>
                <w:sz w:val="18"/>
              </w:rPr>
              <w:t>They would improve month-60 cash by about VND 3.9 billion, but they create a conflict of interest in an advised product. New Golden Egg openings were paused at the regulator's request in December 2023.</w:t>
            </w:r>
          </w:p>
        </w:tc>
        <w:tc>
          <w:tcPr>
            <w:tcW w:type="dxa" w:w="5564"/>
          </w:tcPr>
          <w:p>
            <w:pPr>
              <w:spacing w:after="0"/>
            </w:pPr>
            <w:r>
              <w:rPr>
                <w:sz w:val="18"/>
              </w:rPr>
              <w:t>Authors' cohort model; DNSE Securities (2023)</w:t>
            </w:r>
          </w:p>
        </w:tc>
      </w:tr>
      <w:tr>
        <w:tc>
          <w:tcPr>
            <w:tcW w:type="dxa" w:w="3895"/>
          </w:tcPr>
          <w:p>
            <w:pPr>
              <w:spacing w:after="0"/>
            </w:pPr>
            <w:r>
              <w:rPr>
                <w:sz w:val="18"/>
              </w:rPr>
              <w:t>Why not lend against the plan's ETFs?</w:t>
            </w:r>
          </w:p>
        </w:tc>
        <w:tc>
          <w:tcPr>
            <w:tcW w:type="dxa" w:w="5564"/>
          </w:tcPr>
          <w:p>
            <w:pPr>
              <w:spacing w:after="0"/>
            </w:pPr>
            <w:r>
              <w:rPr>
                <w:sz w:val="18"/>
              </w:rPr>
              <w:t>Base NPV would improve only from −VND 25.0 billion to −VND 20.9 billion. It would also cut against the savings purpose and the 2026 margin findings, so we review it only at Gate 3.</w:t>
            </w:r>
          </w:p>
        </w:tc>
        <w:tc>
          <w:tcPr>
            <w:tcW w:type="dxa" w:w="5564"/>
          </w:tcPr>
          <w:p>
            <w:pPr>
              <w:spacing w:after="0"/>
            </w:pPr>
            <w:r>
              <w:rPr>
                <w:sz w:val="18"/>
              </w:rPr>
              <w:t>Authors' cohort model; Market Times (2026)</w:t>
            </w:r>
          </w:p>
        </w:tc>
      </w:tr>
      <w:tr>
        <w:tc>
          <w:tcPr>
            <w:tcW w:type="dxa" w:w="3895"/>
          </w:tcPr>
          <w:p>
            <w:pPr>
              <w:spacing w:after="0"/>
            </w:pPr>
            <w:r>
              <w:rPr>
                <w:sz w:val="18"/>
              </w:rPr>
              <w:t>What if the bank charges its list fee?</w:t>
            </w:r>
          </w:p>
        </w:tc>
        <w:tc>
          <w:tcPr>
            <w:tcW w:type="dxa" w:w="5564"/>
          </w:tcPr>
          <w:p>
            <w:pPr>
              <w:spacing w:after="0"/>
            </w:pPr>
            <w:r>
              <w:rPr>
                <w:sz w:val="18"/>
              </w:rPr>
              <w:t>At VND 3,300 per contribution the CAC ceiling falls from VND 199,000 to VND 128,000; above VND 6,200 the dormant channel stops paying back. Gate 0 targets VND 0.</w:t>
            </w:r>
          </w:p>
        </w:tc>
        <w:tc>
          <w:tcPr>
            <w:tcW w:type="dxa" w:w="5564"/>
          </w:tcPr>
          <w:p>
            <w:pPr>
              <w:spacing w:after="0"/>
            </w:pPr>
            <w:r>
              <w:rPr>
                <w:sz w:val="18"/>
              </w:rPr>
              <w:t>VPBank (2024); authors' cohort model</w:t>
            </w:r>
          </w:p>
        </w:tc>
      </w:tr>
      <w:tr>
        <w:tc>
          <w:tcPr>
            <w:tcW w:type="dxa" w:w="3895"/>
          </w:tcPr>
          <w:p>
            <w:pPr>
              <w:spacing w:after="0"/>
            </w:pPr>
            <w:r>
              <w:rPr>
                <w:sz w:val="18"/>
              </w:rPr>
              <w:t>What if only 1% of dormant accounts enrol?</w:t>
            </w:r>
          </w:p>
        </w:tc>
        <w:tc>
          <w:tcPr>
            <w:tcW w:type="dxa" w:w="5564"/>
          </w:tcPr>
          <w:p>
            <w:pPr>
              <w:spacing w:after="0"/>
            </w:pPr>
            <w:r>
              <w:rPr>
                <w:sz w:val="18"/>
              </w:rPr>
              <w:t>That is the break-even rate, so we would not scale: we scale at 1.5% and stop below 1.0%. The downside path costs about VND 10.0 million per new funded account and is stopped at month 6.</w:t>
            </w:r>
          </w:p>
        </w:tc>
        <w:tc>
          <w:tcPr>
            <w:tcW w:type="dxa" w:w="5564"/>
          </w:tcPr>
          <w:p>
            <w:pPr>
              <w:spacing w:after="0"/>
            </w:pPr>
            <w:r>
              <w:rPr>
                <w:sz w:val="18"/>
              </w:rPr>
              <w:t>Authors' cohort model</w:t>
            </w:r>
          </w:p>
        </w:tc>
      </w:tr>
      <w:tr>
        <w:tc>
          <w:tcPr>
            <w:tcW w:type="dxa" w:w="3895"/>
          </w:tcPr>
          <w:p>
            <w:pPr>
              <w:spacing w:after="0"/>
            </w:pPr>
            <w:r>
              <w:rPr>
                <w:sz w:val="18"/>
              </w:rPr>
              <w:t>Is Open API a threat or an opportunity?</w:t>
            </w:r>
          </w:p>
        </w:tc>
        <w:tc>
          <w:tcPr>
            <w:tcW w:type="dxa" w:w="5564"/>
          </w:tcPr>
          <w:p>
            <w:pPr>
              <w:spacing w:after="0"/>
            </w:pPr>
            <w:r>
              <w:rPr>
                <w:sz w:val="18"/>
              </w:rPr>
              <w:t>Banks must comply by 1 March 2027 and customer consent lasts up to 180 days. Our virtual-account bank is the natural first Open API partner for salary-percentage contributions in Phase 3.</w:t>
            </w:r>
          </w:p>
        </w:tc>
        <w:tc>
          <w:tcPr>
            <w:tcW w:type="dxa" w:w="5564"/>
          </w:tcPr>
          <w:p>
            <w:pPr>
              <w:spacing w:after="0"/>
            </w:pPr>
            <w:r>
              <w:rPr>
                <w:sz w:val="18"/>
              </w:rPr>
              <w:t>State Bank of Vietnam (2024)</w:t>
            </w:r>
          </w:p>
        </w:tc>
      </w:tr>
    </w:tbl>
    <w:p/>
    <w:p>
      <w:pPr>
        <w:pStyle w:val="SourceLine"/>
      </w:pPr>
      <w:r>
        <w:t xml:space="preserve">CSV: </w:t>
      </w:r>
      <w:r>
        <w:rPr>
          <w:rFonts w:ascii="Consolas" w:hAnsi="Consolas"/>
          <w:color w:val="6B6B6B"/>
          <w:sz w:val="18"/>
        </w:rPr>
        <w:t>outputs/round3/tables/appI1_qa.csv</w:t>
      </w:r>
      <w:r>
        <w:t>.</w:t>
      </w:r>
    </w:p>
    <w:p>
      <w:pPr>
        <w:pStyle w:val="SourceLine"/>
      </w:pPr>
      <w:r>
        <w:t>Source: as listed in the table.</w:t>
      </w:r>
    </w:p>
    <w:p>
      <w:r>
        <w:br w:type="page"/>
      </w:r>
    </w:p>
    <w:p>
      <w:pPr>
        <w:pStyle w:val="Heading2"/>
      </w:pPr>
      <w:r>
        <w:t>References</w:t>
      </w:r>
    </w:p>
    <w:p>
      <w:r>
        <w:rPr>
          <w:i/>
        </w:rPr>
        <w:t>APA 7, theo cách trình bày của report Round 2. URL chỉ ghi dạng chữ, không gắn hyperlink.</w:t>
      </w:r>
    </w:p>
    <w:p>
      <w:pPr>
        <w:pStyle w:val="ListBullet"/>
      </w:pPr>
      <w:r>
        <w:t xml:space="preserve">Ashraf, N., Karlan, D., &amp; Yin, W. (2006). Tying Odysseus to the mast: Evidence from a commitment savings product in the Philippines. </w:t>
      </w:r>
      <w:r>
        <w:rPr>
          <w:i/>
        </w:rPr>
        <w:t>The Quarterly Journal of Economics, 121</w:t>
      </w:r>
      <w:r>
        <w:t>(2), 635–672. https://doi.org/10.1162/qjec.2006.121.2.635</w:t>
      </w:r>
    </w:p>
    <w:p>
      <w:pPr>
        <w:pStyle w:val="ListBullet"/>
      </w:pPr>
      <w:r>
        <w:t>Bao Phap Luat. (2026, June 30). Thêm quỹ Dragon Capital, SSI iBoard mở rộng sản phẩm đầu tư trên nền tảng số [SSI iBoard adds Dragon Capital funds to its digital platform]. https://baophapluat.vn/them-quy-dragon-capital-ssi-iboard-mo-rong-san-pham-dau-tu-tren-nen-tang-so.html</w:t>
      </w:r>
    </w:p>
    <w:p>
      <w:pPr>
        <w:pStyle w:val="ListBullet"/>
      </w:pPr>
      <w:r>
        <w:t>CafeF. (2026, July 22). Soi số lợi nhuận 15.200 tỷ của ngành chứng khoán trong quý 2 [The securities industry's VND 15,200 billion profit in Q2]. https://cafef.vn/soi-so-loi-nhuan-15200-ty-cua-nganh-chung-khoan-trong-quy-2-mot-cuoc-doi-ngoi-dang-am-tham-dien-ra-188260722020054991.chn</w:t>
      </w:r>
    </w:p>
    <w:p>
      <w:pPr>
        <w:pStyle w:val="ListBullet"/>
      </w:pPr>
      <w:r>
        <w:t>DNSE Securities. (2023, December 24). Thông báo tạm dừng mở mới Egg X và Gift X [Notice pausing new Golden Egg (Egg X) and Gift X openings]. https://www.dnse.com.vn/tin-tuc/tb-tam-dung-eggx-va-giftx-25-12-2023</w:t>
      </w:r>
    </w:p>
    <w:p>
      <w:pPr>
        <w:pStyle w:val="ListBullet"/>
      </w:pPr>
      <w:r>
        <w:t>DNSE Securities. (2025). So sánh các chương trình "sinh lời tự động" từ tiền nhàn rỗi 2025 [Comparison of automatic-earning programmes for idle cash, 2025]. https://www.dnse.com.vn/hoc/chuong-trinh-sinh-loi-tu-dong</w:t>
      </w:r>
    </w:p>
    <w:p>
      <w:pPr>
        <w:pStyle w:val="ListBullet"/>
      </w:pPr>
      <w:r>
        <w:t>DNSE Securities. (2026a). Financial statements and investor relations releases, 2019 to the second quarter of 2026. https://ir.dnse.com.vn/vi/ctype-finance_report</w:t>
      </w:r>
    </w:p>
    <w:p>
      <w:pPr>
        <w:pStyle w:val="ListBullet"/>
      </w:pPr>
      <w:r>
        <w:t>DNSE Securities. (2026b). Tài khoản Không Ngủ [Never-Sleeping Account, product page]. Retrieved September 24, 2026, from https://www.dnse.com.vn/san-pham/tai-khoan-khong-ngu</w:t>
      </w:r>
    </w:p>
    <w:p>
      <w:pPr>
        <w:pStyle w:val="ListBullet"/>
      </w:pPr>
      <w:r>
        <w:t>DNSE Securities. (2026c). Báo cáo thường niên 2025 [Annual report 2025]. https://cdn.dnse.com.vn/dnse-assets/CBTT/DSE%20-%20BCTN%202025.pdf</w:t>
      </w:r>
    </w:p>
    <w:p>
      <w:pPr>
        <w:pStyle w:val="ListBullet"/>
      </w:pPr>
      <w:r>
        <w:t>DNSE Securities. (2026d). Lightspeed API [Product page]. Retrieved September 27, 2026, from https://www.dnse.com.vn/lightspeed-api</w:t>
      </w:r>
    </w:p>
    <w:p>
      <w:pPr>
        <w:pStyle w:val="ListBullet"/>
      </w:pPr>
      <w:r>
        <w:t>DNSE Securities. (2026e, March 4). Công bố thông tin về sự cố công nghệ thông tin [Disclosure of an IT incident]. https://ir.dnse.com.vn/vi/post/cong-bo-thong-tin-ve-su-co-cong-nghe-thong-tin-717.htm</w:t>
      </w:r>
    </w:p>
    <w:p>
      <w:pPr>
        <w:pStyle w:val="ListBullet"/>
      </w:pPr>
      <w:r>
        <w:t>DNSE Securities. (2026f). Tài liệu họp Đại hội đồng cổ đông thường niên 2026 [2026 annual general meeting documents]. https://mobiv2.fireant.vn/News/NewsAttachedFile/1863037</w:t>
      </w:r>
    </w:p>
    <w:p>
      <w:pPr>
        <w:pStyle w:val="ListBullet"/>
      </w:pPr>
      <w:r>
        <w:t>DNSE Securities. (n.d.-a). FAQ Trứng Vàng giao dịch trái phiếu [Golden Egg bond trading FAQ]. Retrieved October 16, 2026, from https://hdsd.dnse.com.vn/san-pham-dich-vu/sp-trung-vang/trung-vang-qua-giao-dich-trai-phieu-v2/faq-trung-vang-giao-dich-trai-phieu</w:t>
      </w:r>
    </w:p>
    <w:p>
      <w:pPr>
        <w:pStyle w:val="ListBullet"/>
      </w:pPr>
      <w:r>
        <w:t>DNSE Securities. (n.d.-b). Trứng Vàng [Golden Egg, product page]. Retrieved October 16, 2026, from https://www.dnse.com.vn/san-pham/trung-vang</w:t>
      </w:r>
    </w:p>
    <w:p>
      <w:pPr>
        <w:pStyle w:val="ListBullet"/>
      </w:pPr>
      <w:r>
        <w:t>Hanoi Stock Exchange. (2026). Quarterly announcements of the ten securities companies with the largest brokerage market share, Q4 2017 to Q2 2026 [Data set]. Retrieved September 25, 2026, from https://www.hnx.vn</w:t>
      </w:r>
    </w:p>
    <w:p>
      <w:pPr>
        <w:pStyle w:val="ListBullet"/>
      </w:pPr>
      <w:r>
        <w:t>ITviec. (2025). Vietnam IT salary and recruitment market report 2025–2026. https://itviec.com/report/vietnam-it-salary-and-recruitment-market</w:t>
      </w:r>
    </w:p>
    <w:p>
      <w:pPr>
        <w:pStyle w:val="ListBullet"/>
      </w:pPr>
      <w:r>
        <w:t xml:space="preserve">Karlan, D., McConnell, M., Mullainathan, S., &amp; Zinman, J. (2016). Getting to the top of mind: How reminders increase saving. </w:t>
      </w:r>
      <w:r>
        <w:rPr>
          <w:i/>
        </w:rPr>
        <w:t>Management Science, 62</w:t>
      </w:r>
      <w:r>
        <w:t>(12), 3393–3411. https://doi.org/10.1287/mnsc.2015.2296</w:t>
      </w:r>
    </w:p>
    <w:p>
      <w:pPr>
        <w:pStyle w:val="ListBullet"/>
      </w:pPr>
      <w:r>
        <w:t>KBSV. (n.d.). Periodic investment: Accumulate as desired. Retrieved October 16, 2026, from https://kbsec.com.vn/en/periodic-investment-accumulate-as-desired.htm</w:t>
      </w:r>
    </w:p>
    <w:p>
      <w:pPr>
        <w:pStyle w:val="ListBullet"/>
      </w:pPr>
      <w:r>
        <w:t xml:space="preserve">KTQT FTUers. (2026). </w:t>
      </w:r>
      <w:r>
        <w:rPr>
          <w:i/>
        </w:rPr>
        <w:t>DNSE Securities Joint Stock Company: Round 2 business analytics report</w:t>
      </w:r>
      <w:r>
        <w:t xml:space="preserve"> [Unpublished competition report]. Future Business Analyst Season 6, RMIT Business and Finance Club Hanoi.</w:t>
      </w:r>
    </w:p>
    <w:p>
      <w:pPr>
        <w:pStyle w:val="ListBullet"/>
      </w:pPr>
      <w:r>
        <w:t>Market Times. (2026, August 17). Chứng khoán DNSE (DSE) của Chủ tịch Nguyễn Hoàng Giang bị phạt hơn 800 triệu đồng vì loạt vi phạm trong hoạt động chứng khoán [DNSE fined more than VND 800 million for securities violations]. https://markettimes.vn/chung-khoan-dnse-dse-cua-chu-tich-nguyen-hoang-giang-bi-phat-128642.html</w:t>
      </w:r>
    </w:p>
    <w:p>
      <w:pPr>
        <w:pStyle w:val="ListBullet"/>
      </w:pPr>
      <w:r>
        <w:t>Ministry of Finance. (2020). Circular No. 121/2020/TT-BTC on the operation of securities companies. https://thuvienphapluat.vn/van-ban/Doanh-nghiep/Thong-tu-121-2020-TT-BTC-huong-dan-hoat-dong-cua-cong-ty-chung-khoan-453690.aspx</w:t>
      </w:r>
    </w:p>
    <w:p>
      <w:pPr>
        <w:pStyle w:val="ListBullet"/>
      </w:pPr>
      <w:r>
        <w:t>MobiFone. (n.d.). SMS Brandname. Retrieved October 16, 2026, from https://www.mobifone.vn/doanh-nghiep/cong-nghe-thong-tin/chi-tiet/24</w:t>
      </w:r>
    </w:p>
    <w:p>
      <w:pPr>
        <w:pStyle w:val="ListBullet"/>
      </w:pPr>
      <w:r>
        <w:t>National Assembly of Vietnam. (2019). Law on Securities No. 54/2019/QH14. https://thuvienphapluat.vn/van-ban/Chung-khoan/Luat-Chung-khoan-nam-2019-399763.aspx</w:t>
      </w:r>
    </w:p>
    <w:p>
      <w:pPr>
        <w:pStyle w:val="ListBullet"/>
      </w:pPr>
      <w:r>
        <w:t>National Statistics Office. (2026, July). Một số nét chính tình hình kinh tế – xã hội quý II và 6 tháng đầu năm 2026 [Socio-economic situation in the second quarter and first half of 2026]. https://www.nso.gov.vn/tin-tuc-thong-ke/2026/07/mot-so-net-chinh-tinh-hinh-kinh-te-xa-hoi-quy-ii-va-6-thang-dau-nam-2026/</w:t>
      </w:r>
    </w:p>
    <w:p>
      <w:pPr>
        <w:pStyle w:val="ListBullet"/>
      </w:pPr>
      <w:r>
        <w:t>Nhan Dan. (2025, July 8). Công bố khảo sát 2025 về nhu cầu quản lý tài sản và đầu tư của người Việt [2025 survey of Vietnamese wealth management and investment needs]. https://nhandan.vn/cong-bo-khao-sat-2025-ve-nhu-cau-quan-ly-tai-san-va-dau-tu-cua-nguoi-viet-post892406.html</w:t>
      </w:r>
    </w:p>
    <w:p>
      <w:pPr>
        <w:pStyle w:val="ListBullet"/>
      </w:pPr>
      <w:r>
        <w:t>SSI Asset Management. (2026). Thông tin chung quỹ SSIBF [SSIBF fund information]. Retrieved October 16, 2026, from https://ssiam.com.vn/thong-tin-chung-quy-ssibf</w:t>
      </w:r>
    </w:p>
    <w:p>
      <w:pPr>
        <w:pStyle w:val="ListBullet"/>
      </w:pPr>
      <w:r>
        <w:t>SSI Securities. (2026, April 23). Tích sản thảnh thơi cùng tính năng đầu tư chứng chỉ quỹ tự động tại SSI [Easy accumulation with automatic fund investing at SSI]. https://www.ssi.com.vn/tin-tuc/tin-tuc-chung/tich-san-thanh-thoi-cung-tinh-nang-dau-tu-chung-chi-quy-tu-dong-tai-ssi</w:t>
      </w:r>
    </w:p>
    <w:p>
      <w:pPr>
        <w:pStyle w:val="ListBullet"/>
      </w:pPr>
      <w:r>
        <w:t>State Bank of Vietnam. (2024). Circular No. 64/2024/TT-NHNN on the implementation of open application programming interfaces in the banking sector.</w:t>
      </w:r>
    </w:p>
    <w:p>
      <w:pPr>
        <w:pStyle w:val="ListBullet"/>
      </w:pPr>
      <w:r>
        <w:t>TCBS. (2026, July). Thông cáo báo chí kết quả kinh doanh quý 2/2026 [Press release on second-quarter 2026 results]. https://www.tcbs.com.vn/wp-content/uploads/2026/07/Press-Release_2Q2026_VN_FINAL.pdf</w:t>
      </w:r>
    </w:p>
    <w:p>
      <w:pPr>
        <w:pStyle w:val="ListBullet"/>
      </w:pPr>
      <w:r>
        <w:t>Thi truong Tai chinh Tien te. (2021, June 23). VinaCapital ra mắt chương trình đầu tư định kỳ thông minh VinaSIP [VinaCapital launches the VinaSIP systematic investment plan]. https://thitruongtaichinhtiente.vn/vinacapital-ra-mat-chuong-trinh-dau-tu-dinh-ky-thong-minh-vinasip-36072.html</w:t>
      </w:r>
    </w:p>
    <w:p>
      <w:pPr>
        <w:pStyle w:val="ListBullet"/>
      </w:pPr>
      <w:r>
        <w:t>Thi truong Tai chinh Tien te. (2026a). Agribank chào bán 15.000 tỷ đồng trái phiếu ra công chúng năm 2026 [Agribank offers VND 15,000 billion of public bonds in 2026]. https://thitruongtaichinhtiente.vn/agribank-chao-ban-15-000-ty-dong-trai-phieu-ra-cong-chung-2026-84152.html</w:t>
      </w:r>
    </w:p>
    <w:p>
      <w:pPr>
        <w:pStyle w:val="ListBullet"/>
      </w:pPr>
      <w:r>
        <w:t>Thi truong Tai chinh Tien te. (2026b, October 1). Lãi suất đầu tháng 10/2026: Tiết kiệm giữ nhịp ổn định, chứng chỉ tiền gửi hút khách [Interest rates in early October 2026]. https://thitruongtaichinhtiente.vn/lai-suat-dau-thang-10-2026-tiet-kiem-giu-nhip-on-dinh-chung-chi-tien-gui-hut-khach-85944.html</w:t>
      </w:r>
    </w:p>
    <w:p>
      <w:pPr>
        <w:pStyle w:val="ListBullet"/>
      </w:pPr>
      <w:r>
        <w:t>Tin nhanh Chung khoan. (2026, August 11). VPS chính thức ra mắt sản phẩm VPS Smart Indexing [VPS launches VPS Smart Indexing]. https://www.tinnhanhchungkhoan.vn/vps-chinh-thuc-ra-mat-san-pham-vps-smart-indexing-post395704.html</w:t>
      </w:r>
    </w:p>
    <w:p>
      <w:pPr>
        <w:pStyle w:val="ListBullet"/>
      </w:pPr>
      <w:r>
        <w:t>Tuoi Tre. (2026, September 25). VPS triển khai đầu tư theo danh mục, vốn từ 50 triệu đồng [VPS offers portfolio investing from VND 50 million]. https://tuoitre.vn/vps-trien-khai-dau-tu-theo-danh-muc-von-tu-50-trieu-dong-100260925082458764.htm</w:t>
      </w:r>
    </w:p>
    <w:p>
      <w:pPr>
        <w:pStyle w:val="ListBullet"/>
      </w:pPr>
      <w:r>
        <w:t>VCBF. (2026). VCBF Fixed Income Fund (VCBF-FIF) factsheet, September 2026. https://www.vcbf.com/images/2026/vcbf_fixed_income_fund_vcbf-fif_092026.pdf</w:t>
      </w:r>
    </w:p>
    <w:p>
      <w:pPr>
        <w:pStyle w:val="ListBullet"/>
      </w:pPr>
      <w:r>
        <w:t>VCBF. (n.d.). About SIP. Retrieved October 16, 2026, from https://www.vcbf.com/en/open-ended-funds/systematic-investment-plan-sip/about-sip/</w:t>
      </w:r>
    </w:p>
    <w:p>
      <w:pPr>
        <w:pStyle w:val="ListBullet"/>
      </w:pPr>
      <w:r>
        <w:t>Vietcap Securities. (2026). Financial statements of DSE and other securities companies, Q1 2018 to Q2 2026 [Data set]. Vietcap IQ. Retrieved September 24, 2026, from https://iq.vietcap.com.vn</w:t>
      </w:r>
    </w:p>
    <w:p>
      <w:pPr>
        <w:pStyle w:val="ListBullet"/>
      </w:pPr>
      <w:r>
        <w:t>Vietstock. (2026a, March 26). Những nội dung đáng chú ý ở ĐHĐCĐ thường niên DNSE 2026 [Highlights of DNSE's 2026 AGM]. https://vietstock.vn/2026/03/nhung-noi-dung-dang-chu-y-o-dhdcd-thuong-nien-dnse-2026-737-1415846.htm</w:t>
      </w:r>
    </w:p>
    <w:p>
      <w:pPr>
        <w:pStyle w:val="ListBullet"/>
      </w:pPr>
      <w:r>
        <w:t>Vietstock. (2026b, July 21). Dư nợ margin lập kỷ lục 454 ngàn tỷ đồng, cuộc đua có sự phân hóa [Margin lending reaches a record VND 454 trillion]. https://vietstock.vn/2026/07/du-no-margin-lap-ky-luc-454-ngan-ty-dong-cuoc-dua-co-su-phan-hoa-830-1468883.htm</w:t>
      </w:r>
    </w:p>
    <w:p>
      <w:pPr>
        <w:pStyle w:val="ListBullet"/>
      </w:pPr>
      <w:r>
        <w:t>VnEconomy. (2025, July 8). Lời giải nào cho nghịch lý giữa kỳ vọng sinh lời và tâm lý e ngại của nhà đầu tư Việt? [Resolving the paradox between Vietnamese investors' return expectations and caution]. https://vneconomy.vn/loi-giai-nao-cho-nghich-ly-giua-ky-vong-sinh-loi-va-tam-ly-e-ngai-cua-nha-dau-tu-viet.htm</w:t>
      </w:r>
    </w:p>
    <w:p>
      <w:pPr>
        <w:pStyle w:val="ListBullet"/>
      </w:pPr>
      <w:r>
        <w:t>VnEconomy. (2026, July 22). Lãi suất cao khiến số dư tiền gửi của nhà đầu tư tại công ty chứng khoán giảm về mức thấp nhất 1 năm? [High interest rates push investor deposits at brokers to a one-year low]. https://vneconomy.vn/lai-suat-cao-khien-so-du-tien-gui-cua-nha-dau-tu-tai-cong-ty-chung-khoan-giam-ve-muc-thap-nhat-1-nam.htm</w:t>
      </w:r>
    </w:p>
    <w:p>
      <w:pPr>
        <w:pStyle w:val="ListBullet"/>
      </w:pPr>
      <w:r>
        <w:t>VNDIRECT. (n.d.). Tích sản hưu trí [Retirement accumulation plan]. Retrieved October 16, 2026, from https://dautu.vndirect.com.vn/san-pham/tich-san-huu-tri/</w:t>
      </w:r>
    </w:p>
    <w:p>
      <w:pPr>
        <w:pStyle w:val="ListBullet"/>
      </w:pPr>
      <w:r>
        <w:t>VnExpress. (2026a, September 10). Người Việt mở thêm 2 triệu tài khoản chứng khoán sau 8 tháng [Vietnamese open 2 million more securities accounts in eight months]. https://vnexpress.net/nguoi-viet-mo-them-2-trieu-tai-khoan-chung-khoan-sau-8-thang-5118477.html</w:t>
      </w:r>
    </w:p>
    <w:p>
      <w:pPr>
        <w:pStyle w:val="ListBullet"/>
      </w:pPr>
      <w:r>
        <w:t>VnExpress. (2026b, March 9). VN-Index giảm mạnh nhất lịch sử [The VN-Index's largest one-day fall]. https://vnexpress.net/vn-index-mat-hon-90-diem-5048146.html</w:t>
      </w:r>
    </w:p>
    <w:p>
      <w:pPr>
        <w:pStyle w:val="ListBullet"/>
      </w:pPr>
      <w:r>
        <w:t>VPBank. (2024). Biểu phí quản lý tiền tệ dành cho khách hàng doanh nghiệp [Cash management fee schedule for corporate customers]. https://www.vpbank.com.vn/-/media/vpbank-latest/tai-lieu-bieu-mau/bieu-phi/kh-dn/2024/bieu-phi-quan-ly-tien-te-danh-cho-khach-hang-doanh-nghiep.pdf</w:t>
      </w:r>
    </w:p>
    <w:p>
      <w:pPr>
        <w:pStyle w:val="ListBullet"/>
      </w:pPr>
      <w:r>
        <w:t>VPBank. (2026). VPBank chính thức ra mắt "Hũ Mục Tiêu" [VPBank launches Goal Jar]. https://www.vpbank.com.vn/tin-tuc/tin-vpbank/2026/vpbank-chinh-thuc-ra-mat-hu-muc-tieu-tiet-kiem-cung-hoi-cham-dich-cung-vui</w:t>
      </w:r>
    </w:p>
    <w:p>
      <w:pPr>
        <w:pStyle w:val="ListBullet"/>
      </w:pPr>
      <w:r>
        <w:t>World Bank. (2025). Global Financial Inclusion (Global Findex) database 2025, Vietnam [Data set]. World Bank Open Data. Retrieved September 20, 2026, from https://api.worldbank.org/v2/sources/28/country/VNM/series/all/data?format=json</w:t>
      </w:r>
    </w:p>
    <w:p>
      <w:pPr>
        <w:pStyle w:val="ListBullet"/>
      </w:pPr>
      <w:r>
        <w:t>Zalo Business Solutions. (n.d.). Bảng giá và hướng dẫn tính giá ZBS Template Message [ZBS template message pricing]. Retrieved October 16, 2026, from https://zalo.solutions/zns/pricing</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eastAsia="Calibri"/>
      <w:b/>
      <w:bCs/>
      <w:color w:val="8E1B2C"/>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eastAsia="Calibri"/>
      <w:b/>
      <w:bCs/>
      <w:color w:val="8E1B2C"/>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eastAsia="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1A1A1A"/>
      <w:sz w:val="21"/>
    </w:rPr>
  </w:style>
  <w:style w:type="paragraph" w:styleId="ListBullet2">
    <w:name w:val="List Bullet 2"/>
    <w:basedOn w:val="Normal"/>
    <w:uiPriority w:val="99"/>
    <w:unhideWhenUsed/>
    <w:rsid w:val="00326F90"/>
    <w:pPr>
      <w:numPr>
        <w:numId w:val="2"/>
      </w:numPr>
      <w:contextualSpacing/>
    </w:pPr>
    <w:rPr>
      <w:rFonts w:ascii="Calibri" w:hAnsi="Calibri" w:eastAsia="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erNote">
    <w:name w:val="Designer Note"/>
    <w:basedOn w:val="ListBullet"/>
    <w:pPr>
      <w:shd w:val="clear" w:color="auto" w:fill="FCE6D8"/>
    </w:pPr>
    <w:rPr>
      <w:rFonts w:ascii="Calibri" w:hAnsi="Calibri" w:eastAsia="Calibri"/>
      <w:i/>
      <w:color w:val="6B6B6B"/>
      <w:sz w:val="20"/>
    </w:rPr>
  </w:style>
  <w:style w:type="paragraph" w:customStyle="1" w:styleId="SpeakerNote">
    <w:name w:val="Speaker Note"/>
    <w:basedOn w:val="Normal"/>
    <w:pPr>
      <w:ind w:left="227"/>
      <w:shd w:val="clear" w:color="auto" w:fill="F3F3F3"/>
      <w:pBdr>
        <w:left w:val="single" w:sz="18" w:space="8" w:color="D7263D"/>
      </w:pBdr>
    </w:pPr>
    <w:rPr>
      <w:rFonts w:ascii="Calibri" w:hAnsi="Calibri" w:eastAsia="Calibri"/>
      <w:color w:val="1A1A1A"/>
      <w:sz w:val="21"/>
    </w:rPr>
  </w:style>
  <w:style w:type="paragraph" w:customStyle="1" w:styleId="SourceLine">
    <w:name w:val="Source Line"/>
    <w:basedOn w:val="Normal"/>
    <w:pPr>
      <w:spacing w:after="40"/>
    </w:pPr>
    <w:rPr>
      <w:rFonts w:ascii="Calibri" w:hAnsi="Calibri" w:eastAsia="Calibri"/>
      <w:color w:val="6B6B6B"/>
      <w:sz w:val="17"/>
    </w:rPr>
  </w:style>
  <w:style w:type="character" w:customStyle="1" w:styleId="FieldLabel">
    <w:name w:val="Field Label"/>
    <w:rPr>
      <w:rFonts w:ascii="Calibri" w:hAnsi="Calibri" w:eastAsia="Calibri"/>
      <w:b/>
      <w:color w:val="8E1B2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