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rPr>
          <w:sz w:val="10"/>
          <w:szCs w:val="10"/>
        </w:rPr>
        <w:t xml:space="preserve"/>
      </w:r>
    </w:p>
    <w:p>
      <w:pPr>
        <w:spacing w:after="110"/>
        <w:jc w:val="center"/>
      </w:pPr>
      <w:r>
        <w:rPr>
          <w:rFonts w:ascii="Times New Roman" w:cs="Times New Roman" w:eastAsia="Times New Roman" w:hAnsi="Times New Roman"/>
          <w:b w:val="false"/>
          <w:bCs w:val="false"/>
          <w:color w:val="000000"/>
          <w:sz w:val="22"/>
          <w:szCs w:val="22"/>
        </w:rPr>
        <w:t xml:space="preserve">FUTURE BUSINESS ANALYST SEASON 6</w:t>
      </w:r>
    </w:p>
    <w:p>
      <w:pPr>
        <w:spacing w:after="340"/>
        <w:jc w:val="center"/>
      </w:pPr>
      <w:r>
        <w:rPr>
          <w:rFonts w:ascii="Times New Roman" w:cs="Times New Roman" w:eastAsia="Times New Roman" w:hAnsi="Times New Roman"/>
          <w:b w:val="false"/>
          <w:bCs w:val="false"/>
          <w:color w:val="000000"/>
          <w:sz w:val="22"/>
          <w:szCs w:val="22"/>
        </w:rPr>
        <w:t xml:space="preserve">ROUND 2 BUSINESS ANALYTICS REPORT</w:t>
      </w:r>
    </w:p>
    <w:p>
      <w:pPr>
        <w:spacing w:after="170"/>
        <w:jc w:val="center"/>
      </w:pPr>
      <w:r>
        <w:rPr>
          <w:rFonts w:ascii="Times New Roman" w:cs="Times New Roman" w:eastAsia="Times New Roman" w:hAnsi="Times New Roman"/>
          <w:b/>
          <w:bCs/>
          <w:color w:val="000000"/>
          <w:sz w:val="44"/>
          <w:szCs w:val="44"/>
        </w:rPr>
        <w:t xml:space="preserve">Acquisition without activation</w:t>
      </w:r>
    </w:p>
    <w:p>
      <w:pPr>
        <w:spacing w:after="420"/>
        <w:jc w:val="center"/>
      </w:pPr>
      <w:r>
        <w:rPr>
          <w:rFonts w:ascii="Times New Roman" w:cs="Times New Roman" w:eastAsia="Times New Roman" w:hAnsi="Times New Roman"/>
          <w:b w:val="false"/>
          <w:bCs w:val="false"/>
          <w:color w:val="000000"/>
          <w:sz w:val="24"/>
          <w:szCs w:val="24"/>
        </w:rPr>
        <w:t xml:space="preserve">Why DNSE Securities holds a quarter of Vietnam's derivatives market, one eighth of its securities accounts and under three per cent of its cash equity trading</w:t>
      </w:r>
    </w:p>
    <w:p>
      <w:pPr>
        <w:pBdr>
          <w:top w:val="single" w:color="000000" w:sz="8"/>
        </w:pBdr>
        <w:spacing w:after="100"/>
        <w:jc w:val="center"/>
      </w:pPr>
      <w:r>
        <w:rPr>
          <w:sz w:val="6"/>
          <w:szCs w:val="6"/>
        </w:rPr>
        <w:t xml:space="preserve"/>
      </w:r>
    </w:p>
    <w:p>
      <w:pPr>
        <w:spacing w:after="80"/>
        <w:jc w:val="center"/>
      </w:pPr>
      <w:r>
        <w:rPr>
          <w:rFonts w:ascii="Times New Roman" w:cs="Times New Roman" w:eastAsia="Times New Roman" w:hAnsi="Times New Roman"/>
          <w:b w:val="false"/>
          <w:bCs w:val="false"/>
          <w:color w:val="000000"/>
          <w:sz w:val="22"/>
          <w:szCs w:val="22"/>
        </w:rPr>
        <w:t xml:space="preserve">Selected organisation: DNSE Securities Joint Stock Company (HOSE: DSE)</w:t>
      </w:r>
    </w:p>
    <w:p>
      <w:pPr>
        <w:spacing w:after="80"/>
        <w:jc w:val="center"/>
      </w:pPr>
      <w:r>
        <w:rPr>
          <w:rFonts w:ascii="Times New Roman" w:cs="Times New Roman" w:eastAsia="Times New Roman" w:hAnsi="Times New Roman"/>
          <w:b w:val="false"/>
          <w:bCs w:val="false"/>
          <w:color w:val="000000"/>
          <w:sz w:val="22"/>
          <w:szCs w:val="22"/>
        </w:rPr>
        <w:t xml:space="preserve">Category: wealthtech and technology-enabled financial institutions</w:t>
      </w:r>
    </w:p>
    <w:p>
      <w:pPr>
        <w:spacing w:after="0"/>
        <w:jc w:val="center"/>
      </w:pPr>
      <w:r>
        <w:rPr>
          <w:rFonts w:ascii="Times New Roman" w:cs="Times New Roman" w:eastAsia="Times New Roman" w:hAnsi="Times New Roman"/>
          <w:b w:val="false"/>
          <w:bCs w:val="false"/>
          <w:color w:val="000000"/>
          <w:sz w:val="22"/>
          <w:szCs w:val="22"/>
        </w:rPr>
        <w:t xml:space="preserve">21 September 2026</w:t>
      </w:r>
    </w:p>
    <w:p>
      <w:r>
        <w:br w:type="page"/>
      </w:r>
    </w:p>
    <w:p>
      <w:pPr>
        <w:pStyle w:val="Heading1"/>
        <w:spacing w:after="160" w:before="340"/>
      </w:pPr>
      <w:r>
        <w:rPr>
          <w:rFonts w:ascii="Times New Roman" w:cs="Times New Roman" w:eastAsia="Times New Roman" w:hAnsi="Times New Roman"/>
          <w:b/>
          <w:bCs/>
          <w:color w:val="000000"/>
          <w:sz w:val="30"/>
          <w:szCs w:val="30"/>
        </w:rPr>
        <w:t xml:space="preserve">Executive summary</w:t>
      </w:r>
    </w:p>
    <w:p>
      <w:pPr>
        <w:spacing w:after="160" w:line="300"/>
        <w:jc w:val="both"/>
      </w:pPr>
      <w:r>
        <w:rPr>
          <w:rFonts w:ascii="Times New Roman" w:cs="Times New Roman" w:eastAsia="Times New Roman" w:hAnsi="Times New Roman"/>
          <w:color w:val="000000"/>
          <w:sz w:val="23"/>
          <w:szCs w:val="23"/>
        </w:rPr>
        <w:t xml:space="preserve">DNSE Securities removed the price of trading. It was the first Vietnamese securities company to offer commission-free trading for life, and acquisition followed. By the middle of 2026 it served more than 1.7 million customers, roughly one eighth of all securities accounts in Vietnam, and it held 25.38 per cent of derivatives brokerage on the Hanoi Stock Exchange, second only to VPS.</w:t>
      </w:r>
    </w:p>
    <w:p>
      <w:pPr>
        <w:spacing w:after="160" w:line="300"/>
        <w:jc w:val="both"/>
      </w:pPr>
      <w:r>
        <w:rPr>
          <w:rFonts w:ascii="Times New Roman" w:cs="Times New Roman" w:eastAsia="Times New Roman" w:hAnsi="Times New Roman"/>
          <w:color w:val="000000"/>
          <w:sz w:val="23"/>
          <w:szCs w:val="23"/>
        </w:rPr>
        <w:t xml:space="preserve">Activity has not followed acquisition. In the same quarter DNSE intermediated 2.88 per cent of listed share trading on the Hanoi exchange and did not appear in the top ten on the larger Ho Chi Minh exchange, where tenth place required 2.94 per cent. Its lending book of VND 6,303 billion was 1.39 per cent of the industry total. Setting account share against trading share, an average DNSE account generates about a quarter of the cash equity trading value of an average market account.</w:t>
      </w:r>
    </w:p>
    <w:p>
      <w:pPr>
        <w:spacing w:after="160" w:line="300"/>
        <w:jc w:val="both"/>
      </w:pPr>
      <w:r>
        <w:rPr>
          <w:rFonts w:ascii="Times New Roman" w:cs="Times New Roman" w:eastAsia="Times New Roman" w:hAnsi="Times New Roman"/>
          <w:color w:val="000000"/>
          <w:sz w:val="23"/>
          <w:szCs w:val="23"/>
        </w:rPr>
        <w:t xml:space="preserve">The income statement shows what that costs. Operating revenue rose 59.0 per cent year on year in the first half of 2026 while the pre-tax profit margin fell from 23.3 per cent across 2025 to 13.2 per cent in the half year. Direct brokerage costs have exceeded brokerage commissions in each of the last 16 quarters, and operating expenses rose 120 per cent in the first quarter of 2026. At the half-year the firm had delivered 49.1 per cent of its total revenue target and 20.3 per cent of its profit target.</w:t>
      </w:r>
    </w:p>
    <w:p>
      <w:pPr>
        <w:spacing w:after="160" w:line="300"/>
        <w:jc w:val="both"/>
      </w:pPr>
      <w:r>
        <w:rPr>
          <w:rFonts w:ascii="Times New Roman" w:cs="Times New Roman" w:eastAsia="Times New Roman" w:hAnsi="Times New Roman"/>
          <w:color w:val="000000"/>
          <w:sz w:val="23"/>
          <w:szCs w:val="23"/>
        </w:rPr>
        <w:t xml:space="preserve">This report draws on company disclosures, exchange market share reports, World Bank Global Findex 2024 segment data for Vietnam and 867 Google Play reviews of DNSE, with 1,377 reviews of two competitor applications, collected and cleaned for this study. The review evidence locates the friction. Among 278 cleaned negative reviews, 27.3 per cent concern crashes and login failures and 21.2 per cent concern account opening. A further 17.6 per cent accuse the firm of deception. Around a third of those name a cause, most often a sign-up bonus that requires a VND 2 million deposit or an account closure fee of VND 100,000; the rest are one-line accusations.</w:t>
      </w:r>
    </w:p>
    <w:p>
      <w:pPr>
        <w:spacing w:after="160" w:line="300"/>
        <w:jc w:val="both"/>
      </w:pPr>
      <w:r>
        <w:rPr>
          <w:rFonts w:ascii="Times New Roman" w:cs="Times New Roman" w:eastAsia="Times New Roman" w:hAnsi="Times New Roman"/>
          <w:color w:val="000000"/>
          <w:sz w:val="23"/>
          <w:szCs w:val="23"/>
        </w:rPr>
        <w:t xml:space="preserve">Scoring the Findex segment matrix produces the priority customer group rather than assuming it. Adults with secondary education or more, adults in the labour force and the upper 60 per cent of the income distribution rank first, second and third, and the priority group is where they overlap: employed, secondary-educated adults in the upper income group. These segments combine a high propensity to hold investable balances with the largest unconverted pools, between 15.3 and 20.4 million adults each who hold an account and do not save through a financial institution. The segment with the widest gap between digital habit and accumulated surplus is adults aged 15 to 24, which is the group a free application acquires most cheaply and monetises least.</w:t>
      </w:r>
    </w:p>
    <w:p>
      <w:pPr>
        <w:spacing w:after="160" w:line="300"/>
        <w:jc w:val="both"/>
      </w:pPr>
      <w:r>
        <w:rPr>
          <w:rFonts w:ascii="Times New Roman" w:cs="Times New Roman" w:eastAsia="Times New Roman" w:hAnsi="Times New Roman"/>
          <w:color w:val="000000"/>
          <w:sz w:val="23"/>
          <w:szCs w:val="23"/>
        </w:rPr>
        <w:t xml:space="preserve">The priority problem is revenue per account. The recommendation is a cash management and fund distribution layer that converts idle balances into funded, yield-bearing accounts, priced against bank deposit rates near 7 per cent. Higher assets per account expand the collateral base for margin lending, which is already the firm's largest revenue line. The 2026 annual general meeting approved a VND 3,500 billion bond programme that funds it and, for the second year running, the acquisition of a fund management company that the board has not yet completed; closing it, or a distribution partner in the meantime, is the first step. Round 3 should test willingness to pay, the activation sequence and the effect on lending balances.</w:t>
      </w:r>
    </w:p>
    <w:p>
      <w:r>
        <w:br w:type="page"/>
      </w:r>
    </w:p>
    <w:p>
      <w:pPr>
        <w:pStyle w:val="Heading1"/>
        <w:spacing w:after="160" w:before="340"/>
      </w:pPr>
      <w:r>
        <w:rPr>
          <w:rFonts w:ascii="Times New Roman" w:cs="Times New Roman" w:eastAsia="Times New Roman" w:hAnsi="Times New Roman"/>
          <w:b/>
          <w:bCs/>
          <w:color w:val="000000"/>
          <w:sz w:val="30"/>
          <w:szCs w:val="30"/>
        </w:rPr>
        <w:t xml:space="preserve">Contents</w:t>
      </w:r>
    </w:p>
    <w:p>
      <w:pPr>
        <w:spacing w:after="30" w:before="130"/>
      </w:pPr>
      <w:r>
        <w:rPr>
          <w:rFonts w:ascii="Times New Roman" w:cs="Times New Roman" w:eastAsia="Times New Roman" w:hAnsi="Times New Roman"/>
          <w:b/>
          <w:bCs/>
          <w:color w:val="000000"/>
          <w:sz w:val="23"/>
          <w:szCs w:val="23"/>
        </w:rPr>
        <w:t xml:space="preserve">1.  Introduction and business context</w:t>
      </w:r>
    </w:p>
    <w:p>
      <w:pPr>
        <w:spacing w:after="20"/>
        <w:ind w:left="420"/>
      </w:pPr>
      <w:r>
        <w:rPr>
          <w:rFonts w:ascii="Times New Roman" w:cs="Times New Roman" w:eastAsia="Times New Roman" w:hAnsi="Times New Roman"/>
          <w:color w:val="000000"/>
          <w:sz w:val="21"/>
          <w:szCs w:val="21"/>
        </w:rPr>
        <w:t xml:space="preserve">1.1 The organisation</w:t>
      </w:r>
    </w:p>
    <w:p>
      <w:pPr>
        <w:spacing w:after="20"/>
        <w:ind w:left="420"/>
      </w:pPr>
      <w:r>
        <w:rPr>
          <w:rFonts w:ascii="Times New Roman" w:cs="Times New Roman" w:eastAsia="Times New Roman" w:hAnsi="Times New Roman"/>
          <w:color w:val="000000"/>
          <w:sz w:val="21"/>
          <w:szCs w:val="21"/>
        </w:rPr>
        <w:t xml:space="preserve">1.2 The business area under investigation</w:t>
      </w:r>
    </w:p>
    <w:p>
      <w:pPr>
        <w:spacing w:after="20"/>
        <w:ind w:left="420"/>
      </w:pPr>
      <w:r>
        <w:rPr>
          <w:rFonts w:ascii="Times New Roman" w:cs="Times New Roman" w:eastAsia="Times New Roman" w:hAnsi="Times New Roman"/>
          <w:color w:val="000000"/>
          <w:sz w:val="21"/>
          <w:szCs w:val="21"/>
        </w:rPr>
        <w:t xml:space="preserve">1.3 The question this report answers</w:t>
      </w:r>
    </w:p>
    <w:p>
      <w:pPr>
        <w:spacing w:after="30" w:before="130"/>
      </w:pPr>
      <w:r>
        <w:rPr>
          <w:rFonts w:ascii="Times New Roman" w:cs="Times New Roman" w:eastAsia="Times New Roman" w:hAnsi="Times New Roman"/>
          <w:b/>
          <w:bCs/>
          <w:color w:val="000000"/>
          <w:sz w:val="23"/>
          <w:szCs w:val="23"/>
        </w:rPr>
        <w:t xml:space="preserve">2.  Data and analytical method</w:t>
      </w:r>
    </w:p>
    <w:p>
      <w:pPr>
        <w:spacing w:after="20"/>
        <w:ind w:left="420"/>
      </w:pPr>
      <w:r>
        <w:rPr>
          <w:rFonts w:ascii="Times New Roman" w:cs="Times New Roman" w:eastAsia="Times New Roman" w:hAnsi="Times New Roman"/>
          <w:color w:val="000000"/>
          <w:sz w:val="21"/>
          <w:szCs w:val="21"/>
        </w:rPr>
        <w:t xml:space="preserve">2.1 Data collected</w:t>
      </w:r>
    </w:p>
    <w:p>
      <w:pPr>
        <w:spacing w:after="20"/>
        <w:ind w:left="420"/>
      </w:pPr>
      <w:r>
        <w:rPr>
          <w:rFonts w:ascii="Times New Roman" w:cs="Times New Roman" w:eastAsia="Times New Roman" w:hAnsi="Times New Roman"/>
          <w:color w:val="000000"/>
          <w:sz w:val="21"/>
          <w:szCs w:val="21"/>
        </w:rPr>
        <w:t xml:space="preserve">2.2 Preparation and quality control</w:t>
      </w:r>
    </w:p>
    <w:p>
      <w:pPr>
        <w:spacing w:after="20"/>
        <w:ind w:left="420"/>
      </w:pPr>
      <w:r>
        <w:rPr>
          <w:rFonts w:ascii="Times New Roman" w:cs="Times New Roman" w:eastAsia="Times New Roman" w:hAnsi="Times New Roman"/>
          <w:color w:val="000000"/>
          <w:sz w:val="21"/>
          <w:szCs w:val="21"/>
        </w:rPr>
        <w:t xml:space="preserve">2.3 Analytical method</w:t>
      </w:r>
    </w:p>
    <w:p>
      <w:pPr>
        <w:spacing w:after="30" w:before="130"/>
      </w:pPr>
      <w:r>
        <w:rPr>
          <w:rFonts w:ascii="Times New Roman" w:cs="Times New Roman" w:eastAsia="Times New Roman" w:hAnsi="Times New Roman"/>
          <w:b/>
          <w:bCs/>
          <w:color w:val="000000"/>
          <w:sz w:val="23"/>
          <w:szCs w:val="23"/>
        </w:rPr>
        <w:t xml:space="preserve">3.  Findings from the data</w:t>
      </w:r>
    </w:p>
    <w:p>
      <w:pPr>
        <w:spacing w:after="20"/>
        <w:ind w:left="420"/>
      </w:pPr>
      <w:r>
        <w:rPr>
          <w:rFonts w:ascii="Times New Roman" w:cs="Times New Roman" w:eastAsia="Times New Roman" w:hAnsi="Times New Roman"/>
          <w:color w:val="000000"/>
          <w:sz w:val="21"/>
          <w:szCs w:val="21"/>
        </w:rPr>
        <w:t xml:space="preserve">3.1 Acquisition is working</w:t>
      </w:r>
    </w:p>
    <w:p>
      <w:pPr>
        <w:spacing w:after="20"/>
        <w:ind w:left="420"/>
      </w:pPr>
      <w:r>
        <w:rPr>
          <w:rFonts w:ascii="Times New Roman" w:cs="Times New Roman" w:eastAsia="Times New Roman" w:hAnsi="Times New Roman"/>
          <w:color w:val="000000"/>
          <w:sz w:val="21"/>
          <w:szCs w:val="21"/>
        </w:rPr>
        <w:t xml:space="preserve">3.2 Conversion is not</w:t>
      </w:r>
    </w:p>
    <w:p>
      <w:pPr>
        <w:spacing w:after="20"/>
        <w:ind w:left="420"/>
      </w:pPr>
      <w:r>
        <w:rPr>
          <w:rFonts w:ascii="Times New Roman" w:cs="Times New Roman" w:eastAsia="Times New Roman" w:hAnsi="Times New Roman"/>
          <w:color w:val="000000"/>
          <w:sz w:val="21"/>
          <w:szCs w:val="21"/>
        </w:rPr>
        <w:t xml:space="preserve">3.3 What customers say about the product</w:t>
      </w:r>
    </w:p>
    <w:p>
      <w:pPr>
        <w:spacing w:after="20"/>
        <w:ind w:left="420"/>
      </w:pPr>
      <w:r>
        <w:rPr>
          <w:rFonts w:ascii="Times New Roman" w:cs="Times New Roman" w:eastAsia="Times New Roman" w:hAnsi="Times New Roman"/>
          <w:color w:val="000000"/>
          <w:sz w:val="21"/>
          <w:szCs w:val="21"/>
        </w:rPr>
        <w:t xml:space="preserve">3.4 What the gap costs</w:t>
      </w:r>
    </w:p>
    <w:p>
      <w:pPr>
        <w:spacing w:after="30" w:before="130"/>
      </w:pPr>
      <w:r>
        <w:rPr>
          <w:rFonts w:ascii="Times New Roman" w:cs="Times New Roman" w:eastAsia="Times New Roman" w:hAnsi="Times New Roman"/>
          <w:b/>
          <w:bCs/>
          <w:color w:val="000000"/>
          <w:sz w:val="23"/>
          <w:szCs w:val="23"/>
        </w:rPr>
        <w:t xml:space="preserve">4.  Discussion and main analysis</w:t>
      </w:r>
    </w:p>
    <w:p>
      <w:pPr>
        <w:spacing w:after="20"/>
        <w:ind w:left="420"/>
      </w:pPr>
      <w:r>
        <w:rPr>
          <w:rFonts w:ascii="Times New Roman" w:cs="Times New Roman" w:eastAsia="Times New Roman" w:hAnsi="Times New Roman"/>
          <w:color w:val="000000"/>
          <w:sz w:val="21"/>
          <w:szCs w:val="21"/>
        </w:rPr>
        <w:t xml:space="preserve">4.1 Why the gap exists</w:t>
      </w:r>
    </w:p>
    <w:p>
      <w:pPr>
        <w:spacing w:after="20"/>
        <w:ind w:left="420"/>
      </w:pPr>
      <w:r>
        <w:rPr>
          <w:rFonts w:ascii="Times New Roman" w:cs="Times New Roman" w:eastAsia="Times New Roman" w:hAnsi="Times New Roman"/>
          <w:color w:val="000000"/>
          <w:sz w:val="21"/>
          <w:szCs w:val="21"/>
        </w:rPr>
        <w:t xml:space="preserve">4.2 Where the money actually sits</w:t>
      </w:r>
    </w:p>
    <w:p>
      <w:pPr>
        <w:spacing w:after="20"/>
        <w:ind w:left="420"/>
      </w:pPr>
      <w:r>
        <w:rPr>
          <w:rFonts w:ascii="Times New Roman" w:cs="Times New Roman" w:eastAsia="Times New Roman" w:hAnsi="Times New Roman"/>
          <w:color w:val="000000"/>
          <w:sz w:val="21"/>
          <w:szCs w:val="21"/>
        </w:rPr>
        <w:t xml:space="preserve">4.3 Market and macroeconomic conditions</w:t>
      </w:r>
    </w:p>
    <w:p>
      <w:pPr>
        <w:spacing w:after="20"/>
        <w:ind w:left="420"/>
      </w:pPr>
      <w:r>
        <w:rPr>
          <w:rFonts w:ascii="Times New Roman" w:cs="Times New Roman" w:eastAsia="Times New Roman" w:hAnsi="Times New Roman"/>
          <w:color w:val="000000"/>
          <w:sz w:val="21"/>
          <w:szCs w:val="21"/>
        </w:rPr>
        <w:t xml:space="preserve">4.4 Prioritising the problem</w:t>
      </w:r>
    </w:p>
    <w:p>
      <w:pPr>
        <w:spacing w:after="30" w:before="130"/>
      </w:pPr>
      <w:r>
        <w:rPr>
          <w:rFonts w:ascii="Times New Roman" w:cs="Times New Roman" w:eastAsia="Times New Roman" w:hAnsi="Times New Roman"/>
          <w:b/>
          <w:bCs/>
          <w:color w:val="000000"/>
          <w:sz w:val="23"/>
          <w:szCs w:val="23"/>
        </w:rPr>
        <w:t xml:space="preserve">5.  Strategic alternatives</w:t>
      </w:r>
    </w:p>
    <w:p>
      <w:pPr>
        <w:spacing w:after="30" w:before="130"/>
      </w:pPr>
      <w:r>
        <w:rPr>
          <w:rFonts w:ascii="Times New Roman" w:cs="Times New Roman" w:eastAsia="Times New Roman" w:hAnsi="Times New Roman"/>
          <w:b/>
          <w:bCs/>
          <w:color w:val="000000"/>
          <w:sz w:val="23"/>
          <w:szCs w:val="23"/>
        </w:rPr>
        <w:t xml:space="preserve">6.  Preliminary recommendation</w:t>
      </w:r>
    </w:p>
    <w:p>
      <w:pPr>
        <w:spacing w:after="30" w:before="130"/>
      </w:pPr>
      <w:r>
        <w:rPr>
          <w:rFonts w:ascii="Times New Roman" w:cs="Times New Roman" w:eastAsia="Times New Roman" w:hAnsi="Times New Roman"/>
          <w:b/>
          <w:bCs/>
          <w:color w:val="000000"/>
          <w:sz w:val="23"/>
          <w:szCs w:val="23"/>
        </w:rPr>
        <w:t xml:space="preserve">7.  Validation direction</w:t>
      </w:r>
    </w:p>
    <w:p>
      <w:pPr>
        <w:spacing w:after="30" w:before="130"/>
      </w:pPr>
      <w:r>
        <w:rPr>
          <w:rFonts w:ascii="Times New Roman" w:cs="Times New Roman" w:eastAsia="Times New Roman" w:hAnsi="Times New Roman"/>
          <w:b/>
          <w:bCs/>
          <w:color w:val="000000"/>
          <w:sz w:val="23"/>
          <w:szCs w:val="23"/>
        </w:rPr>
        <w:t xml:space="preserve">8.  Conclusion</w:t>
      </w:r>
    </w:p>
    <w:p>
      <w:pPr>
        <w:spacing w:after="30" w:before="130"/>
      </w:pPr>
      <w:r>
        <w:rPr>
          <w:rFonts w:ascii="Times New Roman" w:cs="Times New Roman" w:eastAsia="Times New Roman" w:hAnsi="Times New Roman"/>
          <w:b/>
          <w:bCs/>
          <w:color w:val="000000"/>
          <w:sz w:val="23"/>
          <w:szCs w:val="23"/>
        </w:rPr>
        <w:t xml:space="preserve">Appendix A. Data tables</w:t>
      </w:r>
    </w:p>
    <w:p>
      <w:pPr>
        <w:spacing w:after="30" w:before="130"/>
      </w:pPr>
      <w:r>
        <w:rPr>
          <w:rFonts w:ascii="Times New Roman" w:cs="Times New Roman" w:eastAsia="Times New Roman" w:hAnsi="Times New Roman"/>
          <w:b/>
          <w:bCs/>
          <w:color w:val="000000"/>
          <w:sz w:val="23"/>
          <w:szCs w:val="23"/>
        </w:rPr>
        <w:t xml:space="preserve">Appendix B. Method, assumptions and limitations</w:t>
      </w:r>
    </w:p>
    <w:p>
      <w:pPr>
        <w:spacing w:after="30" w:before="130"/>
      </w:pPr>
      <w:r>
        <w:rPr>
          <w:rFonts w:ascii="Times New Roman" w:cs="Times New Roman" w:eastAsia="Times New Roman" w:hAnsi="Times New Roman"/>
          <w:b/>
          <w:bCs/>
          <w:color w:val="000000"/>
          <w:sz w:val="23"/>
          <w:szCs w:val="23"/>
        </w:rPr>
        <w:t xml:space="preserve">References</w:t>
      </w:r>
    </w:p>
    <w:p>
      <w:r>
        <w:br w:type="page"/>
      </w:r>
    </w:p>
    <w:p>
      <w:pPr>
        <w:pStyle w:val="Heading1"/>
        <w:spacing w:after="160" w:before="340"/>
      </w:pPr>
      <w:r>
        <w:rPr>
          <w:rFonts w:ascii="Times New Roman" w:cs="Times New Roman" w:eastAsia="Times New Roman" w:hAnsi="Times New Roman"/>
          <w:b/>
          <w:bCs/>
          <w:color w:val="000000"/>
          <w:sz w:val="30"/>
          <w:szCs w:val="30"/>
        </w:rPr>
        <w:t xml:space="preserve">1. Introduction and business context</w:t>
      </w:r>
    </w:p>
    <w:p>
      <w:pPr>
        <w:pStyle w:val="Heading2"/>
        <w:spacing w:after="120" w:before="260"/>
      </w:pPr>
      <w:r>
        <w:rPr>
          <w:rFonts w:ascii="Times New Roman" w:cs="Times New Roman" w:eastAsia="Times New Roman" w:hAnsi="Times New Roman"/>
          <w:b/>
          <w:bCs/>
          <w:color w:val="000000"/>
          <w:sz w:val="25"/>
          <w:szCs w:val="25"/>
        </w:rPr>
        <w:t xml:space="preserve">1.1 The organisation</w:t>
      </w:r>
    </w:p>
    <w:p>
      <w:pPr>
        <w:spacing w:after="160" w:line="300"/>
        <w:jc w:val="both"/>
      </w:pPr>
      <w:r>
        <w:rPr>
          <w:rFonts w:ascii="Times New Roman" w:cs="Times New Roman" w:eastAsia="Times New Roman" w:hAnsi="Times New Roman"/>
          <w:color w:val="000000"/>
          <w:sz w:val="23"/>
          <w:szCs w:val="23"/>
        </w:rPr>
        <w:t xml:space="preserve">DNSE Securities Joint Stock Company is a Vietnamese securities firm listed on the Ho Chi Minh Stock Exchange under the code DSE. Its 2024 listing was the only initial public offering on the Vietnamese market that year. Charter capital stands at VND 4,282.5 billion and total assets reached VND 15,139 billion at the end of 2025.</w:t>
      </w:r>
    </w:p>
    <w:p>
      <w:pPr>
        <w:spacing w:after="160" w:line="300"/>
        <w:jc w:val="both"/>
      </w:pPr>
      <w:r>
        <w:rPr>
          <w:rFonts w:ascii="Times New Roman" w:cs="Times New Roman" w:eastAsia="Times New Roman" w:hAnsi="Times New Roman"/>
          <w:color w:val="000000"/>
          <w:sz w:val="23"/>
          <w:szCs w:val="23"/>
        </w:rPr>
        <w:t xml:space="preserve">The firm distributes entirely through its Entrade X platform and operates without a branch network. It became the first Vietnamese securities company to offer lifetime commission-free trading, so order execution is free and revenue comes from margin lending, advances against sale proceeds, custody and proprietary investment. In December 2022 it launched Vietnam's first per-position margin system, which manages leverage on an individual position rather than across the whole account. From May 2025 it has absorbed derivatives margin management fees on behalf of customers.</w:t>
      </w:r>
    </w:p>
    <w:p>
      <w:pPr>
        <w:spacing w:after="160" w:line="300"/>
        <w:jc w:val="both"/>
      </w:pPr>
      <w:r>
        <w:rPr>
          <w:rFonts w:ascii="Times New Roman" w:cs="Times New Roman" w:eastAsia="Times New Roman" w:hAnsi="Times New Roman"/>
          <w:color w:val="000000"/>
          <w:sz w:val="23"/>
          <w:szCs w:val="23"/>
        </w:rPr>
        <w:t xml:space="preserve">The market DNSE competes in is crowded and fragmenting. The ten largest firms accounted for 65.19 per cent of trading on the Ho Chi Minh exchange in the second quarter of 2026, down from 69.05 per cent three months earlier. Almost four percentage points of share moved to smaller firms in one quarter. Industry profit comes mainly from lending rather than from commissions, with VND 453,800 billion outstanding at the end of June 2026 against a regulatory cap of 200 per cent of equity. Pre-tax profit in that quarter ranged from VND 2,159 billion at VPBankS to VND 75.3 billion at VIX, and DNSE's VND 97.4 billion ranked ninth of eleven, which shows the scale difference between DNSE and the firms whose accounts it is winning.</w:t>
      </w:r>
    </w:p>
    <w:p>
      <w:pPr>
        <w:spacing w:after="60" w:before="120"/>
        <w:jc w:val="center"/>
      </w:pPr>
      <w:r>
        <w:drawing>
          <wp:inline distT="0" distB="0" distL="0" distR="0">
            <wp:extent cx="50482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96227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1. Pre-tax profit of Vietnamese securities firms, second quarter of 2026, from each firm's filed statements. DNSE ranks second in derivatives brokerage and ninth of these eleven firms by earnings.</w:t>
      </w:r>
    </w:p>
    <w:p>
      <w:pPr>
        <w:pStyle w:val="Heading2"/>
        <w:spacing w:after="120" w:before="260"/>
      </w:pPr>
      <w:r>
        <w:rPr>
          <w:rFonts w:ascii="Times New Roman" w:cs="Times New Roman" w:eastAsia="Times New Roman" w:hAnsi="Times New Roman"/>
          <w:b/>
          <w:bCs/>
          <w:color w:val="000000"/>
          <w:sz w:val="25"/>
          <w:szCs w:val="25"/>
        </w:rPr>
        <w:t xml:space="preserve">1.2 The business area under investigation</w:t>
      </w:r>
    </w:p>
    <w:p>
      <w:pPr>
        <w:spacing w:after="160" w:line="300"/>
        <w:jc w:val="both"/>
      </w:pPr>
      <w:r>
        <w:rPr>
          <w:rFonts w:ascii="Times New Roman" w:cs="Times New Roman" w:eastAsia="Times New Roman" w:hAnsi="Times New Roman"/>
          <w:color w:val="000000"/>
          <w:sz w:val="23"/>
          <w:szCs w:val="23"/>
        </w:rPr>
        <w:t xml:space="preserve">This report examines how DNSE converts customer acquisition into revenue. Because execution is free, account numbers measure reach rather than income. Revenue arises only when a customer funds the account, holds assets and borrows against them, so the commercial question is how many of the 1.7 million accounts reach that state.</w:t>
      </w:r>
    </w:p>
    <w:p>
      <w:pPr>
        <w:pStyle w:val="Heading2"/>
        <w:spacing w:after="120" w:before="260"/>
      </w:pPr>
      <w:r>
        <w:rPr>
          <w:rFonts w:ascii="Times New Roman" w:cs="Times New Roman" w:eastAsia="Times New Roman" w:hAnsi="Times New Roman"/>
          <w:b/>
          <w:bCs/>
          <w:color w:val="000000"/>
          <w:sz w:val="25"/>
          <w:szCs w:val="25"/>
        </w:rPr>
        <w:t xml:space="preserve">1.3 The question this report answers</w:t>
      </w:r>
    </w:p>
    <w:p>
      <w:pPr>
        <w:spacing w:after="160" w:line="300"/>
        <w:jc w:val="both"/>
      </w:pPr>
      <w:r>
        <w:rPr>
          <w:rFonts w:ascii="Times New Roman" w:cs="Times New Roman" w:eastAsia="Times New Roman" w:hAnsi="Times New Roman"/>
          <w:color w:val="000000"/>
          <w:sz w:val="23"/>
          <w:szCs w:val="23"/>
        </w:rPr>
        <w:t xml:space="preserve">Three readings of DNSE's position were tested against the evidence. The first treats the firm as undersized and argues for more acquisition. The second treats derivatives concentration as the core risk. The third treats low revenue per account as the binding constraint. Sections 3 and 4 show that the third fits the data, and Section 4.4 sets out the ranking criteria.</w:t>
      </w:r>
    </w:p>
    <w:p>
      <w:pPr>
        <w:pStyle w:val="Heading1"/>
        <w:spacing w:after="160" w:before="340"/>
      </w:pPr>
      <w:r>
        <w:rPr>
          <w:rFonts w:ascii="Times New Roman" w:cs="Times New Roman" w:eastAsia="Times New Roman" w:hAnsi="Times New Roman"/>
          <w:b/>
          <w:bCs/>
          <w:color w:val="000000"/>
          <w:sz w:val="30"/>
          <w:szCs w:val="30"/>
        </w:rPr>
        <w:t xml:space="preserve">2. Data and analytical method</w:t>
      </w:r>
    </w:p>
    <w:p>
      <w:pPr>
        <w:pStyle w:val="Heading2"/>
        <w:spacing w:after="120" w:before="260"/>
      </w:pPr>
      <w:r>
        <w:rPr>
          <w:rFonts w:ascii="Times New Roman" w:cs="Times New Roman" w:eastAsia="Times New Roman" w:hAnsi="Times New Roman"/>
          <w:b/>
          <w:bCs/>
          <w:color w:val="000000"/>
          <w:sz w:val="25"/>
          <w:szCs w:val="25"/>
        </w:rPr>
        <w:t xml:space="preserve">2.1 Data collected</w:t>
      </w:r>
    </w:p>
    <w:p>
      <w:pPr>
        <w:spacing w:after="160" w:line="300"/>
        <w:jc w:val="both"/>
      </w:pPr>
      <w:r>
        <w:rPr>
          <w:rFonts w:ascii="Times New Roman" w:cs="Times New Roman" w:eastAsia="Times New Roman" w:hAnsi="Times New Roman"/>
          <w:color w:val="000000"/>
          <w:sz w:val="23"/>
          <w:szCs w:val="23"/>
        </w:rPr>
        <w:t xml:space="preserve">Five datasets were assembled. Four are secondary and published. One is primary and was collected for this study.</w:t>
      </w:r>
    </w:p>
    <w:tbl>
      <w:tblPr>
        <w:tblW w:type="dxa" w:w="9020"/>
        <w:tblBorders>
          <w:top w:val="single" w:color="000000" w:sz="6"/>
          <w:left w:val="none"/>
          <w:bottom w:val="single" w:color="000000" w:sz="6"/>
          <w:right w:val="none"/>
          <w:insideH w:val="single" w:color="B0B0B0" w:sz="2"/>
          <w:insideV w:val="none"/>
        </w:tblBorders>
      </w:tblPr>
      <w:tblGrid>
        <w:gridCol w:w="2500"/>
        <w:gridCol w:w="3300"/>
        <w:gridCol w:w="3220"/>
      </w:tblGrid>
      <w:tr>
        <w:trPr>
          <w:tblHeader/>
        </w:trPr>
        <w:tc>
          <w:tcPr>
            <w:tcW w:type="dxa" w:w="25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Dataset</w:t>
            </w:r>
          </w:p>
        </w:tc>
        <w:tc>
          <w:tcPr>
            <w:tcW w:type="dxa" w:w="33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Content</w:t>
            </w:r>
          </w:p>
        </w:tc>
        <w:tc>
          <w:tcPr>
            <w:tcW w:type="dxa" w:w="32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Source and period</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Company financials</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Every line of the income statement, balance sheet, cash flow and notes; accounts and plan targets</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filed statements, Q1 2018 to Q2 2026, retrieved from Vietcap's data service 24 September 2026; annual report 2025; 2026 AGM resolution and proposals</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Exchange market share</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Brokerage share on HOSE, HNX, UPCoM and derivatives for every firm in the top ten</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HOSE and HNX quarterly announcements read from the exchanges' sites, 2018 to Q2 2026</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Industry cross-section</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Lending balances, pre-tax profit and brokerage results for the largest securities firms</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Filed statements of all 42 brokers with filings on Vietcap's data service, VPS included, 2018 to Q2 2026; only the industry lending total is a press compilation</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Financial inclusion</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51 Findex indicators for Vietnam across 13 demographic segments, plus five survey waves from 2011 to 2024</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World Bank Global Findex, open data interface source 28, retrieved 20 September 2026</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Customer reviews</w:t>
            </w:r>
          </w:p>
        </w:tc>
        <w:tc>
          <w:tcPr>
            <w:tcW w:type="dxa" w:w="3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867 DNSE reviews and 1,377 competitor reviews on Google Play, and 1,055 App Store reviews of the same three applications, with rating, date, text and helpfulness votes</w:t>
            </w:r>
          </w:p>
        </w:tc>
        <w:tc>
          <w:tcPr>
            <w:tcW w:type="dxa" w:w="32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Google Play and Vietnamese App Store public listings, pulled 23 September 2026 and 24 September 2026, reviews to 21 September 2026</w:t>
            </w:r>
          </w:p>
        </w:tc>
      </w:tr>
    </w:tbl>
    <w:p>
      <w:pPr>
        <w:spacing w:after="200" w:before="90"/>
        <w:jc w:val="left"/>
      </w:pPr>
      <w:r>
        <w:rPr>
          <w:rFonts w:ascii="Times New Roman" w:cs="Times New Roman" w:eastAsia="Times New Roman" w:hAnsi="Times New Roman"/>
          <w:i/>
          <w:iCs/>
          <w:color w:val="3F3F3F"/>
          <w:sz w:val="19"/>
          <w:szCs w:val="19"/>
        </w:rPr>
        <w:t xml:space="preserve">Table 1. Evidence base. Full source addresses are listed in Appendix A.</w:t>
      </w:r>
    </w:p>
    <w:p>
      <w:pPr>
        <w:pStyle w:val="Heading2"/>
        <w:spacing w:after="120" w:before="260"/>
      </w:pPr>
      <w:r>
        <w:rPr>
          <w:rFonts w:ascii="Times New Roman" w:cs="Times New Roman" w:eastAsia="Times New Roman" w:hAnsi="Times New Roman"/>
          <w:b/>
          <w:bCs/>
          <w:color w:val="000000"/>
          <w:sz w:val="25"/>
          <w:szCs w:val="25"/>
        </w:rPr>
        <w:t xml:space="preserve">2.2 Preparation and quality control</w:t>
      </w:r>
    </w:p>
    <w:p>
      <w:pPr>
        <w:spacing w:after="160" w:line="300"/>
        <w:jc w:val="both"/>
      </w:pPr>
      <w:r>
        <w:rPr>
          <w:rFonts w:ascii="Times New Roman" w:cs="Times New Roman" w:eastAsia="Times New Roman" w:hAnsi="Times New Roman"/>
          <w:color w:val="000000"/>
          <w:sz w:val="23"/>
          <w:szCs w:val="23"/>
        </w:rPr>
        <w:t xml:space="preserve">Financial figures were taken from primary disclosures rather than press summaries wherever both existed. Where the two disagreed, the disclosure was used and the discrepancy recorded. Industry lending illustrates the point. Press coverage of the second quarter of 2026 reports three different industry totals, namely VND 435,000 billion, VND 445,000 billion and VND 453,800 billion. The three measure different things, since the largest includes advances against sale proceeds alongside margin loans. This report uses VND 453,800 billion throughout and states the basis wherever a share is calculated from it.</w:t>
      </w:r>
    </w:p>
    <w:p>
      <w:pPr>
        <w:spacing w:after="160" w:line="300"/>
        <w:jc w:val="both"/>
      </w:pPr>
      <w:r>
        <w:rPr>
          <w:rFonts w:ascii="Times New Roman" w:cs="Times New Roman" w:eastAsia="Times New Roman" w:hAnsi="Times New Roman"/>
          <w:color w:val="000000"/>
          <w:sz w:val="23"/>
          <w:szCs w:val="23"/>
        </w:rPr>
        <w:t xml:space="preserve">Market share figures are defined by each exchange as a share of traded value on that exchange alone. Shares from different exchanges are therefore never compared with one another in this report, and each figure carries the name of the market it belongs to.</w:t>
      </w:r>
    </w:p>
    <w:p>
      <w:pPr>
        <w:spacing w:after="160" w:line="300"/>
        <w:jc w:val="both"/>
      </w:pPr>
      <w:r>
        <w:rPr>
          <w:rFonts w:ascii="Times New Roman" w:cs="Times New Roman" w:eastAsia="Times New Roman" w:hAnsi="Times New Roman"/>
          <w:color w:val="000000"/>
          <w:sz w:val="23"/>
          <w:szCs w:val="23"/>
        </w:rPr>
        <w:t xml:space="preserve">The review dataset required the most work. Vietnamese application stores carry heavy comment spam from unlicensed lending sites, and much of it disguises itself using mathematical alphanumeric Unicode characters that defeat plain keyword filters. Every review text was normalised to a comparable form before filtering, using Unicode compatibility composition followed by removal of diacritics and conversion to lower case. Two regular expression rules then flagged loan advertising and referral code farming, the second only where a referral phrase sits next to a code or a reward amount, so that genuine complaints about one-time passwords are not caught. Copy-paste duplicates of longer texts were removed, while identical short reviews written by different people were kept. The identical rule was applied to all three applications so that the comparison in Figure 6 is like for like. The same rule was applied to written reviews from the Vietnamese App Store, whose public feed serves recent reviews only, as a cross-check for 2025 and 2026.</w:t>
      </w:r>
    </w:p>
    <w:tbl>
      <w:tblPr>
        <w:tblW w:type="dxa" w:w="9020"/>
        <w:tblBorders>
          <w:top w:val="single" w:color="000000" w:sz="6"/>
          <w:left w:val="none"/>
          <w:bottom w:val="single" w:color="000000" w:sz="6"/>
          <w:right w:val="none"/>
          <w:insideH w:val="single" w:color="B0B0B0" w:sz="2"/>
          <w:insideV w:val="none"/>
        </w:tblBorders>
      </w:tblPr>
      <w:tblGrid>
        <w:gridCol w:w="2900"/>
        <w:gridCol w:w="1450"/>
        <w:gridCol w:w="1450"/>
        <w:gridCol w:w="1450"/>
        <w:gridCol w:w="1770"/>
      </w:tblGrid>
      <w:tr>
        <w:trPr>
          <w:tblHeader/>
        </w:trPr>
        <w:tc>
          <w:tcPr>
            <w:tcW w:type="dxa" w:w="29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Stage</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DNSE</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VPS</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FPTS</w:t>
            </w:r>
          </w:p>
        </w:tc>
        <w:tc>
          <w:tcPr>
            <w:tcW w:type="dxa" w:w="177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Note</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Reviews retrieved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867</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1,200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177</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Full available history except VPS, its 1,200 most recent</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Loan advertising removed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127</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14.6 per cent of the DNSE pull</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Referral farming removed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8.1 per cent of the DNSE pull</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Duplicates removed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Copy-paste text of 20 or more characters</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Reviews retained</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670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1,171</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177</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22.7, 2.4, 0.0 per cent removed</w:t>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Mean rating before cleaning</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3.290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2.597</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2.181</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
            </w:r>
          </w:p>
        </w:tc>
      </w:tr>
      <w:tr>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Mean rating after cleaning</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3.218</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2.582</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2.181</w:t>
            </w:r>
          </w:p>
        </w:tc>
        <w:tc>
          <w:tcPr>
            <w:tcW w:type="dxa" w:w="177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Removed DNSE material rated 3.533 on average</w:t>
            </w:r>
          </w:p>
        </w:tc>
      </w:tr>
    </w:tbl>
    <w:p>
      <w:pPr>
        <w:spacing w:after="200" w:before="90"/>
        <w:jc w:val="left"/>
      </w:pPr>
      <w:r>
        <w:rPr>
          <w:rFonts w:ascii="Times New Roman" w:cs="Times New Roman" w:eastAsia="Times New Roman" w:hAnsi="Times New Roman"/>
          <w:i/>
          <w:iCs/>
          <w:color w:val="3F3F3F"/>
          <w:sz w:val="19"/>
          <w:szCs w:val="19"/>
        </w:rPr>
        <w:t xml:space="preserve">Table 2. Review cleaning log. Cleaning lowers the DNSE mean because the spam it removes is rated more favourably than the genuine reviews it leaves behind.</w:t>
      </w:r>
    </w:p>
    <w:p>
      <w:pPr>
        <w:spacing w:after="160" w:line="300"/>
        <w:jc w:val="both"/>
      </w:pPr>
      <w:r>
        <w:rPr>
          <w:rFonts w:ascii="Times New Roman" w:cs="Times New Roman" w:eastAsia="Times New Roman" w:hAnsi="Times New Roman"/>
          <w:color w:val="000000"/>
          <w:sz w:val="23"/>
          <w:szCs w:val="23"/>
        </w:rPr>
        <w:t xml:space="preserve">Cleaning changed the conclusion. In 2022 and 2023, 46.4 and 53.9 per cent of all DNSE reviews were spam, so an uncleaned reading of those years would have measured the spam rather than the customers. The cleaned series in Figure 4 is a different shape from the raw one.</w:t>
      </w:r>
    </w:p>
    <w:p>
      <w:pPr>
        <w:pStyle w:val="Heading2"/>
        <w:spacing w:after="120" w:before="260"/>
      </w:pPr>
      <w:r>
        <w:rPr>
          <w:rFonts w:ascii="Times New Roman" w:cs="Times New Roman" w:eastAsia="Times New Roman" w:hAnsi="Times New Roman"/>
          <w:b/>
          <w:bCs/>
          <w:color w:val="000000"/>
          <w:sz w:val="25"/>
          <w:szCs w:val="25"/>
        </w:rPr>
        <w:t xml:space="preserve">2.3 Analytical method</w:t>
      </w:r>
    </w:p>
    <w:p>
      <w:pPr>
        <w:spacing w:after="160" w:line="300"/>
        <w:jc w:val="both"/>
      </w:pPr>
      <w:r>
        <w:rPr>
          <w:rFonts w:ascii="Times New Roman" w:cs="Times New Roman" w:eastAsia="Times New Roman" w:hAnsi="Times New Roman"/>
          <w:color w:val="000000"/>
          <w:sz w:val="23"/>
          <w:szCs w:val="23"/>
        </w:rPr>
        <w:t xml:space="preserve">Three methods were used. Share comparison places the same firm against several denominators, which isolates the point in the customer journey where performance changes. Thematic coding assigns each cleaned review one or more non-exclusive labels through keyword matching on the normalised text, and one-word reviews carrying no label are counted separately as generic so that they do not inflate a favourable reading. Index construction converts the Findex segment matrix into two scores, each comparable across segments, described in Section 4.2, using unweighted means so that no weighting choice is fitted to the result.</w:t>
      </w:r>
    </w:p>
    <w:p>
      <w:pPr>
        <w:pStyle w:val="Heading1"/>
        <w:spacing w:after="160" w:before="340"/>
      </w:pPr>
      <w:r>
        <w:rPr>
          <w:rFonts w:ascii="Times New Roman" w:cs="Times New Roman" w:eastAsia="Times New Roman" w:hAnsi="Times New Roman"/>
          <w:b/>
          <w:bCs/>
          <w:color w:val="000000"/>
          <w:sz w:val="30"/>
          <w:szCs w:val="30"/>
        </w:rPr>
        <w:t xml:space="preserve">3. Findings from the data</w:t>
      </w:r>
    </w:p>
    <w:p>
      <w:pPr>
        <w:pStyle w:val="Heading2"/>
        <w:spacing w:after="120" w:before="260"/>
      </w:pPr>
      <w:r>
        <w:rPr>
          <w:rFonts w:ascii="Times New Roman" w:cs="Times New Roman" w:eastAsia="Times New Roman" w:hAnsi="Times New Roman"/>
          <w:b/>
          <w:bCs/>
          <w:color w:val="000000"/>
          <w:sz w:val="25"/>
          <w:szCs w:val="25"/>
        </w:rPr>
        <w:t xml:space="preserve">3.1 Acquisition is working</w:t>
      </w:r>
    </w:p>
    <w:p>
      <w:pPr>
        <w:spacing w:after="160" w:line="300"/>
        <w:jc w:val="both"/>
      </w:pPr>
      <w:r>
        <w:rPr>
          <w:rFonts w:ascii="Times New Roman" w:cs="Times New Roman" w:eastAsia="Times New Roman" w:hAnsi="Times New Roman"/>
          <w:color w:val="000000"/>
          <w:sz w:val="23"/>
          <w:szCs w:val="23"/>
        </w:rPr>
        <w:t xml:space="preserve">DNSE has grown its customer base faster than any competitor. It opened more than 120,000 accounts in the first quarter of 2024, equal to 30 per cent of all new accounts in the market. In 2025 it took 20 per cent of new openings and closed the year with 1.5 million accounts. It opened 142,000 accounts in the first quarter of 2026, an 18 per cent share, and passed 1.7 million customers by mid-year.</w:t>
      </w:r>
    </w:p>
    <w:p>
      <w:pPr>
        <w:spacing w:after="160" w:line="300"/>
        <w:jc w:val="both"/>
      </w:pPr>
      <w:r>
        <w:rPr>
          <w:rFonts w:ascii="Times New Roman" w:cs="Times New Roman" w:eastAsia="Times New Roman" w:hAnsi="Times New Roman"/>
          <w:color w:val="000000"/>
          <w:sz w:val="23"/>
          <w:szCs w:val="23"/>
        </w:rPr>
        <w:t xml:space="preserve">Derivatives followed the same path. DNSE reached 4.01 per cent of derivatives brokerage in the first quarter of 2024 and 25.38 per cent by the second quarter of 2026, ranking second for seven consecutive quarters while the leader VPS fell to 33.84 per cent.</w:t>
      </w:r>
    </w:p>
    <w:p>
      <w:pPr>
        <w:spacing w:after="60" w:before="120"/>
        <w:jc w:val="center"/>
      </w:pPr>
      <w:r>
        <w:drawing>
          <wp:inline distT="0" distB="0" distL="0" distR="0">
            <wp:extent cx="52863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59080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2. DNSE derivatives brokerage market share by quarter since it entered the top ten, from the Hanoi Stock Exchange's quarterly announcements.</w:t>
      </w:r>
    </w:p>
    <w:p>
      <w:pPr>
        <w:pStyle w:val="Heading2"/>
        <w:spacing w:after="120" w:before="260"/>
      </w:pPr>
      <w:r>
        <w:rPr>
          <w:rFonts w:ascii="Times New Roman" w:cs="Times New Roman" w:eastAsia="Times New Roman" w:hAnsi="Times New Roman"/>
          <w:b/>
          <w:bCs/>
          <w:color w:val="000000"/>
          <w:sz w:val="25"/>
          <w:szCs w:val="25"/>
        </w:rPr>
        <w:t xml:space="preserve">3.2 Conversion is not</w:t>
      </w:r>
    </w:p>
    <w:p>
      <w:pPr>
        <w:spacing w:after="160" w:line="300"/>
        <w:jc w:val="both"/>
      </w:pPr>
      <w:r>
        <w:rPr>
          <w:rFonts w:ascii="Times New Roman" w:cs="Times New Roman" w:eastAsia="Times New Roman" w:hAnsi="Times New Roman"/>
          <w:color w:val="000000"/>
          <w:sz w:val="23"/>
          <w:szCs w:val="23"/>
        </w:rPr>
        <w:t xml:space="preserve">The same firm looks very different once activity replaces registration as the measure. In the second quarter of 2026 DNSE intermediated 2.88 per cent of listed share trading on the Hanoi exchange, ranking eighth of ten. It did not enter the top ten on the Ho Chi Minh exchange, where tenth place required 2.94 per cent. Its margin loan and advance balance of VND 6,303 billion, a record for the firm, was 1.39 per cent of the VND 453,800 billion lent across the industry.</w:t>
      </w:r>
    </w:p>
    <w:p>
      <w:pPr>
        <w:spacing w:after="60" w:before="120"/>
        <w:jc w:val="center"/>
      </w:pPr>
      <w:r>
        <w:drawing>
          <wp:inline distT="0" distB="0" distL="0" distR="0">
            <wp:extent cx="52863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24790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3. DNSE share of the Vietnamese market on five measures, second quarter of 2026. Each percentage is a share of its own market, and the five denominators differ.</w:t>
      </w:r>
    </w:p>
    <w:p>
      <w:pPr>
        <w:spacing w:after="160" w:line="300"/>
        <w:jc w:val="both"/>
      </w:pPr>
      <w:r>
        <w:rPr>
          <w:rFonts w:ascii="Times New Roman" w:cs="Times New Roman" w:eastAsia="Times New Roman" w:hAnsi="Times New Roman"/>
          <w:color w:val="000000"/>
          <w:sz w:val="23"/>
          <w:szCs w:val="23"/>
        </w:rPr>
        <w:t xml:space="preserve">Dividing trading share by account share gives the relative intensity of an average account. DNSE holds 12.24 per cent of the 13.89 million securities accounts in the market and produces 2.88 per cent of Hanoi listed share trading. An average DNSE account therefore trades at about 23.5 per cent of the value of an average market account. Both sides of that ratio count accounts rather than people, and one investor may hold accounts at several firms. The Ho Chi Minh exchange gives only an upper bound, because DNSE is outside its top ten: 24.0 per cent at most. Lending shows the same pattern more sharply, at 1.39 per cent of industry balances against 12.24 per cent of accounts. The company's own figures confirm the reading: of 1,512,920 accounts at the end of 2025, 85,739 customers used any product in December and 27,100 held net assets of VND 10 million or more, 5.7 and 1.8 per cent.</w:t>
      </w:r>
    </w:p>
    <w:p>
      <w:pPr>
        <w:pStyle w:val="Heading2"/>
        <w:spacing w:after="120" w:before="260"/>
      </w:pPr>
      <w:r>
        <w:rPr>
          <w:rFonts w:ascii="Times New Roman" w:cs="Times New Roman" w:eastAsia="Times New Roman" w:hAnsi="Times New Roman"/>
          <w:b/>
          <w:bCs/>
          <w:color w:val="000000"/>
          <w:sz w:val="25"/>
          <w:szCs w:val="25"/>
        </w:rPr>
        <w:t xml:space="preserve">3.3 What customers say about the product</w:t>
      </w:r>
    </w:p>
    <w:p>
      <w:pPr>
        <w:spacing w:after="160" w:line="300"/>
        <w:jc w:val="both"/>
      </w:pPr>
      <w:r>
        <w:rPr>
          <w:rFonts w:ascii="Times New Roman" w:cs="Times New Roman" w:eastAsia="Times New Roman" w:hAnsi="Times New Roman"/>
          <w:color w:val="000000"/>
          <w:sz w:val="23"/>
          <w:szCs w:val="23"/>
        </w:rPr>
        <w:t xml:space="preserve">Rating data explains part of the gap. After cleaning, DNSE averages 3.22 stars across 670 reviews, ahead of VPS at 2.58 and FPTS at 2.18, so the product compares well against its closest competitors. The direction of travel is the concern. Substantive reviews, meaning cleaned reviews that carry a content theme rather than a single word of praise, averaged 4.15 stars in 2024 and 2.38 in 2025.</w:t>
      </w:r>
    </w:p>
    <w:p>
      <w:pPr>
        <w:spacing w:after="60" w:before="120"/>
        <w:jc w:val="center"/>
      </w:pPr>
      <w:r>
        <w:drawing>
          <wp:inline distT="0" distB="0" distL="0" distR="0">
            <wp:extent cx="51911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254317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4. Mean rating of substantive DNSE reviews by year, after spam removal; 2020, with three reviews, is omitted. The 2024 figure also rests on the year with the highest share of one-word reviews, at 33.7 per cent of cleaned reviews against 12.0 per cent in 2025. The fall does not depend on that cut-off: treating reviews of up to four words as generic, the substantive mean still falls from 3.74 to 2.01.</w:t>
      </w:r>
    </w:p>
    <w:p>
      <w:pPr>
        <w:spacing w:after="160" w:line="300"/>
        <w:jc w:val="both"/>
      </w:pPr>
      <w:r>
        <w:rPr>
          <w:rFonts w:ascii="Times New Roman" w:cs="Times New Roman" w:eastAsia="Times New Roman" w:hAnsi="Times New Roman"/>
          <w:color w:val="000000"/>
          <w:sz w:val="23"/>
          <w:szCs w:val="23"/>
        </w:rPr>
        <w:t xml:space="preserve">The themes show where the friction sits. Among 278 cleaned one and two star reviews, crashes and login failures account for 27.3 per cent and account opening for 21.2 per cent. Accusations of deception account for 17.6 per cent, and reading those reviews identifies two specific triggers. A sign-up promotion advertised as VND 100,000 requires a deposit of VND 2 million, and closing an account costs VND 100,000. Both appear repeatedly among the most upvoted reviews of 2025.</w:t>
      </w:r>
    </w:p>
    <w:p>
      <w:pPr>
        <w:spacing w:after="60" w:before="12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4787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5. Themes in the 278 cleaned one and two star DNSE reviews. Themes are not exclusive, so a review may appear in more than one row.</w:t>
      </w:r>
    </w:p>
    <w:p>
      <w:pPr>
        <w:spacing w:after="160" w:line="300"/>
        <w:jc w:val="both"/>
      </w:pPr>
      <w:r>
        <w:rPr>
          <w:rFonts w:ascii="Times New Roman" w:cs="Times New Roman" w:eastAsia="Times New Roman" w:hAnsi="Times New Roman"/>
          <w:color w:val="000000"/>
          <w:sz w:val="23"/>
          <w:szCs w:val="23"/>
        </w:rPr>
        <w:t xml:space="preserve">Two further readings matter. Complaints about account opening concentrate in 2021, 2022 and 2025, and complaints about stability concentrate in 2023 and 2026, which indicates recurring rather than resolved problems. Separately, the feature customers praise without prompting is the automatic earning of idle cash, described in Vietnamese as the account that does not sleep. That feature already does at a small scale what Section 6 recommends doing deliberately.</w:t>
      </w:r>
    </w:p>
    <w:p>
      <w:pPr>
        <w:spacing w:after="60" w:before="120"/>
        <w:jc w:val="center"/>
      </w:pPr>
      <w:r>
        <w:drawing>
          <wp:inline distT="0" distB="0" distL="0" distR="0">
            <wp:extent cx="4953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7175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6. Mean ratings of three Vietnamese broker applications under the identical cleaning rule. DNSE leads across all reviews pulled. For 2026 alone the means are 3.06 for DNSE, 2.07 for VPS and 3.33 for FPTS, the last on 24 reviews.</w:t>
      </w:r>
    </w:p>
    <w:p>
      <w:pPr>
        <w:spacing w:after="160" w:line="300"/>
        <w:jc w:val="both"/>
      </w:pPr>
      <w:r>
        <w:rPr>
          <w:rFonts w:ascii="Times New Roman" w:cs="Times New Roman" w:eastAsia="Times New Roman" w:hAnsi="Times New Roman"/>
          <w:color w:val="000000"/>
          <w:sz w:val="23"/>
          <w:szCs w:val="23"/>
        </w:rPr>
        <w:t xml:space="preserve">The App Store, whose iPhone users sit closer to the upper-income segment prioritised in Section 4.2, gives a cross-check for 2025 and 2026 (Appendix A6). Its reviewers rate DNSE lower, at 2.25 stars against 2.77 on Google Play, and slightly below FPTS. They complain about the product rather than the promotion: crashes, login and account opening appear in 51 per cent of negative reviews against 38 per cent on Google Play, deception and bonus terms in 15 against 34 per cent.</w:t>
      </w:r>
    </w:p>
    <w:p>
      <w:pPr>
        <w:pStyle w:val="Heading2"/>
        <w:spacing w:after="120" w:before="260"/>
      </w:pPr>
      <w:r>
        <w:rPr>
          <w:rFonts w:ascii="Times New Roman" w:cs="Times New Roman" w:eastAsia="Times New Roman" w:hAnsi="Times New Roman"/>
          <w:b/>
          <w:bCs/>
          <w:color w:val="000000"/>
          <w:sz w:val="25"/>
          <w:szCs w:val="25"/>
        </w:rPr>
        <w:t xml:space="preserve">3.4 What the gap costs</w:t>
      </w:r>
    </w:p>
    <w:p>
      <w:pPr>
        <w:spacing w:after="160" w:line="300"/>
        <w:jc w:val="both"/>
      </w:pPr>
      <w:r>
        <w:rPr>
          <w:rFonts w:ascii="Times New Roman" w:cs="Times New Roman" w:eastAsia="Times New Roman" w:hAnsi="Times New Roman"/>
          <w:color w:val="000000"/>
          <w:sz w:val="23"/>
          <w:szCs w:val="23"/>
        </w:rPr>
        <w:t xml:space="preserve">Revenue growth has continued while profitability has not. Operating revenue reached VND 1,457.9 billion in 2025, up 80.6 per cent, and VND 848.2 billion in the first half of 2026, up 59.0 per cent. Pre-tax profit moved differently, from VND 340.2 billion in 2025 to VND 111.6 billion in the first half of 2026. The pre-tax margin fell from 23.3 per cent to 13.2 per cent, and was 2.7 and 3.6 per cent in the two quarters to March 2026.</w:t>
      </w:r>
    </w:p>
    <w:p>
      <w:pPr>
        <w:spacing w:after="60" w:before="120"/>
        <w:jc w:val="center"/>
      </w:pPr>
      <w:r>
        <w:drawing>
          <wp:inline distT="0" distB="0" distL="0" distR="0">
            <wp:extent cx="519112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255270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7. Pre-tax profit margin by reporting period. In the first quarter of 2026 operating expenses rose 120 per cent and brokerage costs 125 per cent on a year earlier, and trading assets lost VND 9.6 billion net.</w:t>
      </w:r>
    </w:p>
    <w:p>
      <w:pPr>
        <w:spacing w:after="160" w:line="300"/>
        <w:jc w:val="both"/>
      </w:pPr>
      <w:r>
        <w:rPr>
          <w:rFonts w:ascii="Times New Roman" w:cs="Times New Roman" w:eastAsia="Times New Roman" w:hAnsi="Times New Roman"/>
          <w:color w:val="000000"/>
          <w:sz w:val="23"/>
          <w:szCs w:val="23"/>
        </w:rPr>
        <w:t xml:space="preserve">The composition of revenue explains the exposure. Interest on lending and receivables contributed 39.6 per cent of first half revenue, interest on held-to-maturity investments 22.8 per cent and gross trading gains 9.1 per cent, so 71.5 per cent of revenue depends on balance sheet size and market direction rather than on customer transactions. Brokerage commissions, at 26.2 per cent, come mostly from derivatives, and direct brokerage costs exceeded them by VND 44.5 billion in the half year.</w:t>
      </w:r>
    </w:p>
    <w:p>
      <w:pPr>
        <w:spacing w:after="60" w:before="120"/>
        <w:jc w:val="center"/>
      </w:pPr>
      <w:r>
        <w:drawing>
          <wp:inline distT="0" distB="0" distL="0" distR="0">
            <wp:extent cx="519112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147637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8. Composition of DNSE operating revenue, first half of 2026.</w:t>
      </w:r>
    </w:p>
    <w:p>
      <w:pPr>
        <w:spacing w:after="160" w:line="300"/>
        <w:jc w:val="both"/>
      </w:pPr>
      <w:r>
        <w:rPr>
          <w:rFonts w:ascii="Times New Roman" w:cs="Times New Roman" w:eastAsia="Times New Roman" w:hAnsi="Times New Roman"/>
          <w:color w:val="000000"/>
          <w:sz w:val="23"/>
          <w:szCs w:val="23"/>
        </w:rPr>
        <w:t xml:space="preserve">Against plan the position is clear. DNSE targets VND 1,736 billion of total revenue, which includes financial income, and VND 550 billion of pre-tax profit for 2026. The half-year delivered 49.1 per cent of the revenue target and 20.3 per cent of the profit target, so the second half must produce VND 438.4 billion of pre-tax profit, which is 3.9 times the first half.</w:t>
      </w:r>
    </w:p>
    <w:p>
      <w:pPr>
        <w:spacing w:after="60" w:before="120"/>
        <w:jc w:val="center"/>
      </w:pPr>
      <w:r>
        <w:drawing>
          <wp:inline distT="0" distB="0" distL="0" distR="0">
            <wp:extent cx="51911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200025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9. Progress against the 2026 plan at the half year.</w:t>
      </w:r>
    </w:p>
    <w:p>
      <w:pPr>
        <w:pStyle w:val="Heading1"/>
        <w:spacing w:after="160" w:before="340"/>
      </w:pPr>
      <w:r>
        <w:rPr>
          <w:rFonts w:ascii="Times New Roman" w:cs="Times New Roman" w:eastAsia="Times New Roman" w:hAnsi="Times New Roman"/>
          <w:b/>
          <w:bCs/>
          <w:color w:val="000000"/>
          <w:sz w:val="30"/>
          <w:szCs w:val="30"/>
        </w:rPr>
        <w:t xml:space="preserve">4. Discussion and main analysis</w:t>
      </w:r>
    </w:p>
    <w:p>
      <w:pPr>
        <w:pStyle w:val="Heading2"/>
        <w:spacing w:after="120" w:before="260"/>
      </w:pPr>
      <w:r>
        <w:rPr>
          <w:rFonts w:ascii="Times New Roman" w:cs="Times New Roman" w:eastAsia="Times New Roman" w:hAnsi="Times New Roman"/>
          <w:b/>
          <w:bCs/>
          <w:color w:val="000000"/>
          <w:sz w:val="25"/>
          <w:szCs w:val="25"/>
        </w:rPr>
        <w:t xml:space="preserve">4.1 Why the gap exists</w:t>
      </w:r>
    </w:p>
    <w:p>
      <w:pPr>
        <w:spacing w:after="160" w:line="300"/>
        <w:jc w:val="both"/>
      </w:pPr>
      <w:r>
        <w:rPr>
          <w:rFonts w:ascii="Times New Roman" w:cs="Times New Roman" w:eastAsia="Times New Roman" w:hAnsi="Times New Roman"/>
          <w:color w:val="000000"/>
          <w:sz w:val="23"/>
          <w:szCs w:val="23"/>
        </w:rPr>
        <w:t xml:space="preserve">Free execution attracts the customers for whom price is the deciding factor. Those customers are, by construction, the ones with the smallest balances, since a commission saving only matters when it is large relative to the amount invested. The review data supports this reading directly, because a visible share of DNSE customers arrived through YouTube promotion and sign-up bonuses rather than through an investment decision. Reviews mentioning a social media referral appear at 1.8 per cent of negatives and 2.7 per cent of positives, and the most common complaint among them is that the promised bonus did not arrive.</w:t>
      </w:r>
    </w:p>
    <w:p>
      <w:pPr>
        <w:spacing w:after="160" w:line="300"/>
        <w:jc w:val="both"/>
      </w:pPr>
      <w:r>
        <w:rPr>
          <w:rFonts w:ascii="Times New Roman" w:cs="Times New Roman" w:eastAsia="Times New Roman" w:hAnsi="Times New Roman"/>
          <w:color w:val="000000"/>
          <w:sz w:val="23"/>
          <w:szCs w:val="23"/>
        </w:rPr>
        <w:t xml:space="preserve">Derivatives compounds the effect. A derivatives account needs a margin deposit and turns over quickly, so it produces visible market share from a small pool of capital. In the second quarter of 2026 the front-month VN30 futures contract alone averaged VND 40,855 billion of daily notional value, against VND 22,163 billion of daily value on the Ho Chi Minh cash market. Futures notional is not directly comparable with cash turnover, because a contract controls a notional amount many times the margin posted against it, and that is the point. High share in derivatives is compatible with a small asset base, which is exactly what DNSE reports.</w:t>
      </w:r>
    </w:p>
    <w:p>
      <w:pPr>
        <w:spacing w:after="160" w:line="300"/>
        <w:jc w:val="both"/>
      </w:pPr>
      <w:r>
        <w:rPr>
          <w:rFonts w:ascii="Times New Roman" w:cs="Times New Roman" w:eastAsia="Times New Roman" w:hAnsi="Times New Roman"/>
          <w:color w:val="000000"/>
          <w:sz w:val="23"/>
          <w:szCs w:val="23"/>
        </w:rPr>
        <w:t xml:space="preserve">The firm has also absorbed cost to sustain both effects. Free execution, absorbed derivatives fees and acquisition spending all appear in the operating expense line that rose 120 per cent in the first quarter of 2026. Growth in accounts is being bought, and the revenue per account has not risen to match.</w:t>
      </w:r>
    </w:p>
    <w:p>
      <w:pPr>
        <w:pStyle w:val="Heading2"/>
        <w:spacing w:after="120" w:before="260"/>
      </w:pPr>
      <w:r>
        <w:rPr>
          <w:rFonts w:ascii="Times New Roman" w:cs="Times New Roman" w:eastAsia="Times New Roman" w:hAnsi="Times New Roman"/>
          <w:b/>
          <w:bCs/>
          <w:color w:val="000000"/>
          <w:sz w:val="25"/>
          <w:szCs w:val="25"/>
        </w:rPr>
        <w:t xml:space="preserve">4.2 Where the money actually sits</w:t>
      </w:r>
    </w:p>
    <w:p>
      <w:pPr>
        <w:spacing w:after="160" w:line="300"/>
        <w:jc w:val="both"/>
      </w:pPr>
      <w:r>
        <w:rPr>
          <w:rFonts w:ascii="Times New Roman" w:cs="Times New Roman" w:eastAsia="Times New Roman" w:hAnsi="Times New Roman"/>
          <w:color w:val="000000"/>
          <w:sz w:val="23"/>
          <w:szCs w:val="23"/>
        </w:rPr>
        <w:t xml:space="preserve">Choosing a target segment by assertion would not survive scrutiny, so the Findex segment matrix was scored instead. Two indices were built from indicators the survey reports for every demographic cut. Index A measures investable surplus held formally, averaging six indicators covering saving at an institution, monthly saving into an account, storing money in an account, receiving interest, saving for old age and the ability to cover more than two months without income. Index B measures digital transacting habit, averaging six indicators covering digitally enabled accounts, daily internet use, smartphone ownership, weekly card or mobile payment in store, mobile balance checking and wage receipt into an account. Both use unweighted means of percentages. Because they average different indicators, each index compares segments with one another, and the level of one says nothing about the level of the other.</w:t>
      </w:r>
    </w:p>
    <w:p>
      <w:pPr>
        <w:spacing w:after="160" w:line="300"/>
        <w:jc w:val="both"/>
      </w:pPr>
      <w:r>
        <w:rPr>
          <w:rFonts w:ascii="Times New Roman" w:cs="Times New Roman" w:eastAsia="Times New Roman" w:hAnsi="Times New Roman"/>
          <w:color w:val="000000"/>
          <w:sz w:val="23"/>
          <w:szCs w:val="23"/>
        </w:rPr>
        <w:t xml:space="preserve">A third quantity, the activation gap, is the distance in percentage points between account ownership and saving at a financial institution within a segment. It counts adults already inside the formal system who are not yet putting money to work, which is the population a broker is trying to reach.</w:t>
      </w:r>
    </w:p>
    <w:p>
      <w:pPr>
        <w:spacing w:after="60" w:before="120"/>
        <w:jc w:val="center"/>
      </w:pPr>
      <w:r>
        <w:drawing>
          <wp:inline distT="0" distB="0" distL="0" distR="0">
            <wp:extent cx="4953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200400"/>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10. Vietnamese adults by digital habit and investable surplus, Global Findex 2024. The two indices average different indicators, so segments are compared with each other rather than one index with the other. Blue marks the three segments with the highest priority score.</w:t>
      </w:r>
    </w:p>
    <w:p>
      <w:pPr>
        <w:spacing w:after="160" w:line="300"/>
        <w:jc w:val="both"/>
      </w:pPr>
      <w:r>
        <w:rPr>
          <w:rFonts w:ascii="Times New Roman" w:cs="Times New Roman" w:eastAsia="Times New Roman" w:hAnsi="Times New Roman"/>
          <w:color w:val="000000"/>
          <w:sz w:val="23"/>
          <w:szCs w:val="23"/>
        </w:rPr>
        <w:t xml:space="preserve">Three findings follow. The two indices rank the segments almost identically, with a rank correlation of 0.97 across every segment except one, so the adults who already transact digitally are the ones who hold formal savings. Ranking segments by propensity multiplied by the size of the unconverted pool places adults with secondary education or more first, at 20.4 million unconverted, followed by adults in the labour force at 19.0 million and the upper 60 per cent of the income distribution at 15.3 million. The priority segment is the intersection of those three, which is employed, secondary-educated adults in the upper income group.</w:t>
      </w:r>
    </w:p>
    <w:p>
      <w:pPr>
        <w:spacing w:after="160" w:line="300"/>
        <w:jc w:val="both"/>
      </w:pPr>
      <w:r>
        <w:rPr>
          <w:rFonts w:ascii="Times New Roman" w:cs="Times New Roman" w:eastAsia="Times New Roman" w:hAnsi="Times New Roman"/>
          <w:color w:val="000000"/>
          <w:sz w:val="23"/>
          <w:szCs w:val="23"/>
        </w:rPr>
        <w:t xml:space="preserve">The third finding is the sharpest, and it is the exception to the first. Adults aged 15 to 24 show the widest separation between digital habit and investable surplus, at 35.1 points against 26.0 for the next segment, and they carry the largest activation gap of any group at 33.6 percentage points. That is the cohort a free trading application acquires most cheaply, and it is the cohort least able to fund an account. DNSE's acquisition engine is tuned to the segment with the least money.</w:t>
      </w:r>
    </w:p>
    <w:tbl>
      <w:tblPr>
        <w:tblW w:type="dxa" w:w="9020"/>
        <w:tblBorders>
          <w:top w:val="single" w:color="000000" w:sz="6"/>
          <w:left w:val="none"/>
          <w:bottom w:val="single" w:color="000000" w:sz="6"/>
          <w:right w:val="none"/>
          <w:insideH w:val="single" w:color="B0B0B0" w:sz="2"/>
          <w:insideV w:val="none"/>
        </w:tblBorders>
      </w:tblPr>
      <w:tblGrid>
        <w:gridCol w:w="2400"/>
        <w:gridCol w:w="1350"/>
        <w:gridCol w:w="1350"/>
        <w:gridCol w:w="1450"/>
        <w:gridCol w:w="1450"/>
        <w:gridCol w:w="1020"/>
      </w:tblGrid>
      <w:tr>
        <w:trPr>
          <w:tblHeader/>
        </w:trPr>
        <w:tc>
          <w:tcPr>
            <w:tcW w:type="dxa" w:w="24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Segment</w:t>
            </w:r>
          </w:p>
        </w:tc>
        <w:tc>
          <w:tcPr>
            <w:tcW w:type="dxa" w:w="13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Index A investable</w:t>
            </w:r>
          </w:p>
        </w:tc>
        <w:tc>
          <w:tcPr>
            <w:tcW w:type="dxa" w:w="13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Index B digital</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Activation gap, points</w:t>
            </w:r>
          </w:p>
        </w:tc>
        <w:tc>
          <w:tcPr>
            <w:tcW w:type="dxa" w:w="14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Unconverted, millions</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Priority rank</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Secondary education or more</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39.5</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63.5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 labour force</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41.5</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65.1</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29.5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Richest 60 per cent</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46.0</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72.0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31.7</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15.3</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Aged 25 and over</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38.1</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57.9</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26.1</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17.2</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Urban</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43.0</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66.0</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28.6</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Aged 15 to 24</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31.1</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66.2</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33.6</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4.9</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w:t>
            </w:r>
          </w:p>
        </w:tc>
      </w:tr>
      <w:tr>
        <w:tc>
          <w:tcPr>
            <w:tcW w:type="dxa" w:w="24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Poorest 40 per cent</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23.1</w:t>
            </w:r>
          </w:p>
        </w:tc>
        <w:tc>
          <w:tcPr>
            <w:tcW w:type="dxa" w:w="13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40.5</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21.1</w:t>
            </w:r>
          </w:p>
        </w:tc>
        <w:tc>
          <w:tcPr>
            <w:tcW w:type="dxa" w:w="14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w:t>
            </w:r>
          </w:p>
        </w:tc>
      </w:tr>
    </w:tbl>
    <w:p>
      <w:pPr>
        <w:spacing w:after="200" w:before="90"/>
        <w:jc w:val="left"/>
      </w:pPr>
      <w:r>
        <w:rPr>
          <w:rFonts w:ascii="Times New Roman" w:cs="Times New Roman" w:eastAsia="Times New Roman" w:hAnsi="Times New Roman"/>
          <w:i/>
          <w:iCs/>
          <w:color w:val="3F3F3F"/>
          <w:sz w:val="19"/>
          <w:szCs w:val="19"/>
        </w:rPr>
        <w:t xml:space="preserve">Table 3. Selected rows of the segment model. Priority rank is the composite index multiplied by the unconverted pool, computed before rounding. The full 13-segment table and all 12 underlying indicators are in Appendix A.</w:t>
      </w:r>
    </w:p>
    <w:p>
      <w:pPr>
        <w:pStyle w:val="Heading2"/>
        <w:spacing w:after="120" w:before="260"/>
      </w:pPr>
      <w:r>
        <w:rPr>
          <w:rFonts w:ascii="Times New Roman" w:cs="Times New Roman" w:eastAsia="Times New Roman" w:hAnsi="Times New Roman"/>
          <w:b/>
          <w:bCs/>
          <w:color w:val="000000"/>
          <w:sz w:val="25"/>
          <w:szCs w:val="25"/>
        </w:rPr>
        <w:t xml:space="preserve">4.3 Market and macroeconomic conditions</w:t>
      </w:r>
    </w:p>
    <w:p>
      <w:pPr>
        <w:spacing w:after="160" w:line="300"/>
        <w:jc w:val="both"/>
      </w:pPr>
      <w:r>
        <w:rPr>
          <w:rFonts w:ascii="Times New Roman" w:cs="Times New Roman" w:eastAsia="Times New Roman" w:hAnsi="Times New Roman"/>
          <w:color w:val="000000"/>
          <w:sz w:val="23"/>
          <w:szCs w:val="23"/>
        </w:rPr>
        <w:t xml:space="preserve">Three conditions make the opportunity current. Household financial assets are accumulating quickly. The share of Vietnamese adults saving at a financial institution rose from 19.9 per cent in 2022 to 43.1 per cent in 2024. Borrowing from formal institutions fell from 21.7 per cent in 2017 to 7.7 per cent in 2024. Vietnamese households are accumulating rather than leveraging.</w:t>
      </w:r>
    </w:p>
    <w:p>
      <w:pPr>
        <w:spacing w:after="60" w:before="120"/>
        <w:jc w:val="center"/>
      </w:pPr>
      <w:r>
        <w:drawing>
          <wp:inline distT="0" distB="0" distL="0" distR="0">
            <wp:extent cx="519112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239077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11. Vietnamese adults saving at and borrowing from a financial institution, Global Findex waves 2011 to 2024.</w:t>
      </w:r>
    </w:p>
    <w:p>
      <w:pPr>
        <w:spacing w:after="160" w:line="300"/>
        <w:jc w:val="both"/>
      </w:pPr>
      <w:r>
        <w:rPr>
          <w:rFonts w:ascii="Times New Roman" w:cs="Times New Roman" w:eastAsia="Times New Roman" w:hAnsi="Times New Roman"/>
          <w:color w:val="000000"/>
          <w:sz w:val="23"/>
          <w:szCs w:val="23"/>
        </w:rPr>
        <w:t xml:space="preserve">Second, the competitive benchmark is visible and high. Term deposit rates run from about 6 per cent at the largest banks to about 9 per cent on certificates of deposit at smaller institutions, against headline inflation of 4.69 per cent in June 2026. Any cash management product must clear a rate customers can see on a bank counter. Gross domestic product grew 8.18 per cent in the first half of 2026, so household income is rising alongside those rates.</w:t>
      </w:r>
    </w:p>
    <w:p>
      <w:pPr>
        <w:spacing w:after="160" w:line="300"/>
        <w:jc w:val="both"/>
      </w:pPr>
      <w:r>
        <w:rPr>
          <w:rFonts w:ascii="Times New Roman" w:cs="Times New Roman" w:eastAsia="Times New Roman" w:hAnsi="Times New Roman"/>
          <w:color w:val="000000"/>
          <w:sz w:val="23"/>
          <w:szCs w:val="23"/>
        </w:rPr>
        <w:t xml:space="preserve">Third, the reclassification of Vietnam to FTSE Russell secondary emerging market status took effect on 21 September 2026, with 32 Vietnamese stocks on FTSE Russell's April 2026 indicative list. Published estimates of passive inflow start at about 2.2 billion United States dollars, and wider estimates that include active money run higher. The flow is directed at large and mid capitalisation cash equities, which is the market where DNSE is weakest. Several Vietnamese securities firms are on that list and DSE is not one of them.</w:t>
      </w:r>
    </w:p>
    <w:p>
      <w:pPr>
        <w:pStyle w:val="Heading2"/>
        <w:spacing w:after="120" w:before="260"/>
      </w:pPr>
      <w:r>
        <w:rPr>
          <w:rFonts w:ascii="Times New Roman" w:cs="Times New Roman" w:eastAsia="Times New Roman" w:hAnsi="Times New Roman"/>
          <w:b/>
          <w:bCs/>
          <w:color w:val="000000"/>
          <w:sz w:val="25"/>
          <w:szCs w:val="25"/>
        </w:rPr>
        <w:t xml:space="preserve">4.4 Prioritising the problem</w:t>
      </w:r>
    </w:p>
    <w:p>
      <w:pPr>
        <w:spacing w:after="160" w:line="300"/>
        <w:jc w:val="both"/>
      </w:pPr>
      <w:r>
        <w:rPr>
          <w:rFonts w:ascii="Times New Roman" w:cs="Times New Roman" w:eastAsia="Times New Roman" w:hAnsi="Times New Roman"/>
          <w:color w:val="000000"/>
          <w:sz w:val="23"/>
          <w:szCs w:val="23"/>
        </w:rPr>
        <w:t xml:space="preserve">The three candidate problems from Section 1.3 were scored on three criteria. Size of effect asks how much of the revenue base the problem governs. Control asks whether DNSE can change the outcome with decisions it already has authority to make. Evidence strength asks how many independent sources support the diagnosis.</w:t>
      </w:r>
    </w:p>
    <w:p>
      <w:pPr>
        <w:spacing w:after="160" w:line="300"/>
        <w:jc w:val="both"/>
      </w:pPr>
      <w:r>
        <w:rPr>
          <w:rFonts w:ascii="Times New Roman" w:cs="Times New Roman" w:eastAsia="Times New Roman" w:hAnsi="Times New Roman"/>
          <w:color w:val="000000"/>
          <w:sz w:val="23"/>
          <w:szCs w:val="23"/>
        </w:rPr>
        <w:t xml:space="preserve">Low revenue per funded account ranks first on all three. It governs lending, brokerage and fee revenue at the same time, because each depends on the customer holding assets on the platform. It sits within product and pricing decisions the firm already controls. Three independent measures point to it, namely the ratio of trading share to account share, the ratio of lending share to account share, and the review evidence that acquisition runs through promotional bonuses rather than investment intent.</w:t>
      </w:r>
    </w:p>
    <w:p>
      <w:pPr>
        <w:spacing w:after="160" w:line="300"/>
        <w:jc w:val="both"/>
      </w:pPr>
      <w:r>
        <w:rPr>
          <w:rFonts w:ascii="Times New Roman" w:cs="Times New Roman" w:eastAsia="Times New Roman" w:hAnsi="Times New Roman"/>
          <w:color w:val="000000"/>
          <w:sz w:val="23"/>
          <w:szCs w:val="23"/>
        </w:rPr>
        <w:t xml:space="preserve">The scale of the prize can be stated from the filed statements. Interest income of VND 336.1 billion in the first half of 2026 on an average lending balance of about VND 6,015 billion, the mean of the balances at the end of 2025 and of each quarter, implies a yield near 11 per cent a year, against an estimated funding cost of 6.3 per cent. Raising the lending book by VND 1,000 billion, an increase of 16 per cent, would add roughly VND 112 billion of annual interest income, or about VND 49 billion after funding costs, which is 9 per cent of the 2026 pre-tax profit target. Closing the full distance between DNSE's 1.39 per cent lending share and its 12.24 per cent account share would imply a book near VND 56,000 billion, which exceeds the firm's capital and is not a realistic target. The point is that even a small movement toward the account share is material.</w:t>
      </w:r>
    </w:p>
    <w:p>
      <w:pPr>
        <w:spacing w:after="160" w:line="300"/>
        <w:jc w:val="both"/>
      </w:pPr>
      <w:r>
        <w:rPr>
          <w:rFonts w:ascii="Times New Roman" w:cs="Times New Roman" w:eastAsia="Times New Roman" w:hAnsi="Times New Roman"/>
          <w:color w:val="000000"/>
          <w:sz w:val="23"/>
          <w:szCs w:val="23"/>
        </w:rPr>
        <w:t xml:space="preserve">Derivatives concentration ranks second. The effect is large, since a quarter of brokerage revenue would be exposed to a regulatory or volatility shock, and the evidence is strong because the share series is published. It ranks below revenue per account because DNSE cannot control the structure of the derivatives market. Proprietary trading volatility ranks third. Net trading losses in the two quarters to March 2026 are a real signal, and risk limits are adjustable, but two quarters is a thin evidentiary base and the exposure is smaller than the other two.</w:t>
      </w:r>
    </w:p>
    <w:tbl>
      <w:tblPr>
        <w:tblW w:type="dxa" w:w="9020"/>
        <w:tblBorders>
          <w:top w:val="single" w:color="000000" w:sz="6"/>
          <w:left w:val="none"/>
          <w:bottom w:val="single" w:color="000000" w:sz="6"/>
          <w:right w:val="none"/>
          <w:insideH w:val="single" w:color="B0B0B0" w:sz="2"/>
          <w:insideV w:val="none"/>
        </w:tblBorders>
      </w:tblPr>
      <w:tblGrid>
        <w:gridCol w:w="2600"/>
        <w:gridCol w:w="1600"/>
        <w:gridCol w:w="1600"/>
        <w:gridCol w:w="1600"/>
        <w:gridCol w:w="1620"/>
      </w:tblGrid>
      <w:tr>
        <w:trPr>
          <w:tblHeader/>
        </w:trPr>
        <w:tc>
          <w:tcPr>
            <w:tcW w:type="dxa" w:w="2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Candidate problem</w:t>
            </w:r>
          </w:p>
        </w:tc>
        <w:tc>
          <w:tcPr>
            <w:tcW w:type="dxa" w:w="1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Size of effect</w:t>
            </w:r>
          </w:p>
        </w:tc>
        <w:tc>
          <w:tcPr>
            <w:tcW w:type="dxa" w:w="1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Within firm control</w:t>
            </w:r>
          </w:p>
        </w:tc>
        <w:tc>
          <w:tcPr>
            <w:tcW w:type="dxa" w:w="1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Evidence strength</w:t>
            </w:r>
          </w:p>
        </w:tc>
        <w:tc>
          <w:tcPr>
            <w:tcW w:type="dxa" w:w="16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Rank</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Low revenue per funded account</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High. Governs lending, brokerage and fee revenue together</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High. Product and pricing decisions</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Strong. Three independent share measures plus review themes</w:t>
            </w:r>
          </w:p>
        </w:tc>
        <w:tc>
          <w:tcPr>
            <w:tcW w:type="dxa" w:w="16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1</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Concentration in derivatives</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Medium. Regulatory or volatility shock would remove a quarter of brokerage revenue</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Low. Depends on market structure</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Strong. Published share series</w:t>
            </w:r>
          </w:p>
        </w:tc>
        <w:tc>
          <w:tcPr>
            <w:tcW w:type="dxa" w:w="16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Proprietary trading volatility</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Medium. Trading assets lost money net in two consecutive quarters</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Medium. Risk limits are adjustable</w:t>
            </w:r>
          </w:p>
        </w:tc>
        <w:tc>
          <w:tcPr>
            <w:tcW w:type="dxa" w:w="1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Moderate. Two quarters of evidence</w:t>
            </w:r>
          </w:p>
        </w:tc>
        <w:tc>
          <w:tcPr>
            <w:tcW w:type="dxa" w:w="16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3</w:t>
            </w:r>
          </w:p>
        </w:tc>
      </w:tr>
    </w:tbl>
    <w:p>
      <w:pPr>
        <w:spacing w:after="200" w:before="90"/>
        <w:jc w:val="left"/>
      </w:pPr>
      <w:r>
        <w:rPr>
          <w:rFonts w:ascii="Times New Roman" w:cs="Times New Roman" w:eastAsia="Times New Roman" w:hAnsi="Times New Roman"/>
          <w:i/>
          <w:iCs/>
          <w:color w:val="3F3F3F"/>
          <w:sz w:val="19"/>
          <w:szCs w:val="19"/>
        </w:rPr>
        <w:t xml:space="preserve">Table 4. Problem prioritisation. Resolving revenue per account raises funded balances, which expands the collateral base for lending and reduces the need to earn through proprietary positions.</w:t>
      </w:r>
    </w:p>
    <w:p>
      <w:pPr>
        <w:pStyle w:val="Heading1"/>
        <w:spacing w:after="160" w:before="340"/>
      </w:pPr>
      <w:r>
        <w:rPr>
          <w:rFonts w:ascii="Times New Roman" w:cs="Times New Roman" w:eastAsia="Times New Roman" w:hAnsi="Times New Roman"/>
          <w:b/>
          <w:bCs/>
          <w:color w:val="000000"/>
          <w:sz w:val="30"/>
          <w:szCs w:val="30"/>
        </w:rPr>
        <w:t xml:space="preserve">5. Strategic alternatives</w:t>
      </w:r>
    </w:p>
    <w:p>
      <w:pPr>
        <w:spacing w:after="160" w:line="300"/>
        <w:jc w:val="both"/>
      </w:pPr>
      <w:r>
        <w:rPr>
          <w:rFonts w:ascii="Times New Roman" w:cs="Times New Roman" w:eastAsia="Times New Roman" w:hAnsi="Times New Roman"/>
          <w:color w:val="000000"/>
          <w:sz w:val="23"/>
          <w:szCs w:val="23"/>
        </w:rPr>
        <w:t xml:space="preserve">Four options were considered against the priority problem. Each is assessed on the revenue it can reach, the capital and time it needs, and the risk it carries.</w:t>
      </w:r>
    </w:p>
    <w:tbl>
      <w:tblPr>
        <w:tblW w:type="dxa" w:w="9020"/>
        <w:tblBorders>
          <w:top w:val="single" w:color="000000" w:sz="6"/>
          <w:left w:val="none"/>
          <w:bottom w:val="single" w:color="000000" w:sz="6"/>
          <w:right w:val="none"/>
          <w:insideH w:val="single" w:color="B0B0B0" w:sz="2"/>
          <w:insideV w:val="none"/>
        </w:tblBorders>
      </w:tblPr>
      <w:tblGrid>
        <w:gridCol w:w="1900"/>
        <w:gridCol w:w="2900"/>
        <w:gridCol w:w="2200"/>
        <w:gridCol w:w="2020"/>
      </w:tblGrid>
      <w:tr>
        <w:trPr>
          <w:tblHeader/>
        </w:trPr>
        <w:tc>
          <w:tcPr>
            <w:tcW w:type="dxa" w:w="19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Option</w:t>
            </w:r>
          </w:p>
        </w:tc>
        <w:tc>
          <w:tcPr>
            <w:tcW w:type="dxa" w:w="29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Mechanism</w:t>
            </w:r>
          </w:p>
        </w:tc>
        <w:tc>
          <w:tcPr>
            <w:tcW w:type="dxa" w:w="22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Strengths</w:t>
            </w:r>
          </w:p>
        </w:tc>
        <w:tc>
          <w:tcPr>
            <w:tcW w:type="dxa" w:w="20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Weaknesses</w:t>
            </w:r>
          </w:p>
        </w:tc>
      </w:tr>
      <w:tr>
        <w:tc>
          <w:tcPr>
            <w:tcW w:type="dxa" w:w="1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 Continue acquiring</w:t>
            </w:r>
          </w:p>
        </w:tc>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Spend further on promotion and referral to add accounts at the current conversion rate</w:t>
            </w:r>
          </w:p>
        </w:tc>
        <w:tc>
          <w:tcPr>
            <w:tcW w:type="dxa" w:w="22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Protects the new-account share that supports the brand</w:t>
            </w:r>
          </w:p>
        </w:tc>
        <w:tc>
          <w:tcPr>
            <w:tcW w:type="dxa" w:w="20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Adds accounts from the segment with the least investable surplus and raises the expense line already growing at 120 per cent</w:t>
            </w:r>
          </w:p>
        </w:tc>
      </w:tr>
      <w:tr>
        <w:tc>
          <w:tcPr>
            <w:tcW w:type="dxa" w:w="1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B. Cash management and fund distribution</w:t>
            </w:r>
          </w:p>
        </w:tc>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Pay a competitive return on idle balances and distribute investment certificates, converting deposits into on-platform assets</w:t>
            </w:r>
          </w:p>
        </w:tc>
        <w:tc>
          <w:tcPr>
            <w:tcW w:type="dxa" w:w="22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Raises assets per account, expands the collateral base for lending and answers the rate benchmark directly. Funding is already authorised</w:t>
            </w:r>
          </w:p>
        </w:tc>
        <w:tc>
          <w:tcPr>
            <w:tcW w:type="dxa" w:w="20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Needs a funding rate credible against deposits paying 6 to 9 per cent, completion of the approved fund management acquisition or a distribution partner, and scale before the margin works</w:t>
            </w:r>
          </w:p>
        </w:tc>
      </w:tr>
      <w:tr>
        <w:tc>
          <w:tcPr>
            <w:tcW w:type="dxa" w:w="1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C. Deepen the derivatives franchise</w:t>
            </w:r>
          </w:p>
        </w:tc>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Invest further in the product where share is already 25.38 per cent</w:t>
            </w:r>
          </w:p>
        </w:tc>
        <w:tc>
          <w:tcPr>
            <w:tcW w:type="dxa" w:w="22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Builds on a demonstrated strength and needs little new capability</w:t>
            </w:r>
          </w:p>
        </w:tc>
        <w:tc>
          <w:tcPr>
            <w:tcW w:type="dxa" w:w="20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Increases dependence on one product and on a market where regulatory tightening is possible</w:t>
            </w:r>
          </w:p>
        </w:tc>
      </w:tr>
      <w:tr>
        <w:tc>
          <w:tcPr>
            <w:tcW w:type="dxa" w:w="1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 Move upmarket to advised clients</w:t>
            </w:r>
          </w:p>
        </w:tc>
        <w:tc>
          <w:tcPr>
            <w:tcW w:type="dxa" w:w="29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Add advisory and relationship coverage for higher balance customers</w:t>
            </w:r>
          </w:p>
        </w:tc>
        <w:tc>
          <w:tcPr>
            <w:tcW w:type="dxa" w:w="22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Directly raises revenue per account</w:t>
            </w:r>
          </w:p>
        </w:tc>
        <w:tc>
          <w:tcPr>
            <w:tcW w:type="dxa" w:w="20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Requires a branch or adviser cost base the firm has deliberately avoided, and competes with entrenched full-service firms</w:t>
            </w:r>
          </w:p>
        </w:tc>
      </w:tr>
    </w:tbl>
    <w:p>
      <w:pPr>
        <w:spacing w:after="200" w:before="90"/>
        <w:jc w:val="left"/>
      </w:pPr>
      <w:r>
        <w:rPr>
          <w:rFonts w:ascii="Times New Roman" w:cs="Times New Roman" w:eastAsia="Times New Roman" w:hAnsi="Times New Roman"/>
          <w:i/>
          <w:iCs/>
          <w:color w:val="3F3F3F"/>
          <w:sz w:val="19"/>
          <w:szCs w:val="19"/>
        </w:rPr>
        <w:t xml:space="preserve">Table 5. Strategic alternatives assessed against the priority problem.</w:t>
      </w:r>
    </w:p>
    <w:p>
      <w:pPr>
        <w:spacing w:after="160" w:line="300"/>
        <w:jc w:val="both"/>
      </w:pPr>
      <w:r>
        <w:rPr>
          <w:rFonts w:ascii="Times New Roman" w:cs="Times New Roman" w:eastAsia="Times New Roman" w:hAnsi="Times New Roman"/>
          <w:color w:val="000000"/>
          <w:sz w:val="23"/>
          <w:szCs w:val="23"/>
        </w:rPr>
        <w:t xml:space="preserve">Option A raises the cost base without addressing conversion. Option C concentrates risk in the business the firm already depends on. Option D contradicts the distribution model that gives DNSE its cost advantage. Option B is the only option that raises revenue per account while reinforcing the firm's largest revenue line.</w:t>
      </w:r>
    </w:p>
    <w:p>
      <w:pPr>
        <w:pStyle w:val="Heading1"/>
        <w:spacing w:after="160" w:before="340"/>
      </w:pPr>
      <w:r>
        <w:rPr>
          <w:rFonts w:ascii="Times New Roman" w:cs="Times New Roman" w:eastAsia="Times New Roman" w:hAnsi="Times New Roman"/>
          <w:b/>
          <w:bCs/>
          <w:color w:val="000000"/>
          <w:sz w:val="30"/>
          <w:szCs w:val="30"/>
        </w:rPr>
        <w:t xml:space="preserve">6. Preliminary recommendation</w:t>
      </w:r>
    </w:p>
    <w:p>
      <w:pPr>
        <w:spacing w:after="160" w:line="300"/>
        <w:jc w:val="both"/>
      </w:pPr>
      <w:r>
        <w:rPr>
          <w:rFonts w:ascii="Times New Roman" w:cs="Times New Roman" w:eastAsia="Times New Roman" w:hAnsi="Times New Roman"/>
          <w:color w:val="000000"/>
          <w:sz w:val="23"/>
          <w:szCs w:val="23"/>
        </w:rPr>
        <w:t xml:space="preserve">DNSE should build a cash management and fund distribution layer that converts idle account balances into funded, yield-bearing positions, and should target it at employed, secondary-educated adults in the upper 60 per cent of the income distribution who already hold bank savings.</w:t>
      </w:r>
    </w:p>
    <w:p>
      <w:pPr>
        <w:spacing w:after="160" w:line="300"/>
        <w:jc w:val="both"/>
      </w:pPr>
      <w:r>
        <w:rPr>
          <w:rFonts w:ascii="Times New Roman" w:cs="Times New Roman" w:eastAsia="Times New Roman" w:hAnsi="Times New Roman"/>
          <w:color w:val="000000"/>
          <w:sz w:val="23"/>
          <w:szCs w:val="23"/>
        </w:rPr>
        <w:t xml:space="preserve">The mechanism runs through the balance sheet in a specific order. Customer cash held on the platform earns a return. Higher on-platform assets raise the collateral available for margin lending, which was the largest revenue line in the first half of 2026 at 39.6 per cent. Higher lending balances raise interest income without requiring an increase in the trading activity of individual customers. Fund distribution adds a recurring fee that does not depend on market direction, which addresses the proprietary volatility identified in Table 4.</w:t>
      </w:r>
    </w:p>
    <w:p>
      <w:pPr>
        <w:spacing w:after="160" w:line="300"/>
        <w:jc w:val="both"/>
      </w:pPr>
      <w:r>
        <w:rPr>
          <w:rFonts w:ascii="Times New Roman" w:cs="Times New Roman" w:eastAsia="Times New Roman" w:hAnsi="Times New Roman"/>
          <w:color w:val="000000"/>
          <w:sz w:val="23"/>
          <w:szCs w:val="23"/>
        </w:rPr>
        <w:t xml:space="preserve">Two conditions make this feasible now. The 2026 annual general meeting approved a bond programme of VND 2,500 billion non-convertible and VND 1,000 billion convertible, which provides the funding a cash management product needs. Customers already recognise the feature, since the idle cash earning function is the capability they praise most often without being asked about it. The same meeting approved, for the second year running, owning one fund management company as a subsidiary to manage and distribute investment fund certificates, alongside a securities company at the Ho Chi Minh City International Financial Centre. The board has not yet completed that acquisition, and the 2026 plan already names Vietcombank, VietinBank and BIDV as intended partners for bonds and fund certificates on the Trung Vang (Golden Egg) product. Closing the acquisition, or distributing through a partner fund manager until it closes, is the first decision Round 3 should resolve.</w:t>
      </w:r>
    </w:p>
    <w:p>
      <w:pPr>
        <w:spacing w:after="160" w:line="300"/>
        <w:jc w:val="both"/>
      </w:pPr>
      <w:r>
        <w:rPr>
          <w:rFonts w:ascii="Times New Roman" w:cs="Times New Roman" w:eastAsia="Times New Roman" w:hAnsi="Times New Roman"/>
          <w:color w:val="000000"/>
          <w:sz w:val="23"/>
          <w:szCs w:val="23"/>
        </w:rPr>
        <w:t xml:space="preserve">The first constraint is price. A product competing with deposits paying 6 to 9 per cent, and offering less protection than a bank deposit, must justify the difference through liquidity, integration with trading or tax treatment. The second constraint is trust. The 17.6 per cent of negative reviews accusing the firm of deception concern promotional terms and closure fees, and a savings product launched from that starting position needs its terms stated plainly. Removing the VND 100,000 account closure fee and restating the sign-up promotion are low cost actions that address the most frequent complaints directly.</w:t>
      </w:r>
    </w:p>
    <w:p>
      <w:pPr>
        <w:pStyle w:val="Heading1"/>
        <w:spacing w:after="160" w:before="340"/>
      </w:pPr>
      <w:r>
        <w:rPr>
          <w:rFonts w:ascii="Times New Roman" w:cs="Times New Roman" w:eastAsia="Times New Roman" w:hAnsi="Times New Roman"/>
          <w:b/>
          <w:bCs/>
          <w:color w:val="000000"/>
          <w:sz w:val="30"/>
          <w:szCs w:val="30"/>
        </w:rPr>
        <w:t xml:space="preserve">7. Validation direction</w:t>
      </w:r>
    </w:p>
    <w:p>
      <w:pPr>
        <w:spacing w:after="160" w:line="300"/>
        <w:jc w:val="both"/>
      </w:pPr>
      <w:r>
        <w:rPr>
          <w:rFonts w:ascii="Times New Roman" w:cs="Times New Roman" w:eastAsia="Times New Roman" w:hAnsi="Times New Roman"/>
          <w:color w:val="000000"/>
          <w:sz w:val="23"/>
          <w:szCs w:val="23"/>
        </w:rPr>
        <w:t xml:space="preserve">Four tests would confirm or reject the recommendation before commitment.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Measure the full distribution of account balances at DNSE. The annual report gives two thresholds, 5.7 per cent active and 1.8 per cent above VND 10 million; the company holds the distribution below them, which would show where funded balances begin and how they move after onboarding.</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Test willingness to pay against deposits. A conjoint or price ladder survey of the priority segment would establish the return at which customers move cash from a bank to a broker, and whether liquidity or integration substitutes for rate.</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Estimate the lending response. The link from on-platform assets to margin balances is the core of the recommendation. Regressing historical margin balances on customer assets, using the disclosed series, would size the effect; with lending at 116 per cent of equity, the 200 per cent regulatory cap is not yet the constraint.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Verify the review evidence against internal data. App store reviews are self-selected and skew negative. Comparing the theme frequencies in Figure 5 with the firm's support ticket categories would show whether crashes, onboarding and promotional disputes hold the same rank internally.</w:t>
      </w:r>
    </w:p>
    <w:p>
      <w:pPr>
        <w:pStyle w:val="Heading1"/>
        <w:spacing w:after="160" w:before="340"/>
      </w:pPr>
      <w:r>
        <w:rPr>
          <w:rFonts w:ascii="Times New Roman" w:cs="Times New Roman" w:eastAsia="Times New Roman" w:hAnsi="Times New Roman"/>
          <w:b/>
          <w:bCs/>
          <w:color w:val="000000"/>
          <w:sz w:val="30"/>
          <w:szCs w:val="30"/>
        </w:rPr>
        <w:t xml:space="preserve">8. Conclusion</w:t>
      </w:r>
    </w:p>
    <w:p>
      <w:pPr>
        <w:spacing w:after="160" w:line="300"/>
        <w:jc w:val="both"/>
      </w:pPr>
      <w:r>
        <w:rPr>
          <w:rFonts w:ascii="Times New Roman" w:cs="Times New Roman" w:eastAsia="Times New Roman" w:hAnsi="Times New Roman"/>
          <w:color w:val="000000"/>
          <w:sz w:val="23"/>
          <w:szCs w:val="23"/>
        </w:rPr>
        <w:t xml:space="preserve">DNSE built an acquisition engine that works and a monetisation engine that has not kept pace. It holds one eighth of Vietnam's securities accounts, a quarter of the derivatives market, under three per cent of cash equity trading and 1.39 per cent of industry lending. The gap between those numbers is the business problem, and it is visible in a pre-tax margin that fell from 23.3 per cent to 13.2 per cent while revenue grew 59 per cent. The Findex evidence shows that the adults who hold investable savings are the ones already transacting digitally, and that their savings are now accumulating quickly. Converting existing accounts into funded accounts addresses the constraint using a mandate the firm already holds.</w:t>
      </w:r>
    </w:p>
    <w:p>
      <w:r>
        <w:br w:type="page"/>
      </w:r>
    </w:p>
    <w:p>
      <w:pPr>
        <w:pStyle w:val="Heading1"/>
        <w:spacing w:after="160" w:before="340"/>
      </w:pPr>
      <w:r>
        <w:rPr>
          <w:rFonts w:ascii="Times New Roman" w:cs="Times New Roman" w:eastAsia="Times New Roman" w:hAnsi="Times New Roman"/>
          <w:b/>
          <w:bCs/>
          <w:color w:val="000000"/>
          <w:sz w:val="30"/>
          <w:szCs w:val="30"/>
        </w:rPr>
        <w:t xml:space="preserve">Appendix A. Data tables</w:t>
      </w:r>
    </w:p>
    <w:p>
      <w:pPr>
        <w:pStyle w:val="Heading2"/>
        <w:spacing w:after="120" w:before="260"/>
      </w:pPr>
      <w:r>
        <w:rPr>
          <w:rFonts w:ascii="Times New Roman" w:cs="Times New Roman" w:eastAsia="Times New Roman" w:hAnsi="Times New Roman"/>
          <w:b/>
          <w:bCs/>
          <w:color w:val="000000"/>
          <w:sz w:val="25"/>
          <w:szCs w:val="25"/>
        </w:rPr>
        <w:t xml:space="preserve">A1. DNSE financial series</w:t>
      </w:r>
    </w:p>
    <w:tbl>
      <w:tblPr>
        <w:tblW w:type="dxa" w:w="9020"/>
        <w:tblBorders>
          <w:top w:val="single" w:color="000000" w:sz="6"/>
          <w:left w:val="none"/>
          <w:bottom w:val="single" w:color="000000" w:sz="6"/>
          <w:right w:val="none"/>
          <w:insideH w:val="single" w:color="B0B0B0" w:sz="2"/>
          <w:insideV w:val="none"/>
        </w:tblBorders>
      </w:tblPr>
      <w:tblGrid>
        <w:gridCol w:w="2500"/>
        <w:gridCol w:w="1620"/>
        <w:gridCol w:w="1620"/>
        <w:gridCol w:w="1620"/>
        <w:gridCol w:w="1660"/>
      </w:tblGrid>
      <w:tr>
        <w:trPr>
          <w:tblHeader/>
        </w:trPr>
        <w:tc>
          <w:tcPr>
            <w:tcW w:type="dxa" w:w="25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VND billion unless stated</w:t>
            </w:r>
          </w:p>
        </w:tc>
        <w:tc>
          <w:tcPr>
            <w:tcW w:type="dxa" w:w="16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FY2025</w:t>
            </w:r>
          </w:p>
        </w:tc>
        <w:tc>
          <w:tcPr>
            <w:tcW w:type="dxa" w:w="16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Q1 2026</w:t>
            </w:r>
          </w:p>
        </w:tc>
        <w:tc>
          <w:tcPr>
            <w:tcW w:type="dxa" w:w="16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Q2 2026</w:t>
            </w:r>
          </w:p>
        </w:tc>
        <w:tc>
          <w:tcPr>
            <w:tcW w:type="dxa" w:w="166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8"/>
                <w:szCs w:val="18"/>
              </w:rPr>
              <w:t xml:space="preserve">H1 2026</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Operating revenue</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1,457.9</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395.1</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453.1</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848.2</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Interest on lending and receivables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555.8</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147.5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188.6</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336.1</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Brokerage commissions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404.0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119.5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102.5</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222.1</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Brokerage direct costs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-464.9</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-137.8</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-128.7</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-266.5</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Interest on held-to-maturity investments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303.9</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98.4</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95.0</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193.4</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Gross trading gains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171.4</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53.8</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77.2</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Pre-tax profit</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340.2</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14.2</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97.4</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111.6</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Profit after tax</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272.5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11.3</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81.8</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93.1</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Pre-tax margin, per cent</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23.3</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3.6</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21.5</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13.2</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Margin loans and advances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5,832</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5,910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6,303</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6,303</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Shareholders' equity</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4,302</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5,358</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5,440</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5,440</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Customer accounts, millions</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1.51</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1.65</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1.70</w:t>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1.70</w:t>
            </w:r>
          </w:p>
        </w:tc>
      </w:tr>
      <w:tr>
        <w:tc>
          <w:tcPr>
            <w:tcW w:type="dxa" w:w="25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Share of new accounts, per cent</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18</w:t>
            </w:r>
          </w:p>
        </w:tc>
        <w:tc>
          <w:tcPr>
            <w:tcW w:type="dxa" w:w="16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c>
          <w:tcPr>
            <w:tcW w:type="dxa" w:w="166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
            </w:r>
          </w:p>
        </w:tc>
      </w:tr>
    </w:tbl>
    <w:p>
      <w:pPr>
        <w:spacing w:after="200" w:before="90"/>
        <w:jc w:val="left"/>
      </w:pPr>
      <w:r>
        <w:rPr>
          <w:rFonts w:ascii="Times New Roman" w:cs="Times New Roman" w:eastAsia="Times New Roman" w:hAnsi="Times New Roman"/>
          <w:i/>
          <w:iCs/>
          <w:color w:val="3F3F3F"/>
          <w:sz w:val="19"/>
          <w:szCs w:val="19"/>
        </w:rPr>
        <w:t xml:space="preserve">Table A1. DNSE filed statements, retrieved from Vietcap's data service by step 01b; costs are negative. The second quarter of 2026 is the KPMG-reviewed half year less the first quarter. Accounts and new-account shares are from investor relations releases.</w:t>
      </w:r>
    </w:p>
    <w:p>
      <w:pPr>
        <w:pStyle w:val="Heading2"/>
        <w:spacing w:after="120" w:before="260"/>
      </w:pPr>
      <w:r>
        <w:rPr>
          <w:rFonts w:ascii="Times New Roman" w:cs="Times New Roman" w:eastAsia="Times New Roman" w:hAnsi="Times New Roman"/>
          <w:b/>
          <w:bCs/>
          <w:color w:val="000000"/>
          <w:sz w:val="25"/>
          <w:szCs w:val="25"/>
        </w:rPr>
        <w:t xml:space="preserve">A2. Market share, second quarter of 2026</w:t>
      </w:r>
    </w:p>
    <w:tbl>
      <w:tblPr>
        <w:tblW w:type="dxa" w:w="9420"/>
        <w:tblBorders>
          <w:top w:val="single" w:color="000000" w:sz="6"/>
          <w:left w:val="none"/>
          <w:bottom w:val="single" w:color="000000" w:sz="6"/>
          <w:right w:val="none"/>
          <w:insideH w:val="single" w:color="B0B0B0" w:sz="2"/>
          <w:insideV w:val="none"/>
        </w:tblBorders>
      </w:tblPr>
      <w:tblGrid>
        <w:gridCol w:w="2600"/>
        <w:gridCol w:w="1900"/>
        <w:gridCol w:w="1900"/>
        <w:gridCol w:w="1900"/>
        <w:gridCol w:w="1120"/>
      </w:tblGrid>
      <w:tr>
        <w:trPr>
          <w:tblHeader/>
        </w:trPr>
        <w:tc>
          <w:tcPr>
            <w:tcW w:type="dxa" w:w="26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Firm</w:t>
            </w:r>
          </w:p>
        </w:tc>
        <w:tc>
          <w:tcPr>
            <w:tcW w:type="dxa" w:w="19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HOSE shares</w:t>
            </w:r>
          </w:p>
        </w:tc>
        <w:tc>
          <w:tcPr>
            <w:tcW w:type="dxa" w:w="19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HNX shares</w:t>
            </w:r>
          </w:p>
        </w:tc>
        <w:tc>
          <w:tcPr>
            <w:tcW w:type="dxa" w:w="19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Derivatives</w:t>
            </w:r>
          </w:p>
        </w:tc>
        <w:tc>
          <w:tcPr>
            <w:tcW w:type="dxa" w:w="11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Lending, VND bn</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VPS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12.61</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17.71</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33.84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31,311</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SSI</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11.17</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6.58</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8.21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40,473</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TCBS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9.36</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9.00</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4.83</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51,522</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Vietcap</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7.00</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2.86</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17,146</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HSC</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6.80</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9.23</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29,024</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MBS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4.79</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5.34</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16,828</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VNDirect</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3.96</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5.88</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12,859</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VPBankS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3.57</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6.71</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38,177</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KIS Vietnam</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2.99</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Mirae Asset Vietnam</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2.94</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1.82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BSC</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3.58</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9,471</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DNSE</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2.88</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25.38</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6,303</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VIX</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2.66</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13,958</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FPTS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1.91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6,380</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PHS</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1.29</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3,995</w:t>
            </w:r>
          </w:p>
        </w:tc>
      </w:tr>
      <w:tr>
        <w:tc>
          <w:tcPr>
            <w:tcW w:type="dxa" w:w="26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Top ten combined</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65.19</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63.20</w:t>
            </w:r>
          </w:p>
        </w:tc>
        <w:tc>
          <w:tcPr>
            <w:tcW w:type="dxa" w:w="19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94.52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453,800 industry</w:t>
            </w:r>
          </w:p>
        </w:tc>
      </w:tr>
    </w:tbl>
    <w:p>
      <w:pPr>
        <w:spacing w:after="200" w:before="90"/>
        <w:jc w:val="left"/>
      </w:pPr>
      <w:r>
        <w:rPr>
          <w:rFonts w:ascii="Times New Roman" w:cs="Times New Roman" w:eastAsia="Times New Roman" w:hAnsi="Times New Roman"/>
          <w:i/>
          <w:iCs/>
          <w:color w:val="3F3F3F"/>
          <w:sz w:val="19"/>
          <w:szCs w:val="19"/>
        </w:rPr>
        <w:t xml:space="preserve">Table A2. Percentages are share of traded value on the named market; an empty cell means the firm was outside that market's top ten. Market shares are from the HOSE and HNX quarterly announcements of July 2026. Lending balances are from each firm's filed statements at 30 June 2026; the industry total is a Vietstock compilation.</w:t>
      </w:r>
    </w:p>
    <w:p>
      <w:pPr>
        <w:pStyle w:val="Heading2"/>
        <w:spacing w:after="120" w:before="260"/>
      </w:pPr>
      <w:r>
        <w:rPr>
          <w:rFonts w:ascii="Times New Roman" w:cs="Times New Roman" w:eastAsia="Times New Roman" w:hAnsi="Times New Roman"/>
          <w:b/>
          <w:bCs/>
          <w:color w:val="000000"/>
          <w:sz w:val="25"/>
          <w:szCs w:val="25"/>
        </w:rPr>
        <w:t xml:space="preserve">A3. Findex segment model, all thirteen segments</w:t>
      </w:r>
    </w:p>
    <w:tbl>
      <w:tblPr>
        <w:tblW w:type="dxa" w:w="10020"/>
        <w:tblBorders>
          <w:top w:val="single" w:color="000000" w:sz="6"/>
          <w:left w:val="none"/>
          <w:bottom w:val="single" w:color="000000" w:sz="6"/>
          <w:right w:val="none"/>
          <w:insideH w:val="single" w:color="B0B0B0" w:sz="2"/>
          <w:insideV w:val="none"/>
        </w:tblBorders>
      </w:tblPr>
      <w:tblGrid>
        <w:gridCol w:w="2260"/>
        <w:gridCol w:w="1020"/>
        <w:gridCol w:w="1020"/>
        <w:gridCol w:w="1020"/>
        <w:gridCol w:w="1020"/>
        <w:gridCol w:w="1120"/>
        <w:gridCol w:w="1120"/>
        <w:gridCol w:w="1440"/>
      </w:tblGrid>
      <w:tr>
        <w:trPr>
          <w:tblHeader/>
        </w:trPr>
        <w:tc>
          <w:tcPr>
            <w:tcW w:type="dxa" w:w="226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6"/>
                <w:szCs w:val="16"/>
              </w:rPr>
              <w:t xml:space="preserve">Segment</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Index A</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Index B</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Composite</w:t>
            </w:r>
          </w:p>
        </w:tc>
        <w:tc>
          <w:tcPr>
            <w:tcW w:type="dxa" w:w="10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Account</w:t>
            </w:r>
          </w:p>
        </w:tc>
        <w:tc>
          <w:tcPr>
            <w:tcW w:type="dxa" w:w="11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Saved at FI</w:t>
            </w:r>
          </w:p>
        </w:tc>
        <w:tc>
          <w:tcPr>
            <w:tcW w:type="dxa" w:w="11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Gap, points</w:t>
            </w:r>
          </w:p>
        </w:tc>
        <w:tc>
          <w:tcPr>
            <w:tcW w:type="dxa" w:w="144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Unconverted, m</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All adults</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36.8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70.5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43.1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27.5</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22.13</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Secondary education or more</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39.5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63.5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51.5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75.2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46.7</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28.5</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20.40</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In labour force</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41.5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65.1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53.3</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77.9</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29.5</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18.99</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Richest 60 per cent</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46.0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72.0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85.5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53.8</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31.7</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15.34</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Aged 25 and over</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57.9</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70.2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44.1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26.1</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17.21</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Rural</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56.1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45.0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67.4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26.9</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14.53</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Men</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35.0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47.4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71.3</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41.0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30.2</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11.89</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Women</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69.9</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45.1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24.8</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10.24</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Urban</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43.0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66.0</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54.5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77.0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28.6</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7.61</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Aged 15 to 24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66.2</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72.2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38.6</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33.6</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4.93</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Poorest 40 per cent</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23.1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31.8</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48.1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27.1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21.1</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6.79</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Out of labour force</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18.4</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36.6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27.5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41.3</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21.9</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19.4</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3.14</w:t>
            </w:r>
          </w:p>
        </w:tc>
      </w:tr>
      <w:tr>
        <w:tc>
          <w:tcPr>
            <w:tcW w:type="dxa" w:w="226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Primary education or less</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15.6</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26.5</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21.1</w:t>
            </w:r>
          </w:p>
        </w:tc>
        <w:tc>
          <w:tcPr>
            <w:tcW w:type="dxa" w:w="10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14.0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19.5</w:t>
            </w:r>
          </w:p>
        </w:tc>
        <w:tc>
          <w:tcPr>
            <w:tcW w:type="dxa" w:w="144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1.76</w:t>
            </w:r>
          </w:p>
        </w:tc>
      </w:tr>
    </w:tbl>
    <w:p>
      <w:pPr>
        <w:spacing w:after="200" w:before="90"/>
        <w:jc w:val="left"/>
      </w:pPr>
      <w:r>
        <w:rPr>
          <w:rFonts w:ascii="Times New Roman" w:cs="Times New Roman" w:eastAsia="Times New Roman" w:hAnsi="Times New Roman"/>
          <w:i/>
          <w:iCs/>
          <w:color w:val="3F3F3F"/>
          <w:sz w:val="19"/>
          <w:szCs w:val="19"/>
        </w:rPr>
        <w:t xml:space="preserve">Table A3. Index A averages saving at an institution, monthly saving into an account, storing money in an account, receiving interest, saving for old age and the ability to cover two months without income. Index B averages digitally enabled account, daily internet use, smartphone ownership, weekly in-store card or mobile payment, mobile balance checking and wage receipt into an account. All values are percentages of adults aged 15 and over in that segment, from the Global Findex 2024 Vietnam file. The unconverted column applies segment population shares, recovered from the Findex estimates themselves, to 80.6 million adults.</w:t>
      </w:r>
    </w:p>
    <w:p>
      <w:pPr>
        <w:pStyle w:val="Heading2"/>
        <w:spacing w:after="120" w:before="260"/>
      </w:pPr>
      <w:r>
        <w:rPr>
          <w:rFonts w:ascii="Times New Roman" w:cs="Times New Roman" w:eastAsia="Times New Roman" w:hAnsi="Times New Roman"/>
          <w:b/>
          <w:bCs/>
          <w:color w:val="000000"/>
          <w:sz w:val="25"/>
          <w:szCs w:val="25"/>
        </w:rPr>
        <w:t xml:space="preserve">A4. Review dataset</w:t>
      </w:r>
    </w:p>
    <w:tbl>
      <w:tblPr>
        <w:tblW w:type="dxa" w:w="9020"/>
        <w:tblBorders>
          <w:top w:val="single" w:color="000000" w:sz="6"/>
          <w:left w:val="none"/>
          <w:bottom w:val="single" w:color="000000" w:sz="6"/>
          <w:right w:val="none"/>
          <w:insideH w:val="single" w:color="B0B0B0" w:sz="2"/>
          <w:insideV w:val="none"/>
        </w:tblBorders>
      </w:tblPr>
      <w:tblGrid>
        <w:gridCol w:w="1120"/>
        <w:gridCol w:w="1120"/>
        <w:gridCol w:w="1300"/>
        <w:gridCol w:w="1300"/>
        <w:gridCol w:w="1300"/>
        <w:gridCol w:w="1300"/>
        <w:gridCol w:w="1580"/>
      </w:tblGrid>
      <w:tr>
        <w:trPr>
          <w:tblHeader/>
        </w:trPr>
        <w:tc>
          <w:tcPr>
            <w:tcW w:type="dxa" w:w="11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Year</w:t>
            </w:r>
          </w:p>
        </w:tc>
        <w:tc>
          <w:tcPr>
            <w:tcW w:type="dxa" w:w="11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Retrieved</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Removed</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Retained</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Mean, clean</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Generic</w:t>
            </w:r>
          </w:p>
        </w:tc>
        <w:tc>
          <w:tcPr>
            <w:tcW w:type="dxa" w:w="158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Mean, substantive</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2020</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3.67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3.67</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2021</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1.83</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2022</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3.18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2.85</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2023</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2.68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2.42</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2024</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202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4.35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65</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4.15</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2025</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159</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2.65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2.38</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2026</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3.06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9</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2.85</w:t>
            </w:r>
          </w:p>
        </w:tc>
      </w:tr>
      <w:tr>
        <w:tc>
          <w:tcPr>
            <w:tcW w:type="dxa" w:w="11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Total</w:t>
            </w:r>
          </w:p>
        </w:tc>
        <w:tc>
          <w:tcPr>
            <w:tcW w:type="dxa" w:w="11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867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197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670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3.22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124</w:t>
            </w:r>
          </w:p>
        </w:tc>
        <w:tc>
          <w:tcPr>
            <w:tcW w:type="dxa" w:w="158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2.88</w:t>
            </w:r>
          </w:p>
        </w:tc>
      </w:tr>
    </w:tbl>
    <w:p>
      <w:pPr>
        <w:spacing w:after="200" w:before="90"/>
        <w:jc w:val="left"/>
      </w:pPr>
      <w:r>
        <w:rPr>
          <w:rFonts w:ascii="Times New Roman" w:cs="Times New Roman" w:eastAsia="Times New Roman" w:hAnsi="Times New Roman"/>
          <w:i/>
          <w:iCs/>
          <w:color w:val="3F3F3F"/>
          <w:sz w:val="19"/>
          <w:szCs w:val="19"/>
        </w:rPr>
        <w:t xml:space="preserve">Table A4. DNSE Entrade X reviews on Google Play, pulled 23 September 2026. Generic means a retained review of a single word carrying no theme.</w:t>
      </w:r>
    </w:p>
    <w:tbl>
      <w:tblPr>
        <w:tblW w:type="dxa" w:w="9620"/>
        <w:tblBorders>
          <w:top w:val="single" w:color="000000" w:sz="6"/>
          <w:left w:val="none"/>
          <w:bottom w:val="single" w:color="000000" w:sz="6"/>
          <w:right w:val="none"/>
          <w:insideH w:val="single" w:color="B0B0B0" w:sz="2"/>
          <w:insideV w:val="none"/>
        </w:tblBorders>
      </w:tblPr>
      <w:tblGrid>
        <w:gridCol w:w="2700"/>
        <w:gridCol w:w="1300"/>
        <w:gridCol w:w="1300"/>
        <w:gridCol w:w="1300"/>
        <w:gridCol w:w="1300"/>
        <w:gridCol w:w="1720"/>
      </w:tblGrid>
      <w:tr>
        <w:trPr>
          <w:tblHeader/>
        </w:trPr>
        <w:tc>
          <w:tcPr>
            <w:tcW w:type="dxa" w:w="27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Theme</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One and two star</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Three star</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Four and five star</w:t>
            </w:r>
          </w:p>
        </w:tc>
        <w:tc>
          <w:tcPr>
            <w:tcW w:type="dxa" w:w="13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All retained</w:t>
            </w:r>
          </w:p>
        </w:tc>
        <w:tc>
          <w:tcPr>
            <w:tcW w:type="dxa" w:w="17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Share of negatives</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Crashes, freezes, login failures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76</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102</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27.3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Account opening and identity checks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59</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70</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21.2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Accusation of deception</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49</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52</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17.6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Sign-up bonus terms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34</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8.6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Deposits and withdrawals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24</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5.0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Cannot close the account</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3.6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Interface and charts</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7</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28</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40</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2.5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Arrived through a social referral</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15</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1.8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Charges differing from advertised</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4</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8</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1.1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ZaloPay linkage</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1</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2</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5</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0.7 per cent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Idle cash earning feature</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3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3</w:t>
            </w:r>
          </w:p>
        </w:tc>
        <w:tc>
          <w:tcPr>
            <w:tcW w:type="dxa" w:w="17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8"/>
                <w:szCs w:val="18"/>
              </w:rPr>
              <w:t xml:space="preserve">0.0 per cent</w:t>
            </w:r>
          </w:p>
        </w:tc>
      </w:tr>
    </w:tbl>
    <w:p>
      <w:pPr>
        <w:spacing w:after="200" w:before="90"/>
        <w:jc w:val="left"/>
      </w:pPr>
      <w:r>
        <w:rPr>
          <w:rFonts w:ascii="Times New Roman" w:cs="Times New Roman" w:eastAsia="Times New Roman" w:hAnsi="Times New Roman"/>
          <w:i/>
          <w:iCs/>
          <w:color w:val="3F3F3F"/>
          <w:sz w:val="19"/>
          <w:szCs w:val="19"/>
        </w:rPr>
        <w:t xml:space="preserve">Table A5. Themes are non-exclusive, so the columns sum to more than the 670 retained reviews. Negatives number 278, neutrals 30 and positives 362.</w:t>
      </w:r>
    </w:p>
    <w:p>
      <w:pPr>
        <w:pStyle w:val="Heading2"/>
        <w:spacing w:after="120" w:before="260"/>
      </w:pPr>
      <w:r>
        <w:rPr>
          <w:rFonts w:ascii="Times New Roman" w:cs="Times New Roman" w:eastAsia="Times New Roman" w:hAnsi="Times New Roman"/>
          <w:b/>
          <w:bCs/>
          <w:color w:val="000000"/>
          <w:sz w:val="25"/>
          <w:szCs w:val="25"/>
        </w:rPr>
        <w:t xml:space="preserve">A5. Primary data sources</w:t>
      </w:r>
    </w:p>
    <w:tbl>
      <w:tblPr>
        <w:tblW w:type="dxa" w:w="9020"/>
        <w:tblBorders>
          <w:top w:val="single" w:color="000000" w:sz="6"/>
          <w:left w:val="none"/>
          <w:bottom w:val="single" w:color="000000" w:sz="6"/>
          <w:right w:val="none"/>
          <w:insideH w:val="single" w:color="B0B0B0" w:sz="2"/>
          <w:insideV w:val="none"/>
        </w:tblBorders>
      </w:tblPr>
      <w:tblGrid>
        <w:gridCol w:w="2700"/>
        <w:gridCol w:w="6320"/>
      </w:tblGrid>
      <w:tr>
        <w:trPr>
          <w:tblHeader/>
        </w:trPr>
        <w:tc>
          <w:tcPr>
            <w:tcW w:type="dxa" w:w="27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Dataset</w:t>
            </w:r>
          </w:p>
        </w:tc>
        <w:tc>
          <w:tcPr>
            <w:tcW w:type="dxa" w:w="632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8"/>
                <w:szCs w:val="18"/>
              </w:rPr>
              <w:t xml:space="preserve">Address</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investor relations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https://www.dnse.com.vn/quan-he-nha-dau-tu</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financial statements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https://ir.dnse.com.vn/vi/ctype-finance_report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annual report 2025</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https://ir.dnse.com.vn/vi/ctype-yearly_report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2026 AGM resolution and proposals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https://ir.dnse.com.vn/vi/ntag-dai-hoi-dong-co-dong-19</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statements, every line</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https://iq.vietcap.com.vn/api/iq-insight-service/v1/company/DSE/financial-statement</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HOSE market share announcements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https://www.hsx.vn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HNX market share announcements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https://www.hnx.vn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Vietnam Securities Depository account statistics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https://vsdc.vn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Global Findex Vietnam indicators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https://api.worldbank.org/v2/sources/28/country/VNM/series/all/data?format=json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Global Findex 2024 microdata</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https://microdata.worldbank.org/index.php/catalog/7998</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DNSE Entrade X reviews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https://play.google.com/store/apps/details?id=vn.com.encapital.arrow</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VPS SmartOne reviews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https://play.google.com/store/apps/details?id=vn.com.vpbs.smartone</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FPTS EzTrade reviews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https://play.google.com/store/apps/details?id=com.fpts.eztrade</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App Store listings, Vietnam</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https://apps.apple.com/vn/app/id1529981425 (DNSE), id1431656423 (VPS), id6737305302 (FPTS)</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App Store review feed</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https://itunes.apple.com/vn/rss/customerreviews/page=1/id=1529981425/sortby=mostrecent/json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National Statistics Office releases</w:t>
            </w:r>
          </w:p>
        </w:tc>
        <w:tc>
          <w:tcPr>
            <w:tcW w:type="dxa" w:w="632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8"/>
                <w:szCs w:val="18"/>
              </w:rPr>
              <w:t xml:space="preserve">https://www.nso.gov.vn</w:t>
            </w:r>
          </w:p>
        </w:tc>
      </w:tr>
    </w:tbl>
    <w:p>
      <w:pPr>
        <w:spacing w:after="200" w:before="90"/>
        <w:jc w:val="left"/>
      </w:pPr>
      <w:r>
        <w:rPr>
          <w:rFonts w:ascii="Times New Roman" w:cs="Times New Roman" w:eastAsia="Times New Roman" w:hAnsi="Times New Roman"/>
          <w:i/>
          <w:iCs/>
          <w:color w:val="3F3F3F"/>
          <w:sz w:val="19"/>
          <w:szCs w:val="19"/>
        </w:rPr>
        <w:t xml:space="preserve">Table A6. Addresses for every dataset used. The accompanying workbook contains the full extracted tables.</w:t>
      </w:r>
    </w:p>
    <w:p>
      <w:pPr>
        <w:pStyle w:val="Heading2"/>
        <w:spacing w:after="120" w:before="260"/>
      </w:pPr>
      <w:r>
        <w:rPr>
          <w:rFonts w:ascii="Times New Roman" w:cs="Times New Roman" w:eastAsia="Times New Roman" w:hAnsi="Times New Roman"/>
          <w:b/>
          <w:bCs/>
          <w:color w:val="000000"/>
          <w:sz w:val="25"/>
          <w:szCs w:val="25"/>
        </w:rPr>
        <w:t xml:space="preserve">A6. App Store cross-check</w:t>
      </w:r>
    </w:p>
    <w:tbl>
      <w:tblPr>
        <w:tblW w:type="dxa" w:w="9020"/>
        <w:tblBorders>
          <w:top w:val="single" w:color="000000" w:sz="6"/>
          <w:left w:val="none"/>
          <w:bottom w:val="single" w:color="000000" w:sz="6"/>
          <w:right w:val="none"/>
          <w:insideH w:val="single" w:color="B0B0B0" w:sz="2"/>
          <w:insideV w:val="none"/>
        </w:tblBorders>
      </w:tblPr>
      <w:tblGrid>
        <w:gridCol w:w="2300"/>
        <w:gridCol w:w="1150"/>
        <w:gridCol w:w="1150"/>
        <w:gridCol w:w="1150"/>
        <w:gridCol w:w="1400"/>
        <w:gridCol w:w="1870"/>
      </w:tblGrid>
      <w:tr>
        <w:trPr>
          <w:tblHeader/>
        </w:trPr>
        <w:tc>
          <w:tcPr>
            <w:tcW w:type="dxa" w:w="23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7"/>
                <w:szCs w:val="17"/>
              </w:rPr>
              <w:t xml:space="preserve">Application</w:t>
            </w:r>
          </w:p>
        </w:tc>
        <w:tc>
          <w:tcPr>
            <w:tcW w:type="dxa" w:w="11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Retrieved</w:t>
            </w:r>
          </w:p>
        </w:tc>
        <w:tc>
          <w:tcPr>
            <w:tcW w:type="dxa" w:w="11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Referral spam removed</w:t>
            </w:r>
          </w:p>
        </w:tc>
        <w:tc>
          <w:tcPr>
            <w:tcW w:type="dxa" w:w="11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Retained</w:t>
            </w:r>
          </w:p>
        </w:tc>
        <w:tc>
          <w:tcPr>
            <w:tcW w:type="dxa" w:w="14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Mean, raw and clean</w:t>
            </w:r>
          </w:p>
        </w:tc>
        <w:tc>
          <w:tcPr>
            <w:tcW w:type="dxa" w:w="187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7"/>
                <w:szCs w:val="17"/>
              </w:rPr>
              <w:t xml:space="preserve">Store rating, all ratings</w:t>
            </w:r>
          </w:p>
        </w:tc>
      </w:tr>
      <w:tr>
        <w:tc>
          <w:tcPr>
            <w:tcW w:type="dxa" w:w="2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DNSE Entrade X (2020 to 2026)</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332</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73</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259</w:t>
            </w:r>
          </w:p>
        </w:tc>
        <w:tc>
          <w:tcPr>
            <w:tcW w:type="dxa" w:w="14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3.37 / 2.94</w:t>
            </w:r>
          </w:p>
        </w:tc>
        <w:tc>
          <w:tcPr>
            <w:tcW w:type="dxa" w:w="187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4.04 from 1,490</w:t>
            </w:r>
          </w:p>
        </w:tc>
      </w:tr>
      <w:tr>
        <w:tc>
          <w:tcPr>
            <w:tcW w:type="dxa" w:w="2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VPS SmartOne (2021 to 2026)</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518</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512</w:t>
            </w:r>
          </w:p>
        </w:tc>
        <w:tc>
          <w:tcPr>
            <w:tcW w:type="dxa" w:w="14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1.57 / 1.53</w:t>
            </w:r>
          </w:p>
        </w:tc>
        <w:tc>
          <w:tcPr>
            <w:tcW w:type="dxa" w:w="187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3.03 from 5,756</w:t>
            </w:r>
          </w:p>
        </w:tc>
      </w:tr>
      <w:tr>
        <w:tc>
          <w:tcPr>
            <w:tcW w:type="dxa" w:w="2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FPTS EzTrade (2025 to 2026)</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205</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0</w:t>
            </w:r>
          </w:p>
        </w:tc>
        <w:tc>
          <w:tcPr>
            <w:tcW w:type="dxa" w:w="11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205</w:t>
            </w:r>
          </w:p>
        </w:tc>
        <w:tc>
          <w:tcPr>
            <w:tcW w:type="dxa" w:w="14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2.31 / 2.31</w:t>
            </w:r>
          </w:p>
        </w:tc>
        <w:tc>
          <w:tcPr>
            <w:tcW w:type="dxa" w:w="187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2.82 from 76</w:t>
            </w:r>
          </w:p>
        </w:tc>
      </w:tr>
    </w:tbl>
    <w:p>
      <w:pPr>
        <w:spacing w:after="200" w:before="90"/>
        <w:jc w:val="left"/>
      </w:pPr>
      <w:r>
        <w:rPr>
          <w:rFonts w:ascii="Times New Roman" w:cs="Times New Roman" w:eastAsia="Times New Roman" w:hAnsi="Times New Roman"/>
          <w:i/>
          <w:iCs/>
          <w:color w:val="3F3F3F"/>
          <w:sz w:val="19"/>
          <w:szCs w:val="19"/>
        </w:rPr>
        <w:t xml:space="preserve">Table A7. Written reviews from the Vietnamese App Store, pulled 24 September 2026 through Apple's public feed, which serves at most 500 recent and 500 most helpful reviews per application, and cleaned with the same rule as Google Play. The store rating counts every star rating, most of them given without text, as reported by Apple's lookup service. For FPTS Apple reports fewer ratings than the feed holds written reviews, so that count likely covers the current version only.</w:t>
      </w:r>
    </w:p>
    <w:tbl>
      <w:tblPr>
        <w:tblW w:type="dxa" w:w="9200"/>
        <w:tblBorders>
          <w:top w:val="single" w:color="000000" w:sz="6"/>
          <w:left w:val="none"/>
          <w:bottom w:val="single" w:color="000000" w:sz="6"/>
          <w:right w:val="none"/>
          <w:insideH w:val="single" w:color="B0B0B0" w:sz="2"/>
          <w:insideV w:val="none"/>
        </w:tblBorders>
      </w:tblPr>
      <w:tblGrid>
        <w:gridCol w:w="2300"/>
        <w:gridCol w:w="1100"/>
        <w:gridCol w:w="1100"/>
        <w:gridCol w:w="1250"/>
        <w:gridCol w:w="1100"/>
        <w:gridCol w:w="1100"/>
        <w:gridCol w:w="1250"/>
      </w:tblGrid>
      <w:tr>
        <w:trPr>
          <w:tblHeader/>
        </w:trPr>
        <w:tc>
          <w:tcPr>
            <w:tcW w:type="dxa" w:w="23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6"/>
                <w:szCs w:val="16"/>
              </w:rPr>
              <w:t xml:space="preserve">Application</w:t>
            </w:r>
          </w:p>
        </w:tc>
        <w:tc>
          <w:tcPr>
            <w:tcW w:type="dxa" w:w="11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Google Play, n</w:t>
            </w:r>
          </w:p>
        </w:tc>
        <w:tc>
          <w:tcPr>
            <w:tcW w:type="dxa" w:w="11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Google Play, mean</w:t>
            </w:r>
          </w:p>
        </w:tc>
        <w:tc>
          <w:tcPr>
            <w:tcW w:type="dxa" w:w="12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Google Play, one star</w:t>
            </w:r>
          </w:p>
        </w:tc>
        <w:tc>
          <w:tcPr>
            <w:tcW w:type="dxa" w:w="11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App Store, n</w:t>
            </w:r>
          </w:p>
        </w:tc>
        <w:tc>
          <w:tcPr>
            <w:tcW w:type="dxa" w:w="110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App Store, mean</w:t>
            </w:r>
          </w:p>
        </w:tc>
        <w:tc>
          <w:tcPr>
            <w:tcW w:type="dxa" w:w="12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App Store, one star</w:t>
            </w:r>
          </w:p>
        </w:tc>
      </w:tr>
      <w:tr>
        <w:tc>
          <w:tcPr>
            <w:tcW w:type="dxa" w:w="2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DNSE Entrade X</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228</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2.77</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50.0%</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83</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2.25</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59.0%</w:t>
            </w:r>
          </w:p>
        </w:tc>
      </w:tr>
      <w:tr>
        <w:tc>
          <w:tcPr>
            <w:tcW w:type="dxa" w:w="2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VPS SmartOne</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366</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2.10</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63.4%</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268</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1.47</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77.2%</w:t>
            </w:r>
          </w:p>
        </w:tc>
      </w:tr>
      <w:tr>
        <w:tc>
          <w:tcPr>
            <w:tcW w:type="dxa" w:w="23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FPTS EzTrade</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177</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2.18</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58.2%</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205</w:t>
            </w:r>
          </w:p>
        </w:tc>
        <w:tc>
          <w:tcPr>
            <w:tcW w:type="dxa" w:w="110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2.31</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50.2%</w:t>
            </w:r>
          </w:p>
        </w:tc>
      </w:tr>
    </w:tbl>
    <w:p>
      <w:pPr>
        <w:spacing w:after="200" w:before="90"/>
        <w:jc w:val="left"/>
      </w:pPr>
      <w:r>
        <w:rPr>
          <w:rFonts w:ascii="Times New Roman" w:cs="Times New Roman" w:eastAsia="Times New Roman" w:hAnsi="Times New Roman"/>
          <w:i/>
          <w:iCs/>
          <w:color w:val="3F3F3F"/>
          <w:sz w:val="19"/>
          <w:szCs w:val="19"/>
        </w:rPr>
        <w:t xml:space="preserve">Table A8. Cleaned reviews dated 1 January 2025 to 21 September 2026, the period all six series cover.</w:t>
      </w:r>
    </w:p>
    <w:p>
      <w:pPr>
        <w:spacing w:after="60" w:before="120"/>
        <w:jc w:val="center"/>
      </w:pPr>
      <w:r>
        <w:drawing>
          <wp:inline distT="0" distB="0" distL="0" distR="0">
            <wp:extent cx="51911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91125" cy="2428875"/>
                    </a:xfrm>
                    <a:prstGeom prst="rect">
                      <a:avLst/>
                    </a:prstGeom>
                  </pic:spPr>
                </pic:pic>
              </a:graphicData>
            </a:graphic>
          </wp:inline>
        </w:drawing>
      </w:r>
    </w:p>
    <w:p>
      <w:pPr>
        <w:spacing w:after="200"/>
        <w:jc w:val="left"/>
      </w:pPr>
      <w:r>
        <w:rPr>
          <w:rFonts w:ascii="Times New Roman" w:cs="Times New Roman" w:eastAsia="Times New Roman" w:hAnsi="Times New Roman"/>
          <w:i/>
          <w:iCs/>
          <w:color w:val="3F3F3F"/>
          <w:sz w:val="19"/>
          <w:szCs w:val="19"/>
        </w:rPr>
        <w:t xml:space="preserve">Figure A1. Google Play against the App Store, 2025 and 2026. Left, mean rating of cleaned reviews. Right, themes in DNSE's one and two star reviews; themes are not exclusive.</w:t>
      </w:r>
    </w:p>
    <w:tbl>
      <w:tblPr>
        <w:tblW w:type="dxa" w:w="9020"/>
        <w:tblBorders>
          <w:top w:val="single" w:color="000000" w:sz="6"/>
          <w:left w:val="none"/>
          <w:bottom w:val="single" w:color="000000" w:sz="6"/>
          <w:right w:val="none"/>
          <w:insideH w:val="single" w:color="B0B0B0" w:sz="2"/>
          <w:insideV w:val="none"/>
        </w:tblBorders>
      </w:tblPr>
      <w:tblGrid>
        <w:gridCol w:w="2700"/>
        <w:gridCol w:w="1250"/>
        <w:gridCol w:w="1250"/>
        <w:gridCol w:w="1250"/>
        <w:gridCol w:w="1250"/>
        <w:gridCol w:w="1320"/>
      </w:tblGrid>
      <w:tr>
        <w:trPr>
          <w:tblHeader/>
        </w:trPr>
        <w:tc>
          <w:tcPr>
            <w:tcW w:type="dxa" w:w="2700"/>
            <w:shd w:fill="E8E8E8" w:color="auto"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b/>
                <w:bCs/>
                <w:color w:val="000000"/>
                <w:sz w:val="16"/>
                <w:szCs w:val="16"/>
              </w:rPr>
              <w:t xml:space="preserve">Theme</w:t>
            </w:r>
          </w:p>
        </w:tc>
        <w:tc>
          <w:tcPr>
            <w:tcW w:type="dxa" w:w="12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Google Play, n</w:t>
            </w:r>
          </w:p>
        </w:tc>
        <w:tc>
          <w:tcPr>
            <w:tcW w:type="dxa" w:w="12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Google Play, share</w:t>
            </w:r>
          </w:p>
        </w:tc>
        <w:tc>
          <w:tcPr>
            <w:tcW w:type="dxa" w:w="12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App Store, n</w:t>
            </w:r>
          </w:p>
        </w:tc>
        <w:tc>
          <w:tcPr>
            <w:tcW w:type="dxa" w:w="125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App Store, share</w:t>
            </w:r>
          </w:p>
        </w:tc>
        <w:tc>
          <w:tcPr>
            <w:tcW w:type="dxa" w:w="1320"/>
            <w:shd w:fill="E8E8E8" w:color="auto" w:val="clear"/>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b/>
                <w:bCs/>
                <w:color w:val="000000"/>
                <w:sz w:val="16"/>
                <w:szCs w:val="16"/>
              </w:rPr>
              <w:t xml:space="preserve">Both stores, n</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Crashes, freezes, login failures</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32</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25.6%</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20</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37.7%</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52</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Accusation of deception</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34</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27.2%</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13.2%</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41</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Account opening and identity checks</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16.8%</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11</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20.8%</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32</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Sign-up bonus terms</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18</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14.4%</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5.7%</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21</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Deposits and withdrawals</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7.2%</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9.4%</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14</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Cannot close the account</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7</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5.6%</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1.9%</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8</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Arrived through a social referral</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2.4%</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1.9%</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Interface and charts</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1.6%</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3.8%</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4</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Charges differing from advertised</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2.4%</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0</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0.0%</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3</w:t>
            </w:r>
          </w:p>
        </w:tc>
      </w:tr>
      <w:tr>
        <w:tc>
          <w:tcPr>
            <w:tcW w:type="dxa" w:w="2700"/>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color w:val="000000"/>
                <w:sz w:val="17"/>
                <w:szCs w:val="17"/>
              </w:rPr>
              <w:t xml:space="preserve">ZaloPay linkage</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1.6%</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0</w:t>
            </w:r>
          </w:p>
        </w:tc>
        <w:tc>
          <w:tcPr>
            <w:tcW w:type="dxa" w:w="125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0.0%</w:t>
            </w:r>
          </w:p>
        </w:tc>
        <w:tc>
          <w:tcPr>
            <w:tcW w:type="dxa" w:w="1320"/>
            <w:tcMar>
              <w:top w:type="dxa" w:w="70"/>
              <w:left w:type="dxa" w:w="100"/>
              <w:bottom w:type="dxa" w:w="70"/>
              <w:right w:type="dxa" w:w="100"/>
            </w:tcMar>
            <w:vAlign w:val="center"/>
          </w:tcPr>
          <w:p>
            <w:pPr>
              <w:spacing w:after="0" w:line="260"/>
              <w:jc w:val="right"/>
            </w:pPr>
            <w:r>
              <w:rPr>
                <w:rFonts w:ascii="Times New Roman" w:cs="Times New Roman" w:eastAsia="Times New Roman" w:hAnsi="Times New Roman"/>
                <w:color w:val="000000"/>
                <w:sz w:val="17"/>
                <w:szCs w:val="17"/>
              </w:rPr>
              <w:t xml:space="preserve">2</w:t>
            </w:r>
          </w:p>
        </w:tc>
      </w:tr>
    </w:tbl>
    <w:p>
      <w:pPr>
        <w:spacing w:after="200" w:before="90"/>
        <w:jc w:val="left"/>
      </w:pPr>
      <w:r>
        <w:rPr>
          <w:rFonts w:ascii="Times New Roman" w:cs="Times New Roman" w:eastAsia="Times New Roman" w:hAnsi="Times New Roman"/>
          <w:i/>
          <w:iCs/>
          <w:color w:val="3F3F3F"/>
          <w:sz w:val="19"/>
          <w:szCs w:val="19"/>
        </w:rPr>
        <w:t xml:space="preserve">Table A9. Themes in DNSE's one and two star reviews, 2025 to 2026: 125 on Google Play and 53 on the App Store. Counted once per review, crashes, login or account opening appear in 37.6 and 50.9 per cent, and deception or bonus terms in 34.4 and 15.1 per cent.</w:t>
      </w:r>
    </w:p>
    <w:p>
      <w:r>
        <w:br w:type="page"/>
      </w:r>
    </w:p>
    <w:p>
      <w:pPr>
        <w:pStyle w:val="Heading1"/>
        <w:spacing w:after="160" w:before="340"/>
      </w:pPr>
      <w:r>
        <w:rPr>
          <w:rFonts w:ascii="Times New Roman" w:cs="Times New Roman" w:eastAsia="Times New Roman" w:hAnsi="Times New Roman"/>
          <w:b/>
          <w:bCs/>
          <w:color w:val="000000"/>
          <w:sz w:val="30"/>
          <w:szCs w:val="30"/>
        </w:rPr>
        <w:t xml:space="preserve">Appendix B. Method, assumptions and limitations</w:t>
      </w:r>
    </w:p>
    <w:p>
      <w:pPr>
        <w:pStyle w:val="Heading2"/>
        <w:spacing w:after="120" w:before="260"/>
      </w:pPr>
      <w:r>
        <w:rPr>
          <w:rFonts w:ascii="Times New Roman" w:cs="Times New Roman" w:eastAsia="Times New Roman" w:hAnsi="Times New Roman"/>
          <w:b/>
          <w:bCs/>
          <w:color w:val="000000"/>
          <w:sz w:val="25"/>
          <w:szCs w:val="25"/>
        </w:rPr>
        <w:t xml:space="preserve">B1. Definitions and units</w:t>
      </w:r>
    </w:p>
    <w:p>
      <w:pPr>
        <w:spacing w:after="160" w:line="300"/>
        <w:jc w:val="both"/>
      </w:pPr>
      <w:r>
        <w:rPr>
          <w:rFonts w:ascii="Times New Roman" w:cs="Times New Roman" w:eastAsia="Times New Roman" w:hAnsi="Times New Roman"/>
          <w:color w:val="000000"/>
          <w:sz w:val="23"/>
          <w:szCs w:val="23"/>
        </w:rPr>
        <w:t xml:space="preserve">All currency figures are Vietnamese dong unless stated. Market share on HOSE, HNX and the derivatives market is defined by each exchange as a share of traded value on that market alone, so a figure from one exchange is never compared with a figure from another. Lending balances are margin loans plus advances against sale proceeds, which is the basis on which Vietstock compiles the industry total of VND 453,800 billion. Press estimates of margin lending alone for the same date cluster near VND 445,000 billion, and DNSE's share is 1.39 per cent on the first basis and 1.42 per cent on the second. The 42 brokers with filings account for VND 345,309 billion of it, 76 per cent; the rest sits with brokers that do not file on the service.</w:t>
      </w:r>
    </w:p>
    <w:p>
      <w:pPr>
        <w:spacing w:after="160" w:line="300"/>
        <w:jc w:val="both"/>
      </w:pPr>
      <w:r>
        <w:rPr>
          <w:rFonts w:ascii="Times New Roman" w:cs="Times New Roman" w:eastAsia="Times New Roman" w:hAnsi="Times New Roman"/>
          <w:color w:val="000000"/>
          <w:sz w:val="23"/>
          <w:szCs w:val="23"/>
        </w:rPr>
        <w:t xml:space="preserve">Account share divides DNSE's 1.7 million accounts at 30 June 2026 by the 13,887,603 investor trading accounts on the VSDC counter on 24 September 2026. The later market date understates DNSE's share slightly. One investor may hold accounts at several firms, so both counts are accounts rather than people.</w:t>
      </w:r>
    </w:p>
    <w:p>
      <w:pPr>
        <w:pStyle w:val="Heading2"/>
        <w:spacing w:after="120" w:before="260"/>
      </w:pPr>
      <w:r>
        <w:rPr>
          <w:rFonts w:ascii="Times New Roman" w:cs="Times New Roman" w:eastAsia="Times New Roman" w:hAnsi="Times New Roman"/>
          <w:b/>
          <w:bCs/>
          <w:color w:val="000000"/>
          <w:sz w:val="25"/>
          <w:szCs w:val="25"/>
        </w:rPr>
        <w:t xml:space="preserve">B2. Assumptions stated</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Half-year figures add the two quarters for income and take the 30 June balance for stocks. The second quarter is the KPMG-reviewed half year less the first quarter, so its pre-tax profit of VND 97.4 billion is below the VND 98.9 billion first reported on 20 July 2026.</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Funding cost is estimated as interest expense plus template line 24 less the rise in the loan-loss allowance, because the securities-company template reports loan-loss provisions and the borrowing cost of the loan book as one line.</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DNSE's HOSE share is treated as below 2.94 per cent because the firm does not appear in the top ten and tenth place held 2.94 per cent. No point estimate is used.</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Segment population shares applied in Table A3 are recovered from the Findex estimates themselves. Each pair of segments splits all adults in two, so the national figure for any indicator is a weighted average of the two halves, which fixes the weights; the income pair comes back as its defined 40 and 60 per cent. They are applied to 80.6 million adults aged 15 and over.</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Market share is read from the exchanges' own announcements: 139 HNX notices from 2018 and every HOSE notice its news service holds. Quarters before DNSE entered a top ten carry only the tenth-place share, which bounds DNSE's share from above.</w:t>
      </w:r>
    </w:p>
    <w:p>
      <w:pPr>
        <w:pStyle w:val="ListParagraph"/>
        <w:numPr>
          <w:ilvl w:val="0"/>
          <w:numId w:val="3"/>
        </w:numPr>
        <w:spacing w:after="90" w:line="300"/>
      </w:pPr>
      <w:r>
        <w:rPr>
          <w:rFonts w:ascii="Times New Roman" w:cs="Times New Roman" w:eastAsia="Times New Roman" w:hAnsi="Times New Roman"/>
          <w:color w:val="000000"/>
          <w:sz w:val="23"/>
          <w:szCs w:val="23"/>
        </w:rPr>
        <w:t xml:space="preserve">Segment indices use unweighted means. Any weighting chosen after inspecting the data would be fitted to the conclusion, so none was applied.</w:t>
      </w:r>
    </w:p>
    <w:p>
      <w:pPr>
        <w:pStyle w:val="Heading2"/>
        <w:spacing w:after="120" w:before="260"/>
      </w:pPr>
      <w:r>
        <w:rPr>
          <w:rFonts w:ascii="Times New Roman" w:cs="Times New Roman" w:eastAsia="Times New Roman" w:hAnsi="Times New Roman"/>
          <w:b/>
          <w:bCs/>
          <w:color w:val="000000"/>
          <w:sz w:val="25"/>
          <w:szCs w:val="25"/>
        </w:rPr>
        <w:t xml:space="preserve">B3. Limitations</w:t>
      </w:r>
    </w:p>
    <w:p>
      <w:pPr>
        <w:spacing w:after="160" w:line="300"/>
        <w:jc w:val="both"/>
      </w:pPr>
      <w:r>
        <w:rPr>
          <w:rFonts w:ascii="Times New Roman" w:cs="Times New Roman" w:eastAsia="Times New Roman" w:hAnsi="Times New Roman"/>
          <w:color w:val="000000"/>
          <w:sz w:val="23"/>
          <w:szCs w:val="23"/>
        </w:rPr>
        <w:t xml:space="preserve">Four limitations affect the strength of the conclusions. Per-broker account counts are not published by any firm other than DNSE, so the account-to-activity comparison in Section 3.2 cannot be repeated for competitors and the finding rests on DNSE against the market average rather than against a named peer.</w:t>
      </w:r>
    </w:p>
    <w:p>
      <w:pPr>
        <w:spacing w:after="160" w:line="300"/>
        <w:jc w:val="both"/>
      </w:pPr>
      <w:r>
        <w:rPr>
          <w:rFonts w:ascii="Times New Roman" w:cs="Times New Roman" w:eastAsia="Times New Roman" w:hAnsi="Times New Roman"/>
          <w:color w:val="000000"/>
          <w:sz w:val="23"/>
          <w:szCs w:val="23"/>
        </w:rPr>
        <w:t xml:space="preserve">The funding cost in Section 4.4 is an estimate. Template line 24 holds loan-loss provisions and the borrowing cost of the loan book together, and the estimate removes the change in the balance-sheet allowance; write-offs would make it overstate funding cost and understate the net gain from extra lending.</w:t>
      </w:r>
    </w:p>
    <w:p>
      <w:pPr>
        <w:spacing w:after="160" w:line="300"/>
        <w:jc w:val="both"/>
      </w:pPr>
      <w:r>
        <w:rPr>
          <w:rFonts w:ascii="Times New Roman" w:cs="Times New Roman" w:eastAsia="Times New Roman" w:hAnsi="Times New Roman"/>
          <w:color w:val="000000"/>
          <w:sz w:val="23"/>
          <w:szCs w:val="23"/>
        </w:rPr>
        <w:t xml:space="preserve">App store reviews are self-selected and over-represent dissatisfied users, so the theme frequencies in Figure 5 describe the composition of complaints rather than the incidence of problems across the customer base. The peer comparison in Figure 6 mitigates this partially, because the same selection bias applies to all three applications under the same cleaning rule. The VPS sample is its 1,200 most recent reviews, back to 27 March 2023, so it is weighted toward recent years; the listing itself goes back further. Written reviews are also harsher than ratings as a whole: on the App Store DNSE averages 4.04 stars from 1,490 ratings, most given without text, against 2.94 in its cleaned written reviews. Apple's feed serves recent reviews only, so the App Store evidence is a cross-check rather than a second time series.</w:t>
      </w:r>
    </w:p>
    <w:p>
      <w:pPr>
        <w:spacing w:after="160" w:line="300"/>
        <w:jc w:val="both"/>
      </w:pPr>
      <w:r>
        <w:rPr>
          <w:rFonts w:ascii="Times New Roman" w:cs="Times New Roman" w:eastAsia="Times New Roman" w:hAnsi="Times New Roman"/>
          <w:color w:val="000000"/>
          <w:sz w:val="23"/>
          <w:szCs w:val="23"/>
        </w:rPr>
        <w:t xml:space="preserve">Findex segments are reported one dimension at a time, so the intersection identified in Section 4.2 is inferred from three separate rankings rather than measured directly. The microdata file would allow the intersection to be measured, and that is the first extension proposed for Round 3.</w:t>
      </w:r>
    </w:p>
    <w:p>
      <w:pPr>
        <w:pStyle w:val="Heading2"/>
        <w:spacing w:after="120" w:before="260"/>
      </w:pPr>
      <w:r>
        <w:rPr>
          <w:rFonts w:ascii="Times New Roman" w:cs="Times New Roman" w:eastAsia="Times New Roman" w:hAnsi="Times New Roman"/>
          <w:b/>
          <w:bCs/>
          <w:color w:val="000000"/>
          <w:sz w:val="25"/>
          <w:szCs w:val="25"/>
        </w:rPr>
        <w:t xml:space="preserve">B4. Accuracy checks performed</w:t>
      </w:r>
    </w:p>
    <w:p>
      <w:pPr>
        <w:spacing w:after="160" w:line="300"/>
        <w:jc w:val="both"/>
      </w:pPr>
      <w:r>
        <w:rPr>
          <w:rFonts w:ascii="Times New Roman" w:cs="Times New Roman" w:eastAsia="Times New Roman" w:hAnsi="Times New Roman"/>
          <w:color w:val="000000"/>
          <w:sz w:val="23"/>
          <w:szCs w:val="23"/>
        </w:rPr>
        <w:t xml:space="preserve">Every figure was traced to a primary disclosure or an exchange announcement. A verification pass against the first draft of this analysis corrected twelve figures. Three were material. An 8.8 per cent digital adoption rate belongs to micro enterprises and not to all small and medium enterprises. A count of 132.4 million biometric verifications measures customer records and not individuals. A share comparison set DNSE's Hanoi exchange position against competitor positions on the Ho Chi Minh exchange. That last error would have overstated the gap described in Section 3.2, and correcting it is why every market share figure in this report carries the name of its exchange.</w:t>
      </w:r>
    </w:p>
    <w:p>
      <w:pPr>
        <w:spacing w:after="160" w:line="300"/>
        <w:jc w:val="both"/>
      </w:pPr>
      <w:r>
        <w:rPr>
          <w:rFonts w:ascii="Times New Roman" w:cs="Times New Roman" w:eastAsia="Times New Roman" w:hAnsi="Times New Roman"/>
          <w:color w:val="000000"/>
          <w:sz w:val="23"/>
          <w:szCs w:val="23"/>
        </w:rPr>
        <w:t xml:space="preserve">DNSE's financial figures were replaced on 24 September 2026 by a line-by-line pull of its filed statements, checked against the reviewed half-year statements. The pull separated operating revenue, VND 1,457.9 billion for 2025, from the VND 1,467 billion total revenue in the annual report, which adds financial and other income; the 2026 plan is set on total revenue and is compared on that basis. It replaced first-half pre-tax profit of VND 113.1 billion with the reviewed VND 111.6 billion, and corrected investment income, which the earlier draft had taken from trading gains for 2025 and from held-to-maturity interest for 2026. It also dropped a press figure of 405 per cent growth in proprietary provisions that no line of the filings reproduces; the line it appears to describe mostly holds the borrowing cost of the loan book. Peer lending and profit were replaced by each listed firm's own filings, which moved SSI's second-quarter pre-tax profit from the press figure of VND 1,511 billion to VND 1,529 billion.</w:t>
      </w:r>
    </w:p>
    <w:p>
      <w:pPr>
        <w:spacing w:after="160" w:line="300"/>
        <w:jc w:val="both"/>
      </w:pPr>
      <w:r>
        <w:rPr>
          <w:rFonts w:ascii="Times New Roman" w:cs="Times New Roman" w:eastAsia="Times New Roman" w:hAnsi="Times New Roman"/>
          <w:color w:val="000000"/>
          <w:sz w:val="23"/>
          <w:szCs w:val="23"/>
        </w:rPr>
        <w:t xml:space="preserve">Company facts were checked against the 2025 annual report and the resolution and proposals of the 2026 annual general meeting. The annual report gave the account count, active customers and customer assets used here, which replace rounded press figures. The resolution showed that the meeting approved the acquisition of a fund management company, which an earlier draft reported as not approved, and it contains no approval of a digital asset stake or of carbon credit participation, which press coverage had attributed to the meeting; both were removed.</w:t>
      </w:r>
    </w:p>
    <w:p>
      <w:pPr>
        <w:spacing w:after="160" w:line="300"/>
        <w:jc w:val="both"/>
      </w:pPr>
      <w:r>
        <w:rPr>
          <w:rFonts w:ascii="Times New Roman" w:cs="Times New Roman" w:eastAsia="Times New Roman" w:hAnsi="Times New Roman"/>
          <w:color w:val="000000"/>
          <w:sz w:val="23"/>
          <w:szCs w:val="23"/>
        </w:rPr>
        <w:t xml:space="preserve">The review cleaning rules were revised on 23 September 2026 after an audit of the code. The referral rule had caught genuine complaints about one-time passwords, the duplicate rule had removed identical short reviews written by different people, and several theme keywords matched unrelated words once Vietnamese tone marks were removed. Every review figure in this report uses the revised rules, and re-running the previous rules on the same pull reproduces the earlier cleaning log exactly. Segment population shares were also recovered from the Findex estimates themselves in place of typed-in values, which moved adults with secondary education or more to first place in the priority ranking.</w:t>
      </w:r>
    </w:p>
    <w:p>
      <w:r>
        <w:br w:type="page"/>
      </w:r>
    </w:p>
    <w:p>
      <w:pPr>
        <w:pStyle w:val="Heading1"/>
        <w:spacing w:after="160" w:before="340"/>
      </w:pPr>
      <w:r>
        <w:rPr>
          <w:rFonts w:ascii="Times New Roman" w:cs="Times New Roman" w:eastAsia="Times New Roman" w:hAnsi="Times New Roman"/>
          <w:b/>
          <w:bCs/>
          <w:color w:val="000000"/>
          <w:sz w:val="30"/>
          <w:szCs w:val="30"/>
        </w:rPr>
        <w:t xml:space="preserve">References</w:t>
      </w:r>
    </w:p>
    <w:p>
      <w:pPr>
        <w:spacing w:after="130" w:line="280"/>
        <w:ind w:left="420" w:hanging="420"/>
      </w:pPr>
      <w:r>
        <w:rPr>
          <w:rFonts w:ascii="Times New Roman" w:cs="Times New Roman" w:eastAsia="Times New Roman" w:hAnsi="Times New Roman"/>
          <w:color w:val="000000"/>
          <w:sz w:val="21"/>
          <w:szCs w:val="21"/>
        </w:rPr>
        <w:t xml:space="preserve">Apple Inc. (2026) App Store customer reviews, Vietnam storefront, for Entrade X by DNSE, VPS SmartOne and FPTS EzTrade. Public review feed, retrieved 24 September 2026.</w:t>
      </w:r>
    </w:p>
    <w:p>
      <w:pPr>
        <w:spacing w:after="130" w:line="280"/>
        <w:ind w:left="420" w:hanging="420"/>
      </w:pPr>
      <w:r>
        <w:rPr>
          <w:rFonts w:ascii="Times New Roman" w:cs="Times New Roman" w:eastAsia="Times New Roman" w:hAnsi="Times New Roman"/>
          <w:color w:val="000000"/>
          <w:sz w:val="21"/>
          <w:szCs w:val="21"/>
        </w:rPr>
        <w:t xml:space="preserve">DNSE Securities Joint Stock Company (2026) Financial statements for the second quarter of 2026, 20 July 2026, and interim financial statements for the six months to 30 June 2026, reviewed by KPMG, 14 August 2026. Hanoi.</w:t>
      </w:r>
    </w:p>
    <w:p>
      <w:pPr>
        <w:spacing w:after="130" w:line="280"/>
        <w:ind w:left="420" w:hanging="420"/>
      </w:pPr>
      <w:r>
        <w:rPr>
          <w:rFonts w:ascii="Times New Roman" w:cs="Times New Roman" w:eastAsia="Times New Roman" w:hAnsi="Times New Roman"/>
          <w:color w:val="000000"/>
          <w:sz w:val="21"/>
          <w:szCs w:val="21"/>
        </w:rPr>
        <w:t xml:space="preserve">DNSE Securities Joint Stock Company (2026) Resolution 01/2026/NQ-DNSE-DHDCD of the 2026 annual general meeting of shareholders, 26 March 2026, and the proposals submitted to it, 23 March 2026. Hanoi.</w:t>
      </w:r>
    </w:p>
    <w:p>
      <w:pPr>
        <w:spacing w:after="130" w:line="280"/>
        <w:ind w:left="420" w:hanging="420"/>
      </w:pPr>
      <w:r>
        <w:rPr>
          <w:rFonts w:ascii="Times New Roman" w:cs="Times New Roman" w:eastAsia="Times New Roman" w:hAnsi="Times New Roman"/>
          <w:color w:val="000000"/>
          <w:sz w:val="21"/>
          <w:szCs w:val="21"/>
        </w:rPr>
        <w:t xml:space="preserve">DNSE Securities Joint Stock Company (2026) Annual report 2025. Hanoi.</w:t>
      </w:r>
    </w:p>
    <w:p>
      <w:pPr>
        <w:spacing w:after="130" w:line="280"/>
        <w:ind w:left="420" w:hanging="420"/>
      </w:pPr>
      <w:r>
        <w:rPr>
          <w:rFonts w:ascii="Times New Roman" w:cs="Times New Roman" w:eastAsia="Times New Roman" w:hAnsi="Times New Roman"/>
          <w:color w:val="000000"/>
          <w:sz w:val="21"/>
          <w:szCs w:val="21"/>
        </w:rPr>
        <w:t xml:space="preserve">FiinRatings (2026) Vietnam banking sector outlook 2026. Hanoi.</w:t>
      </w:r>
    </w:p>
    <w:p>
      <w:pPr>
        <w:spacing w:after="130" w:line="280"/>
        <w:ind w:left="420" w:hanging="420"/>
      </w:pPr>
      <w:r>
        <w:rPr>
          <w:rFonts w:ascii="Times New Roman" w:cs="Times New Roman" w:eastAsia="Times New Roman" w:hAnsi="Times New Roman"/>
          <w:color w:val="000000"/>
          <w:sz w:val="21"/>
          <w:szCs w:val="21"/>
        </w:rPr>
        <w:t xml:space="preserve">Google LLC (2026) Google Play reviews, Vietnam, for Entrade X, VPS SmartOne and FPTS EzTrade. Retrieved 23 September 2026.</w:t>
      </w:r>
    </w:p>
    <w:p>
      <w:pPr>
        <w:spacing w:after="130" w:line="280"/>
        <w:ind w:left="420" w:hanging="420"/>
      </w:pPr>
      <w:r>
        <w:rPr>
          <w:rFonts w:ascii="Times New Roman" w:cs="Times New Roman" w:eastAsia="Times New Roman" w:hAnsi="Times New Roman"/>
          <w:color w:val="000000"/>
          <w:sz w:val="21"/>
          <w:szCs w:val="21"/>
        </w:rPr>
        <w:t xml:space="preserve">Hanoi Stock Exchange (2018 to 2026) Brokerage market share of the ten largest securities companies, listed shares, UPCoM and derivatives, quarterly announcements from the fourth quarter of 2017 to the second quarter of 2026.</w:t>
      </w:r>
    </w:p>
    <w:p>
      <w:pPr>
        <w:spacing w:after="130" w:line="280"/>
        <w:ind w:left="420" w:hanging="420"/>
      </w:pPr>
      <w:r>
        <w:rPr>
          <w:rFonts w:ascii="Times New Roman" w:cs="Times New Roman" w:eastAsia="Times New Roman" w:hAnsi="Times New Roman"/>
          <w:color w:val="000000"/>
          <w:sz w:val="21"/>
          <w:szCs w:val="21"/>
        </w:rPr>
        <w:t xml:space="preserve">Ho Chi Minh Stock Exchange (2019 to 2026) Brokerage market share of the ten largest securities companies, quarterly announcements, 2023 to the second quarter of 2026 and the fourth quarter of 2018 to the first quarter of 2019.</w:t>
      </w:r>
    </w:p>
    <w:p>
      <w:pPr>
        <w:spacing w:after="130" w:line="280"/>
        <w:ind w:left="420" w:hanging="420"/>
      </w:pPr>
      <w:r>
        <w:rPr>
          <w:rFonts w:ascii="Times New Roman" w:cs="Times New Roman" w:eastAsia="Times New Roman" w:hAnsi="Times New Roman"/>
          <w:color w:val="000000"/>
          <w:sz w:val="21"/>
          <w:szCs w:val="21"/>
        </w:rPr>
        <w:t xml:space="preserve">KPMG (2025) Vietnam 2026 outlook. October 2025.</w:t>
      </w:r>
    </w:p>
    <w:p>
      <w:pPr>
        <w:spacing w:after="130" w:line="280"/>
        <w:ind w:left="420" w:hanging="420"/>
      </w:pPr>
      <w:r>
        <w:rPr>
          <w:rFonts w:ascii="Times New Roman" w:cs="Times New Roman" w:eastAsia="Times New Roman" w:hAnsi="Times New Roman"/>
          <w:color w:val="000000"/>
          <w:sz w:val="21"/>
          <w:szCs w:val="21"/>
        </w:rPr>
        <w:t xml:space="preserve">London Stock Exchange Group (2026) FTSE Russell interim country classification review and Vietnam reclassification, effective 21 September 2026.</w:t>
      </w:r>
    </w:p>
    <w:p>
      <w:pPr>
        <w:spacing w:after="130" w:line="280"/>
        <w:ind w:left="420" w:hanging="420"/>
      </w:pPr>
      <w:r>
        <w:rPr>
          <w:rFonts w:ascii="Times New Roman" w:cs="Times New Roman" w:eastAsia="Times New Roman" w:hAnsi="Times New Roman"/>
          <w:color w:val="000000"/>
          <w:sz w:val="21"/>
          <w:szCs w:val="21"/>
        </w:rPr>
        <w:t xml:space="preserve">National Statistics Office of Vietnam (2026) Socio-economic performance in the second quarter and first half of 2026. Hanoi.</w:t>
      </w:r>
    </w:p>
    <w:p>
      <w:pPr>
        <w:spacing w:after="130" w:line="280"/>
        <w:ind w:left="420" w:hanging="420"/>
      </w:pPr>
      <w:r>
        <w:rPr>
          <w:rFonts w:ascii="Times New Roman" w:cs="Times New Roman" w:eastAsia="Times New Roman" w:hAnsi="Times New Roman"/>
          <w:color w:val="000000"/>
          <w:sz w:val="21"/>
          <w:szCs w:val="21"/>
        </w:rPr>
        <w:t xml:space="preserve">State Bank of Vietnam (2026) Payment system statistics and biometric verification data, first half of 2026.</w:t>
      </w:r>
    </w:p>
    <w:p>
      <w:pPr>
        <w:spacing w:after="130" w:line="280"/>
        <w:ind w:left="420" w:hanging="420"/>
      </w:pPr>
      <w:r>
        <w:rPr>
          <w:rFonts w:ascii="Times New Roman" w:cs="Times New Roman" w:eastAsia="Times New Roman" w:hAnsi="Times New Roman"/>
          <w:color w:val="000000"/>
          <w:sz w:val="21"/>
          <w:szCs w:val="21"/>
        </w:rPr>
        <w:t xml:space="preserve">UOB, PwC Singapore and the Singapore FinTech Association (2025) FinTech in ASEAN 2025.</w:t>
      </w:r>
    </w:p>
    <w:p>
      <w:pPr>
        <w:spacing w:after="130" w:line="280"/>
        <w:ind w:left="420" w:hanging="420"/>
      </w:pPr>
      <w:r>
        <w:rPr>
          <w:rFonts w:ascii="Times New Roman" w:cs="Times New Roman" w:eastAsia="Times New Roman" w:hAnsi="Times New Roman"/>
          <w:color w:val="000000"/>
          <w:sz w:val="21"/>
          <w:szCs w:val="21"/>
        </w:rPr>
        <w:t xml:space="preserve">Vietcap Securities (2026) IQ Insight financial statement data for DSE and every securities company it covers, first quarter of 2018 to second quarter of 2026, and daily index and futures prices. Retrieved 24 September 2026 and 25 September 2026.</w:t>
      </w:r>
    </w:p>
    <w:p>
      <w:pPr>
        <w:spacing w:after="130" w:line="280"/>
        <w:ind w:left="420" w:hanging="420"/>
      </w:pPr>
      <w:r>
        <w:rPr>
          <w:rFonts w:ascii="Times New Roman" w:cs="Times New Roman" w:eastAsia="Times New Roman" w:hAnsi="Times New Roman"/>
          <w:color w:val="000000"/>
          <w:sz w:val="21"/>
          <w:szCs w:val="21"/>
        </w:rPr>
        <w:t xml:space="preserve">Vietnam Securities Depository and Clearing Corporation (2019 to 2026) Annual reports 2018 to 2025, and the investor account counter at vsd.vn, retrieved 24 September 2026.</w:t>
      </w:r>
    </w:p>
    <w:p>
      <w:pPr>
        <w:spacing w:after="130" w:line="280"/>
        <w:ind w:left="420" w:hanging="420"/>
      </w:pPr>
      <w:r>
        <w:rPr>
          <w:rFonts w:ascii="Times New Roman" w:cs="Times New Roman" w:eastAsia="Times New Roman" w:hAnsi="Times New Roman"/>
          <w:color w:val="000000"/>
          <w:sz w:val="21"/>
          <w:szCs w:val="21"/>
        </w:rPr>
        <w:t xml:space="preserve">Vietstock (2026) Margin lending reaches a record VND 454 trillion, with divergence across the field. July 2026.</w:t>
      </w:r>
    </w:p>
    <w:p>
      <w:pPr>
        <w:spacing w:after="130" w:line="280"/>
        <w:ind w:left="420" w:hanging="420"/>
      </w:pPr>
      <w:r>
        <w:rPr>
          <w:rFonts w:ascii="Times New Roman" w:cs="Times New Roman" w:eastAsia="Times New Roman" w:hAnsi="Times New Roman"/>
          <w:color w:val="000000"/>
          <w:sz w:val="21"/>
          <w:szCs w:val="21"/>
        </w:rPr>
        <w:t xml:space="preserve">The Investor (2026) FTSE Russell names 32 Vietnamese stocks eligible for emerging-market index inclusion. 8 April 2026.</w:t>
      </w:r>
    </w:p>
    <w:p>
      <w:pPr>
        <w:spacing w:after="130" w:line="280"/>
        <w:ind w:left="420" w:hanging="420"/>
      </w:pPr>
      <w:r>
        <w:rPr>
          <w:rFonts w:ascii="Times New Roman" w:cs="Times New Roman" w:eastAsia="Times New Roman" w:hAnsi="Times New Roman"/>
          <w:color w:val="000000"/>
          <w:sz w:val="21"/>
          <w:szCs w:val="21"/>
        </w:rPr>
        <w:t xml:space="preserve">World Bank (2025) The Global Findex Database 2025: connectivity and financial inclusion in the digital economy. Washington DC. Vietnam indicators retrieved from the World Bank open data interface, source 28, on 20 September 2026.</w:t>
      </w:r>
    </w:p>
    <w:p>
      <w:pPr>
        <w:spacing w:after="130" w:line="280"/>
        <w:ind w:left="420" w:hanging="420"/>
      </w:pPr>
      <w:r>
        <w:rPr>
          <w:rFonts w:ascii="Times New Roman" w:cs="Times New Roman" w:eastAsia="Times New Roman" w:hAnsi="Times New Roman"/>
          <w:color w:val="000000"/>
          <w:sz w:val="21"/>
          <w:szCs w:val="21"/>
        </w:rPr>
        <w:t xml:space="preserve">World Bank (2025) Viet Nam: Global Findex 2025 microdata, reference VNM_2024_FINDEX_v02_M. Microdata Library, catalogue entry 7998.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dde85459a5417ad34e15292edd6e8770dfcf5ac.png"/><Relationship Id="rId9" Type="http://schemas.openxmlformats.org/officeDocument/2006/relationships/image" Target="media/55c6c3f9dc5134da891be4f6b5f23b9d670e92fd.png"/><Relationship Id="rId10" Type="http://schemas.openxmlformats.org/officeDocument/2006/relationships/image" Target="media/0f1a3e8a1da3cf1b47429461bded0119ada38457.png"/><Relationship Id="rId11" Type="http://schemas.openxmlformats.org/officeDocument/2006/relationships/image" Target="media/7ed167bdacb4a94187c58e430275e400e9d9cf4c.png"/><Relationship Id="rId12" Type="http://schemas.openxmlformats.org/officeDocument/2006/relationships/image" Target="media/f3feac313a3fba8c4256c1e333c7a5ff199ddd88.png"/><Relationship Id="rId13" Type="http://schemas.openxmlformats.org/officeDocument/2006/relationships/image" Target="media/46a93f9e5c8da5d0edaa23c4dda3d75dbfb4fdf8.png"/><Relationship Id="rId14" Type="http://schemas.openxmlformats.org/officeDocument/2006/relationships/image" Target="media/82a51b42e860750a58281f07cdd14958933645be.png"/><Relationship Id="rId15" Type="http://schemas.openxmlformats.org/officeDocument/2006/relationships/image" Target="media/b42a89c46ca898670fcc78fa5d1743d5fcce3c30.png"/><Relationship Id="rId16" Type="http://schemas.openxmlformats.org/officeDocument/2006/relationships/image" Target="media/9c4f92e6cc256db9a1c1d56d3796ea850a8d1510.png"/><Relationship Id="rId17" Type="http://schemas.openxmlformats.org/officeDocument/2006/relationships/image" Target="media/3657dd42b81d3d236f417a81d0184db7b660bb7d.png"/><Relationship Id="rId18" Type="http://schemas.openxmlformats.org/officeDocument/2006/relationships/image" Target="media/cb5ba69d107a8860623c49eaa5983e34b37a2a35.png"/><Relationship Id="rId19" Type="http://schemas.openxmlformats.org/officeDocument/2006/relationships/image" Target="media/2719d08f15dbfa7a3a34bb89622ca01d23a8e2b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without activation: DNSE Securities</dc:title>
  <dc:creator>FBA Season 6 Round 2</dc:creator>
  <cp:lastModifiedBy>Un-named</cp:lastModifiedBy>
  <cp:revision>1</cp:revision>
  <dcterms:created xsi:type="dcterms:W3CDTF">2026-09-25T08:55:10.395Z</dcterms:created>
  <dcterms:modified xsi:type="dcterms:W3CDTF">2026-09-25T08:55:10.396Z</dcterms:modified>
</cp:coreProperties>
</file>

<file path=docProps/custom.xml><?xml version="1.0" encoding="utf-8"?>
<Properties xmlns="http://schemas.openxmlformats.org/officeDocument/2006/custom-properties" xmlns:vt="http://schemas.openxmlformats.org/officeDocument/2006/docPropsVTypes"/>
</file>