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is one of Vietnam's most effective acquirers of investors. It opened 518,514 accounts in 2025, 19 per cent of all accounts opened in the country, held 12.7 per cent of Vietnam's securities accounts at the end of the year and handled a quarter of derivatives brokerage in the second quarter of 2026. Zero-fee trading on the Entrade X app, no branch network and fast technology made this possible.</w:t>
      </w:r>
    </w:p>
    <w:p>
      <w:pPr>
        <w:spacing w:after="120" w:line="276"/>
        <w:jc w:val="both"/>
      </w:pPr>
      <w:r>
        <w:rPr>
          <w:rFonts w:ascii="Calibri" w:cs="Calibri" w:eastAsia="Calibri" w:hAnsi="Calibri"/>
          <w:color w:val="000000"/>
          <w:sz w:val="22"/>
          <w:szCs w:val="22"/>
        </w:rPr>
        <w:t xml:space="preserve">The money has not followed the accounts. At 30 June 2026 DNSE held 2.3 to 3.5 per cent of the cash that investors keep at brokers, 1.4 to 1.8 per cent of margin lending and 0.6 to 0.8 per cent of the industry's quarterly pre-tax profit; each range runs from a press tally of all brokers to the sum of 42 filed statements. Only 5.7 per cent of accounts used any DNSE product in December 2025, and customer assets per account fell 9.5 per cent in 2025 while all three exchange indices rose. The gap is specific to DNSE. VPS, which has no parent bank, lends five times as much per account, and TCBS, which is also zero-fee and online, lends twelve times as much, with about a third of its customers trading each month.</w:t>
      </w:r>
    </w:p>
    <w:p>
      <w:pPr>
        <w:spacing w:after="120" w:line="276"/>
        <w:jc w:val="both"/>
      </w:pPr>
      <w:r>
        <w:rPr>
          <w:rFonts w:ascii="Calibri" w:cs="Calibri" w:eastAsia="Calibri" w:hAnsi="Calibri"/>
          <w:color w:val="000000"/>
          <w:sz w:val="22"/>
          <w:szCs w:val="22"/>
        </w:rPr>
        <w:t xml:space="preserve">The income statement shows the cost. Operating revenue rose 3.2 times between 2022 and 2025, while pre-tax profit excluding proprietary trading stayed between VND 128 and 221 billion a year. In the first half of 2026 each extra VND 100 of core revenue came with VND 102 of extra cost. The filings show where it went: 52 per cent to funding, 42 per cent to direct brokerage cost and only 6 per cent to administration, which includes staff and technology. Brokerage has cost more than it earned for 16 consecutive quarters, and DNSE's brokerage loss in the first half of 2026 was the largest among 42 brokers. DNSE's cost of funds is in line with bank-owned peers. What is unusual is that 38 per cent of its assets sit in term deposits and bonds, 93 per cent of them pledged to banks, that earn about what they cost, while margin lending, its widest margin, uses 116 per cent of equity against a 200 per cent ceiling. The constraint is customer money, not capital or technology.</w:t>
      </w:r>
    </w:p>
    <w:p>
      <w:pPr>
        <w:spacing w:after="120" w:line="276"/>
        <w:jc w:val="both"/>
      </w:pPr>
      <w:r>
        <w:rPr>
          <w:rFonts w:ascii="Calibri" w:cs="Calibri" w:eastAsia="Calibri" w:hAnsi="Calibri"/>
          <w:color w:val="000000"/>
          <w:sz w:val="22"/>
          <w:szCs w:val="22"/>
        </w:rPr>
        <w:t xml:space="preserve">Two causes are measured. DNSE's idle-cash account pays a typical customer 2.1 to 2.3 per cent, against 6.0 per cent at TCBS for the same balance from VND 5 million, and derivatives build market share without building balances at the broker. Two more are hypotheses for Round 3: reward-driven sign-ups, which dominate the most-endorsed complaints, and targets that reward acquisition rather than balances. Conditions raise the stakes. Deposit rates rose about 2.5 points in 2026, cash at brokers fell by more than a third in three quarters, and bank-owned brokers supplied more than half of the industry's lending growth in the second quarter.</w:t>
      </w:r>
    </w:p>
    <w:p>
      <w:pPr>
        <w:spacing w:after="120" w:line="276"/>
        <w:jc w:val="both"/>
      </w:pPr>
      <w:r>
        <w:rPr>
          <w:rFonts w:ascii="Calibri" w:cs="Calibri" w:eastAsia="Calibri" w:hAnsi="Calibri"/>
          <w:color w:val="000000"/>
          <w:sz w:val="22"/>
          <w:szCs w:val="22"/>
        </w:rPr>
        <w:t xml:space="preserve">The priority problem is therefore the balance gap: accounts that are opened but never funded with meaningful savings. It ranks first of seven candidate problems on scale, urgency, strategic relevance, strength of evidence and DNSE's control. Reaching the 2026 profit plan from lending would need a loan book 2.3 times the current one.</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adults of roughly 22 to 40, starting with working customers already in DNSE's base. It moves money on payday through ZaloPay and bank open interfaces, pays a market-linked yield through a partner bank or money market fund, ladders savings into bond funds, Trứng Vàng bonds and VN30 exchange-traded funds, and allows opt-in use of the portfolio as margin collateral. A trust layer removes the closure fee, pays rewards on funding rather than sign-up and reports the product to the regulator before launch. In the base case 150,000 savers would build VND 4.7 trillion of balances within 18 months, 2.4 times DNSE's investor cash today. Three quick wins run alongside: repricing the idle-cash account, reviewing the per-trade costs DNSE absorbs and reactivating dormant accounts.</w:t>
      </w:r>
    </w:p>
    <w:p>
      <w:pPr>
        <w:spacing w:after="120" w:line="276"/>
        <w:jc w:val="both"/>
      </w:pPr>
      <w:r>
        <w:rPr>
          <w:rFonts w:ascii="Calibri" w:cs="Calibri" w:eastAsia="Calibri" w:hAnsi="Calibri"/>
          <w:color w:val="000000"/>
          <w:sz w:val="22"/>
          <w:szCs w:val="22"/>
        </w:rPr>
        <w:t xml:space="preserve">Round 3 should test seven assumptions before commitment, led by the distribution of balances by cohort, customers' response to the cash yield, the legal structure of the cash layer and enrolment in a 20,000-customer payday pilot.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w:t>
        <w:tab/>
        <w:t>2</w:t>
      </w:r>
    </w:p>
    <w:p>
      <w:pPr>
        <w:tabs>
          <w:tab w:val="right" w:pos="9026" w:leader="dot"/>
        </w:tabs>
        <w:spacing w:after="60" w:before="60"/>
        <w:ind w:left="0" w:right="0"/>
      </w:pPr>
      <w:r>
        <w:rPr>
          <w:rFonts w:ascii="Calibri" w:cs="Calibri" w:eastAsia="Calibri" w:hAnsi="Calibri"/>
          <w:color w:val="000000"/>
          <w:sz w:val="21"/>
          <w:szCs w:val="21"/>
        </w:rPr>
        <w:t xml:space="preserve">1. Introduction</w:t>
        <w:tab/>
        <w:t>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w:t>
        <w:tab/>
        <w:t>7</w:t>
      </w:r>
    </w:p>
    <w:p>
      <w:pPr>
        <w:tabs>
          <w:tab w:val="right" w:pos="9026" w:leader="dot"/>
        </w:tabs>
        <w:spacing w:after="30" w:before="0"/>
        <w:ind w:left="360" w:right="0"/>
      </w:pPr>
      <w:r>
        <w:rPr>
          <w:rFonts w:ascii="Calibri" w:cs="Calibri" w:eastAsia="Calibri" w:hAnsi="Calibri"/>
          <w:color w:val="000000"/>
          <w:sz w:val="21"/>
          <w:szCs w:val="21"/>
        </w:rPr>
        <w:t xml:space="preserve">1.2 Market context</w:t>
        <w:tab/>
        <w:t>7</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w:t>
        <w:tab/>
        <w:t>7</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w:t>
        <w:tab/>
        <w:t>8</w:t>
      </w:r>
    </w:p>
    <w:p>
      <w:pPr>
        <w:tabs>
          <w:tab w:val="right" w:pos="9026" w:leader="dot"/>
        </w:tabs>
        <w:spacing w:after="30" w:before="0"/>
        <w:ind w:left="360" w:right="0"/>
      </w:pPr>
      <w:r>
        <w:rPr>
          <w:rFonts w:ascii="Calibri" w:cs="Calibri" w:eastAsia="Calibri" w:hAnsi="Calibri"/>
          <w:color w:val="000000"/>
          <w:sz w:val="21"/>
          <w:szCs w:val="21"/>
        </w:rPr>
        <w:t xml:space="preserve">2.1 Evidence base and approach</w:t>
        <w:tab/>
        <w:t>8</w:t>
      </w:r>
    </w:p>
    <w:p>
      <w:pPr>
        <w:tabs>
          <w:tab w:val="right" w:pos="9026" w:leader="dot"/>
        </w:tabs>
        <w:spacing w:after="30" w:before="0"/>
        <w:ind w:left="360" w:right="0"/>
      </w:pPr>
      <w:r>
        <w:rPr>
          <w:rFonts w:ascii="Calibri" w:cs="Calibri" w:eastAsia="Calibri" w:hAnsi="Calibri"/>
          <w:color w:val="000000"/>
          <w:sz w:val="21"/>
          <w:szCs w:val="21"/>
        </w:rPr>
        <w:t xml:space="preserve">2.2 Finding 1. DNSE wins accounts but not money</w:t>
        <w:tab/>
        <w:t>8</w:t>
      </w:r>
    </w:p>
    <w:p>
      <w:pPr>
        <w:tabs>
          <w:tab w:val="right" w:pos="9026" w:leader="dot"/>
        </w:tabs>
        <w:spacing w:after="30" w:before="0"/>
        <w:ind w:left="360" w:right="0"/>
      </w:pPr>
      <w:r>
        <w:rPr>
          <w:rFonts w:ascii="Calibri" w:cs="Calibri" w:eastAsia="Calibri" w:hAnsi="Calibri"/>
          <w:color w:val="000000"/>
          <w:sz w:val="21"/>
          <w:szCs w:val="21"/>
        </w:rPr>
        <w:t xml:space="preserve">2.3 Finding 2. The gap is specific to DNSE</w:t>
        <w:tab/>
        <w:t>9</w:t>
      </w:r>
    </w:p>
    <w:p>
      <w:pPr>
        <w:tabs>
          <w:tab w:val="right" w:pos="9026" w:leader="dot"/>
        </w:tabs>
        <w:spacing w:after="30" w:before="0"/>
        <w:ind w:left="360" w:right="0"/>
      </w:pPr>
      <w:r>
        <w:rPr>
          <w:rFonts w:ascii="Calibri" w:cs="Calibri" w:eastAsia="Calibri" w:hAnsi="Calibri"/>
          <w:color w:val="000000"/>
          <w:sz w:val="21"/>
          <w:szCs w:val="21"/>
        </w:rPr>
        <w:t xml:space="preserve">2.4 Finding 3. Revenue grows while core profit stands still</w:t>
        <w:tab/>
        <w:t>9</w:t>
      </w:r>
    </w:p>
    <w:p>
      <w:pPr>
        <w:tabs>
          <w:tab w:val="right" w:pos="9026" w:leader="dot"/>
        </w:tabs>
        <w:spacing w:after="30" w:before="0"/>
        <w:ind w:left="360" w:right="0"/>
      </w:pPr>
      <w:r>
        <w:rPr>
          <w:rFonts w:ascii="Calibri" w:cs="Calibri" w:eastAsia="Calibri" w:hAnsi="Calibri"/>
          <w:color w:val="000000"/>
          <w:sz w:val="21"/>
          <w:szCs w:val="21"/>
        </w:rPr>
        <w:t xml:space="preserve">2.5 Finding 4. Brokerage and funding absorb the growth</w:t>
        <w:tab/>
        <w:t>10</w:t>
      </w:r>
    </w:p>
    <w:p>
      <w:pPr>
        <w:tabs>
          <w:tab w:val="right" w:pos="9026" w:leader="dot"/>
        </w:tabs>
        <w:spacing w:after="30" w:before="0"/>
        <w:ind w:left="360" w:right="0"/>
      </w:pPr>
      <w:r>
        <w:rPr>
          <w:rFonts w:ascii="Calibri" w:cs="Calibri" w:eastAsia="Calibri" w:hAnsi="Calibri"/>
          <w:color w:val="000000"/>
          <w:sz w:val="21"/>
          <w:szCs w:val="21"/>
        </w:rPr>
        <w:t xml:space="preserve">2.6 Finding 5. Capital is not the constraint</w:t>
        <w:tab/>
        <w:t>11</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w:t>
        <w:tab/>
        <w:t>12</w:t>
      </w:r>
    </w:p>
    <w:p>
      <w:pPr>
        <w:tabs>
          <w:tab w:val="right" w:pos="9026" w:leader="dot"/>
        </w:tabs>
        <w:spacing w:after="30" w:before="0"/>
        <w:ind w:left="360" w:right="0"/>
      </w:pPr>
      <w:r>
        <w:rPr>
          <w:rFonts w:ascii="Calibri" w:cs="Calibri" w:eastAsia="Calibri" w:hAnsi="Calibri"/>
          <w:color w:val="000000"/>
          <w:sz w:val="21"/>
          <w:szCs w:val="21"/>
        </w:rPr>
        <w:t xml:space="preserve">3.1 Why the money does not stay</w:t>
        <w:tab/>
        <w:t>12</w:t>
      </w:r>
    </w:p>
    <w:p>
      <w:pPr>
        <w:tabs>
          <w:tab w:val="right" w:pos="9026" w:leader="dot"/>
        </w:tabs>
        <w:spacing w:after="30" w:before="0"/>
        <w:ind w:left="360" w:right="0"/>
      </w:pPr>
      <w:r>
        <w:rPr>
          <w:rFonts w:ascii="Calibri" w:cs="Calibri" w:eastAsia="Calibri" w:hAnsi="Calibri"/>
          <w:color w:val="000000"/>
          <w:sz w:val="21"/>
          <w:szCs w:val="21"/>
        </w:rPr>
        <w:t xml:space="preserve">3.2 Market and customer context</w:t>
        <w:tab/>
        <w:t>12</w:t>
      </w:r>
    </w:p>
    <w:p>
      <w:pPr>
        <w:tabs>
          <w:tab w:val="right" w:pos="9026" w:leader="dot"/>
        </w:tabs>
        <w:spacing w:after="30" w:before="0"/>
        <w:ind w:left="360" w:right="0"/>
      </w:pPr>
      <w:r>
        <w:rPr>
          <w:rFonts w:ascii="Calibri" w:cs="Calibri" w:eastAsia="Calibri" w:hAnsi="Calibri"/>
          <w:color w:val="000000"/>
          <w:sz w:val="21"/>
          <w:szCs w:val="21"/>
        </w:rPr>
        <w:t xml:space="preserve">3.3 Lessons from comparable firms abroad</w:t>
        <w:tab/>
        <w:t>12</w:t>
      </w:r>
    </w:p>
    <w:p>
      <w:pPr>
        <w:tabs>
          <w:tab w:val="right" w:pos="9026" w:leader="dot"/>
        </w:tabs>
        <w:spacing w:after="30" w:before="0"/>
        <w:ind w:left="360" w:right="0"/>
      </w:pPr>
      <w:r>
        <w:rPr>
          <w:rFonts w:ascii="Calibri" w:cs="Calibri" w:eastAsia="Calibri" w:hAnsi="Calibri"/>
          <w:color w:val="000000"/>
          <w:sz w:val="21"/>
          <w:szCs w:val="21"/>
        </w:rPr>
        <w:t xml:space="preserve">3.4 Target market, priority problem and problem statement</w:t>
        <w:tab/>
        <w:t>13</w:t>
      </w:r>
    </w:p>
    <w:p>
      <w:pPr>
        <w:tabs>
          <w:tab w:val="right" w:pos="9026" w:leader="dot"/>
        </w:tabs>
        <w:spacing w:after="30" w:before="0"/>
        <w:ind w:left="360" w:right="0"/>
      </w:pPr>
      <w:r>
        <w:rPr>
          <w:rFonts w:ascii="Calibri" w:cs="Calibri" w:eastAsia="Calibri" w:hAnsi="Calibri"/>
          <w:color w:val="000000"/>
          <w:sz w:val="21"/>
          <w:szCs w:val="21"/>
        </w:rPr>
        <w:t xml:space="preserve">3.5 Strategic alternatives</w:t>
        <w:tab/>
        <w:t>13</w:t>
      </w:r>
    </w:p>
    <w:p>
      <w:pPr>
        <w:tabs>
          <w:tab w:val="right" w:pos="9026" w:leader="dot"/>
        </w:tabs>
        <w:spacing w:after="60" w:before="60"/>
        <w:ind w:left="0" w:right="0"/>
      </w:pPr>
      <w:r>
        <w:rPr>
          <w:rFonts w:ascii="Calibri" w:cs="Calibri" w:eastAsia="Calibri" w:hAnsi="Calibri"/>
          <w:color w:val="000000"/>
          <w:sz w:val="21"/>
          <w:szCs w:val="21"/>
        </w:rPr>
        <w:t xml:space="preserve">4. Recommendations</w:t>
        <w:tab/>
        <w:t>14</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w:t>
        <w:tab/>
        <w:t>14</w:t>
      </w:r>
    </w:p>
    <w:p>
      <w:pPr>
        <w:tabs>
          <w:tab w:val="right" w:pos="9026" w:leader="dot"/>
        </w:tabs>
        <w:spacing w:after="30" w:before="0"/>
        <w:ind w:left="360" w:right="0"/>
      </w:pPr>
      <w:r>
        <w:rPr>
          <w:rFonts w:ascii="Calibri" w:cs="Calibri" w:eastAsia="Calibri" w:hAnsi="Calibri"/>
          <w:color w:val="000000"/>
          <w:sz w:val="21"/>
          <w:szCs w:val="21"/>
        </w:rPr>
        <w:t xml:space="preserve">4.2 Value logic and expected outcomes</w:t>
        <w:tab/>
        <w:t>14</w:t>
      </w:r>
    </w:p>
    <w:p>
      <w:pPr>
        <w:tabs>
          <w:tab w:val="right" w:pos="9026" w:leader="dot"/>
        </w:tabs>
        <w:spacing w:after="30" w:before="0"/>
        <w:ind w:left="360" w:right="0"/>
      </w:pPr>
      <w:r>
        <w:rPr>
          <w:rFonts w:ascii="Calibri" w:cs="Calibri" w:eastAsia="Calibri" w:hAnsi="Calibri"/>
          <w:color w:val="000000"/>
          <w:sz w:val="21"/>
          <w:szCs w:val="21"/>
        </w:rPr>
        <w:t xml:space="preserve">4.3 Feasibility and risks</w:t>
        <w:tab/>
        <w:t>14</w:t>
      </w:r>
    </w:p>
    <w:p>
      <w:pPr>
        <w:tabs>
          <w:tab w:val="right" w:pos="9026" w:leader="dot"/>
        </w:tabs>
        <w:spacing w:after="30" w:before="0"/>
        <w:ind w:left="360" w:right="0"/>
      </w:pPr>
      <w:r>
        <w:rPr>
          <w:rFonts w:ascii="Calibri" w:cs="Calibri" w:eastAsia="Calibri" w:hAnsi="Calibri"/>
          <w:color w:val="000000"/>
          <w:sz w:val="21"/>
          <w:szCs w:val="21"/>
        </w:rPr>
        <w:t xml:space="preserve">4.4 Validation direction</w:t>
        <w:tab/>
        <w:t>15</w:t>
      </w:r>
    </w:p>
    <w:p>
      <w:pPr>
        <w:tabs>
          <w:tab w:val="right" w:pos="9026" w:leader="dot"/>
        </w:tabs>
        <w:spacing w:after="60" w:before="60"/>
        <w:ind w:left="0" w:right="0"/>
      </w:pPr>
      <w:r>
        <w:rPr>
          <w:rFonts w:ascii="Calibri" w:cs="Calibri" w:eastAsia="Calibri" w:hAnsi="Calibri"/>
          <w:color w:val="000000"/>
          <w:sz w:val="21"/>
          <w:szCs w:val="21"/>
        </w:rPr>
        <w:t xml:space="preserve">5. Conclusion</w:t>
        <w:tab/>
        <w:t>16</w:t>
      </w:r>
    </w:p>
    <w:p>
      <w:pPr>
        <w:tabs>
          <w:tab w:val="right" w:pos="9026" w:leader="dot"/>
        </w:tabs>
        <w:spacing w:after="60" w:before="60"/>
        <w:ind w:left="0" w:right="0"/>
      </w:pPr>
      <w:r>
        <w:rPr>
          <w:rFonts w:ascii="Calibri" w:cs="Calibri" w:eastAsia="Calibri" w:hAnsi="Calibri"/>
          <w:color w:val="000000"/>
          <w:sz w:val="21"/>
          <w:szCs w:val="21"/>
        </w:rPr>
        <w:t xml:space="preserve">Appendices</w:t>
        <w:tab/>
        <w:t>17</w:t>
      </w:r>
    </w:p>
    <w:p>
      <w:pPr>
        <w:tabs>
          <w:tab w:val="right" w:pos="9026" w:leader="dot"/>
        </w:tabs>
        <w:spacing w:after="30" w:before="0"/>
        <w:ind w:left="360" w:right="0"/>
      </w:pPr>
      <w:r>
        <w:rPr>
          <w:rFonts w:ascii="Calibri" w:cs="Calibri" w:eastAsia="Calibri" w:hAnsi="Calibri"/>
          <w:color w:val="000000"/>
          <w:sz w:val="21"/>
          <w:szCs w:val="21"/>
        </w:rPr>
        <w:t xml:space="preserve">Appendix A. Exhibits for the findings</w:t>
        <w:tab/>
        <w:t>17</w:t>
      </w:r>
    </w:p>
    <w:p>
      <w:pPr>
        <w:tabs>
          <w:tab w:val="right" w:pos="9026" w:leader="dot"/>
        </w:tabs>
        <w:spacing w:after="30" w:before="0"/>
        <w:ind w:left="360" w:right="0"/>
      </w:pPr>
      <w:r>
        <w:rPr>
          <w:rFonts w:ascii="Calibri" w:cs="Calibri" w:eastAsia="Calibri" w:hAnsi="Calibri"/>
          <w:color w:val="000000"/>
          <w:sz w:val="21"/>
          <w:szCs w:val="21"/>
        </w:rPr>
        <w:t xml:space="preserve">Appendix B. Exhibits for the discussion and recommendation</w:t>
        <w:tab/>
        <w:t>24</w:t>
      </w:r>
    </w:p>
    <w:p>
      <w:pPr>
        <w:tabs>
          <w:tab w:val="right" w:pos="9026" w:leader="dot"/>
        </w:tabs>
        <w:spacing w:after="30" w:before="0"/>
        <w:ind w:left="360" w:right="0"/>
      </w:pPr>
      <w:r>
        <w:rPr>
          <w:rFonts w:ascii="Calibri" w:cs="Calibri" w:eastAsia="Calibri" w:hAnsi="Calibri"/>
          <w:color w:val="000000"/>
          <w:sz w:val="21"/>
          <w:szCs w:val="21"/>
        </w:rPr>
        <w:t xml:space="preserve">Appendix C. DNSE financial data</w:t>
        <w:tab/>
        <w:t>35</w:t>
      </w:r>
    </w:p>
    <w:p>
      <w:pPr>
        <w:tabs>
          <w:tab w:val="right" w:pos="9026" w:leader="dot"/>
        </w:tabs>
        <w:spacing w:after="30" w:before="0"/>
        <w:ind w:left="360" w:right="0"/>
      </w:pPr>
      <w:r>
        <w:rPr>
          <w:rFonts w:ascii="Calibri" w:cs="Calibri" w:eastAsia="Calibri" w:hAnsi="Calibri"/>
          <w:color w:val="000000"/>
          <w:sz w:val="21"/>
          <w:szCs w:val="21"/>
        </w:rPr>
        <w:t xml:space="preserve">Appendix D. Market and industry data</w:t>
        <w:tab/>
        <w:t>37</w:t>
      </w:r>
    </w:p>
    <w:p>
      <w:pPr>
        <w:tabs>
          <w:tab w:val="right" w:pos="9026" w:leader="dot"/>
        </w:tabs>
        <w:spacing w:after="30" w:before="0"/>
        <w:ind w:left="360" w:right="0"/>
      </w:pPr>
      <w:r>
        <w:rPr>
          <w:rFonts w:ascii="Calibri" w:cs="Calibri" w:eastAsia="Calibri" w:hAnsi="Calibri"/>
          <w:color w:val="000000"/>
          <w:sz w:val="21"/>
          <w:szCs w:val="21"/>
        </w:rPr>
        <w:t xml:space="preserve">Appendix E. Customer review analysis</w:t>
        <w:tab/>
        <w:t>38</w:t>
      </w:r>
    </w:p>
    <w:p>
      <w:pPr>
        <w:tabs>
          <w:tab w:val="right" w:pos="9026" w:leader="dot"/>
        </w:tabs>
        <w:spacing w:after="30" w:before="0"/>
        <w:ind w:left="360" w:right="0"/>
      </w:pPr>
      <w:r>
        <w:rPr>
          <w:rFonts w:ascii="Calibri" w:cs="Calibri" w:eastAsia="Calibri" w:hAnsi="Calibri"/>
          <w:color w:val="000000"/>
          <w:sz w:val="21"/>
          <w:szCs w:val="21"/>
        </w:rPr>
        <w:t xml:space="preserve">Appendix F. Findex segment analysis</w:t>
        <w:tab/>
        <w:t>40</w:t>
      </w:r>
    </w:p>
    <w:p>
      <w:pPr>
        <w:tabs>
          <w:tab w:val="right" w:pos="9026" w:leader="dot"/>
        </w:tabs>
        <w:spacing w:after="30" w:before="0"/>
        <w:ind w:left="360" w:right="0"/>
      </w:pPr>
      <w:r>
        <w:rPr>
          <w:rFonts w:ascii="Calibri" w:cs="Calibri" w:eastAsia="Calibri" w:hAnsi="Calibri"/>
          <w:color w:val="000000"/>
          <w:sz w:val="21"/>
          <w:szCs w:val="21"/>
        </w:rPr>
        <w:t xml:space="preserve">Appendix G. Methods, assumptions and limitations</w:t>
        <w:tab/>
        <w:t>42</w:t>
      </w:r>
    </w:p>
    <w:p>
      <w:pPr>
        <w:tabs>
          <w:tab w:val="right" w:pos="9026" w:leader="dot"/>
        </w:tabs>
        <w:spacing w:after="30" w:before="0"/>
        <w:ind w:left="360" w:right="0"/>
      </w:pPr>
      <w:r>
        <w:rPr>
          <w:rFonts w:ascii="Calibri" w:cs="Calibri" w:eastAsia="Calibri" w:hAnsi="Calibri"/>
          <w:color w:val="000000"/>
          <w:sz w:val="21"/>
          <w:szCs w:val="21"/>
        </w:rPr>
        <w:t xml:space="preserve">Appendix H. Data sources and access</w:t>
        <w:tab/>
        <w:t>46</w:t>
      </w:r>
    </w:p>
    <w:p>
      <w:pPr>
        <w:tabs>
          <w:tab w:val="right" w:pos="9026" w:leader="dot"/>
        </w:tabs>
        <w:spacing w:after="60" w:before="60"/>
        <w:ind w:left="0" w:right="0"/>
      </w:pPr>
      <w:r>
        <w:rPr>
          <w:rFonts w:ascii="Calibri" w:cs="Calibri" w:eastAsia="Calibri" w:hAnsi="Calibri"/>
          <w:color w:val="000000"/>
          <w:sz w:val="21"/>
          <w:szCs w:val="21"/>
        </w:rPr>
        <w:t xml:space="preserve">References</w:t>
        <w:tab/>
        <w:t>47</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DNSE's share of each market against its share of accounts</w:t>
        <w:tab/>
        <w:t>8</w:t>
      </w:r>
    </w:p>
    <w:p>
      <w:pPr>
        <w:tabs>
          <w:tab w:val="right" w:pos="9026" w:leader="dot"/>
        </w:tabs>
        <w:spacing w:after="20" w:before="0" w:line="240"/>
        <w:ind w:left="0" w:right="0"/>
      </w:pPr>
      <w:r>
        <w:rPr>
          <w:rFonts w:ascii="Calibri" w:cs="Calibri" w:eastAsia="Calibri" w:hAnsi="Calibri"/>
          <w:color w:val="000000"/>
          <w:sz w:val="21"/>
          <w:szCs w:val="21"/>
        </w:rPr>
        <w:t xml:space="preserve">Figure 2. Lending and profit per customer account, DNSE against VPS, VPBankS and TCBS</w:t>
        <w:tab/>
        <w:t>9</w:t>
      </w:r>
    </w:p>
    <w:p>
      <w:pPr>
        <w:tabs>
          <w:tab w:val="right" w:pos="9026" w:leader="dot"/>
        </w:tabs>
        <w:spacing w:after="20" w:before="0" w:line="240"/>
        <w:ind w:left="0" w:right="0"/>
      </w:pPr>
      <w:r>
        <w:rPr>
          <w:rFonts w:ascii="Calibri" w:cs="Calibri" w:eastAsia="Calibri" w:hAnsi="Calibri"/>
          <w:color w:val="000000"/>
          <w:sz w:val="21"/>
          <w:szCs w:val="21"/>
        </w:rPr>
        <w:t xml:space="preserve">Figure 3. Operating revenue and pre-tax profit split into core business and proprietary trading</w:t>
        <w:tab/>
        <w:t>10</w:t>
      </w:r>
    </w:p>
    <w:p>
      <w:pPr>
        <w:tabs>
          <w:tab w:val="right" w:pos="9026" w:leader="dot"/>
        </w:tabs>
        <w:spacing w:after="20" w:before="0" w:line="240"/>
        <w:ind w:left="0" w:right="0"/>
      </w:pPr>
      <w:r>
        <w:rPr>
          <w:rFonts w:ascii="Calibri" w:cs="Calibri" w:eastAsia="Calibri" w:hAnsi="Calibri"/>
          <w:color w:val="000000"/>
          <w:sz w:val="21"/>
          <w:szCs w:val="21"/>
        </w:rPr>
        <w:t xml:space="preserve">Figure 4. Brokerage revenue against direct brokerage cost, by quarter</w:t>
        <w:tab/>
        <w:t>11</w:t>
      </w:r>
    </w:p>
    <w:p>
      <w:pPr>
        <w:tabs>
          <w:tab w:val="right" w:pos="9026" w:leader="dot"/>
        </w:tabs>
        <w:spacing w:after="20" w:before="0" w:line="240"/>
        <w:ind w:left="0" w:right="0"/>
      </w:pPr>
      <w:r>
        <w:rPr>
          <w:rFonts w:ascii="Calibri" w:cs="Calibri" w:eastAsia="Calibri" w:hAnsi="Calibri"/>
          <w:color w:val="000000"/>
          <w:sz w:val="21"/>
          <w:szCs w:val="21"/>
        </w:rPr>
        <w:t xml:space="preserve">Figure A1. DNSE customer accounts and derivatives brokerage share</w:t>
        <w:tab/>
        <w:t>18</w:t>
      </w:r>
    </w:p>
    <w:p>
      <w:pPr>
        <w:tabs>
          <w:tab w:val="right" w:pos="9026" w:leader="dot"/>
        </w:tabs>
        <w:spacing w:after="20" w:before="0" w:line="240"/>
        <w:ind w:left="0" w:right="0"/>
      </w:pPr>
      <w:r>
        <w:rPr>
          <w:rFonts w:ascii="Calibri" w:cs="Calibri" w:eastAsia="Calibri" w:hAnsi="Calibri"/>
          <w:color w:val="000000"/>
          <w:sz w:val="21"/>
          <w:szCs w:val="21"/>
        </w:rPr>
        <w:t xml:space="preserve">Figure A2. Value of an average DNSE account relative to the average Vietnamese securities account</w:t>
        <w:tab/>
        <w:t>19</w:t>
      </w:r>
    </w:p>
    <w:p>
      <w:pPr>
        <w:tabs>
          <w:tab w:val="right" w:pos="9026" w:leader="dot"/>
        </w:tabs>
        <w:spacing w:after="20" w:before="0" w:line="240"/>
        <w:ind w:left="0" w:right="0"/>
      </w:pPr>
      <w:r>
        <w:rPr>
          <w:rFonts w:ascii="Calibri" w:cs="Calibri" w:eastAsia="Calibri" w:hAnsi="Calibri"/>
          <w:color w:val="000000"/>
          <w:sz w:val="21"/>
          <w:szCs w:val="21"/>
        </w:rPr>
        <w:t xml:space="preserve">Figure A3. DNSE investor cash, margin lending and customer assets per account</w:t>
        <w:tab/>
        <w:t>19</w:t>
      </w:r>
    </w:p>
    <w:p>
      <w:pPr>
        <w:tabs>
          <w:tab w:val="right" w:pos="9026" w:leader="dot"/>
        </w:tabs>
        <w:spacing w:after="20" w:before="0" w:line="240"/>
        <w:ind w:left="0" w:right="0"/>
      </w:pPr>
      <w:r>
        <w:rPr>
          <w:rFonts w:ascii="Calibri" w:cs="Calibri" w:eastAsia="Calibri" w:hAnsi="Calibri"/>
          <w:color w:val="000000"/>
          <w:sz w:val="21"/>
          <w:szCs w:val="21"/>
        </w:rPr>
        <w:t xml:space="preserve">Figure A4. Themes in DNSE's negative reviews, by count and by helpful votes</w:t>
        <w:tab/>
        <w:t>20</w:t>
      </w:r>
    </w:p>
    <w:p>
      <w:pPr>
        <w:tabs>
          <w:tab w:val="right" w:pos="9026" w:leader="dot"/>
        </w:tabs>
        <w:spacing w:after="20" w:before="0" w:line="240"/>
        <w:ind w:left="0" w:right="0"/>
      </w:pPr>
      <w:r>
        <w:rPr>
          <w:rFonts w:ascii="Calibri" w:cs="Calibri" w:eastAsia="Calibri" w:hAnsi="Calibri"/>
          <w:color w:val="000000"/>
          <w:sz w:val="21"/>
          <w:szCs w:val="21"/>
        </w:rPr>
        <w:t xml:space="preserve">Figure A5. DNSE reviews per month, positive above the axis and negative below</w:t>
        <w:tab/>
        <w:t>20</w:t>
      </w:r>
    </w:p>
    <w:p>
      <w:pPr>
        <w:tabs>
          <w:tab w:val="right" w:pos="9026" w:leader="dot"/>
        </w:tabs>
        <w:spacing w:after="20" w:before="0" w:line="240"/>
        <w:ind w:left="0" w:right="0"/>
      </w:pPr>
      <w:r>
        <w:rPr>
          <w:rFonts w:ascii="Calibri" w:cs="Calibri" w:eastAsia="Calibri" w:hAnsi="Calibri"/>
          <w:color w:val="000000"/>
          <w:sz w:val="21"/>
          <w:szCs w:val="21"/>
        </w:rPr>
        <w:t xml:space="preserve">Figure A6. Composition of DNSE operating revenue</w:t>
        <w:tab/>
        <w:t>21</w:t>
      </w:r>
    </w:p>
    <w:p>
      <w:pPr>
        <w:tabs>
          <w:tab w:val="right" w:pos="9026" w:leader="dot"/>
        </w:tabs>
        <w:spacing w:after="20" w:before="0" w:line="240"/>
        <w:ind w:left="0" w:right="0"/>
      </w:pPr>
      <w:r>
        <w:rPr>
          <w:rFonts w:ascii="Calibri" w:cs="Calibri" w:eastAsia="Calibri" w:hAnsi="Calibri"/>
          <w:color w:val="000000"/>
          <w:sz w:val="21"/>
          <w:szCs w:val="21"/>
        </w:rPr>
        <w:t xml:space="preserve">Figure A7. Where each VND 100 of operating revenue goes</w:t>
        <w:tab/>
        <w:t>21</w:t>
      </w:r>
    </w:p>
    <w:p>
      <w:pPr>
        <w:tabs>
          <w:tab w:val="right" w:pos="9026" w:leader="dot"/>
        </w:tabs>
        <w:spacing w:after="20" w:before="0" w:line="240"/>
        <w:ind w:left="0" w:right="0"/>
      </w:pPr>
      <w:r>
        <w:rPr>
          <w:rFonts w:ascii="Calibri" w:cs="Calibri" w:eastAsia="Calibri" w:hAnsi="Calibri"/>
          <w:color w:val="000000"/>
          <w:sz w:val="21"/>
          <w:szCs w:val="21"/>
        </w:rPr>
        <w:t xml:space="preserve">Figure A8. Yield on margin loans and on deposits and bonds held to maturity, against the estimated cost of funding</w:t>
        <w:tab/>
        <w:t>23</w:t>
      </w:r>
    </w:p>
    <w:p>
      <w:pPr>
        <w:tabs>
          <w:tab w:val="right" w:pos="9026" w:leader="dot"/>
        </w:tabs>
        <w:spacing w:after="20" w:before="0" w:line="240"/>
        <w:ind w:left="0" w:right="0"/>
      </w:pPr>
      <w:r>
        <w:rPr>
          <w:rFonts w:ascii="Calibri" w:cs="Calibri" w:eastAsia="Calibri" w:hAnsi="Calibri"/>
          <w:color w:val="000000"/>
          <w:sz w:val="21"/>
          <w:szCs w:val="21"/>
        </w:rPr>
        <w:t xml:space="preserve">Figure A9. Composition of DNSE total assets</w:t>
        <w:tab/>
        <w:t>23</w:t>
      </w:r>
    </w:p>
    <w:p>
      <w:pPr>
        <w:tabs>
          <w:tab w:val="right" w:pos="9026" w:leader="dot"/>
        </w:tabs>
        <w:spacing w:after="20" w:before="0" w:line="240"/>
        <w:ind w:left="0" w:right="0"/>
      </w:pPr>
      <w:r>
        <w:rPr>
          <w:rFonts w:ascii="Calibri" w:cs="Calibri" w:eastAsia="Calibri" w:hAnsi="Calibri"/>
          <w:color w:val="000000"/>
          <w:sz w:val="21"/>
          <w:szCs w:val="21"/>
        </w:rPr>
        <w:t xml:space="preserve">Figure B1. Returns available to a Vietnamese saver's idle cash, September 2026</w:t>
        <w:tab/>
        <w:t>26</w:t>
      </w:r>
    </w:p>
    <w:p>
      <w:pPr>
        <w:tabs>
          <w:tab w:val="right" w:pos="9026" w:leader="dot"/>
        </w:tabs>
        <w:spacing w:after="20" w:before="0" w:line="240"/>
        <w:ind w:left="0" w:right="0"/>
      </w:pPr>
      <w:r>
        <w:rPr>
          <w:rFonts w:ascii="Calibri" w:cs="Calibri" w:eastAsia="Calibri" w:hAnsi="Calibri"/>
          <w:color w:val="000000"/>
          <w:sz w:val="21"/>
          <w:szCs w:val="21"/>
        </w:rPr>
        <w:t xml:space="preserve">Figure B2. Investor cash held at brokers, indexed to the third quarter of 2025</w:t>
        <w:tab/>
        <w:t>26</w:t>
      </w:r>
    </w:p>
    <w:p>
      <w:pPr>
        <w:tabs>
          <w:tab w:val="right" w:pos="9026" w:leader="dot"/>
        </w:tabs>
        <w:spacing w:after="20" w:before="0" w:line="240"/>
        <w:ind w:left="0" w:right="0"/>
      </w:pPr>
      <w:r>
        <w:rPr>
          <w:rFonts w:ascii="Calibri" w:cs="Calibri" w:eastAsia="Calibri" w:hAnsi="Calibri"/>
          <w:color w:val="000000"/>
          <w:sz w:val="21"/>
          <w:szCs w:val="21"/>
        </w:rPr>
        <w:t xml:space="preserve">Figure B3. What the 2026 profit plan implies for loans, equity and customer assets</w:t>
        <w:tab/>
        <w:t>30</w:t>
      </w:r>
    </w:p>
    <w:p>
      <w:pPr>
        <w:tabs>
          <w:tab w:val="right" w:pos="9026" w:leader="dot"/>
        </w:tabs>
        <w:spacing w:after="20" w:before="0" w:line="240"/>
        <w:ind w:left="0" w:right="0"/>
      </w:pPr>
      <w:r>
        <w:rPr>
          <w:rFonts w:ascii="Calibri" w:cs="Calibri" w:eastAsia="Calibri" w:hAnsi="Calibri"/>
          <w:color w:val="000000"/>
          <w:sz w:val="21"/>
          <w:szCs w:val="21"/>
        </w:rPr>
        <w:t xml:space="preserve">Figure B4. How Payday Portfolio works</w:t>
        <w:tab/>
        <w:t>32</w:t>
      </w:r>
    </w:p>
    <w:p>
      <w:pPr>
        <w:tabs>
          <w:tab w:val="right" w:pos="9026" w:leader="dot"/>
        </w:tabs>
        <w:spacing w:after="20" w:before="0" w:line="240"/>
        <w:ind w:left="0" w:right="0"/>
      </w:pPr>
      <w:r>
        <w:rPr>
          <w:rFonts w:ascii="Calibri" w:cs="Calibri" w:eastAsia="Calibri" w:hAnsi="Calibri"/>
          <w:color w:val="000000"/>
          <w:sz w:val="21"/>
          <w:szCs w:val="21"/>
        </w:rPr>
        <w:t xml:space="preserve">Figure B5. Layer assets and annual net new money under three scenarios</w:t>
        <w:tab/>
        <w:t>34</w:t>
      </w:r>
    </w:p>
    <w:p>
      <w:pPr>
        <w:tabs>
          <w:tab w:val="right" w:pos="9026" w:leader="dot"/>
        </w:tabs>
        <w:spacing w:after="20" w:before="0" w:line="240"/>
        <w:ind w:left="0" w:right="0"/>
      </w:pPr>
      <w:r>
        <w:rPr>
          <w:rFonts w:ascii="Calibri" w:cs="Calibri" w:eastAsia="Calibri" w:hAnsi="Calibri"/>
          <w:color w:val="000000"/>
          <w:sz w:val="21"/>
          <w:szCs w:val="21"/>
        </w:rPr>
        <w:t xml:space="preserve">Figure B6. Validation roadmap for Round 3</w:t>
        <w:tab/>
        <w:t>35</w:t>
      </w:r>
    </w:p>
    <w:p>
      <w:pPr>
        <w:tabs>
          <w:tab w:val="right" w:pos="9026" w:leader="dot"/>
        </w:tabs>
        <w:spacing w:after="20" w:before="0" w:line="240"/>
        <w:ind w:left="0" w:right="0"/>
      </w:pPr>
      <w:r>
        <w:rPr>
          <w:rFonts w:ascii="Calibri" w:cs="Calibri" w:eastAsia="Calibri" w:hAnsi="Calibri"/>
          <w:color w:val="000000"/>
          <w:sz w:val="21"/>
          <w:szCs w:val="21"/>
        </w:rPr>
        <w:t xml:space="preserve">Figure F1. Vietnamese adult segments by digital habit and formally held investable surplus</w:t>
        <w:tab/>
        <w:t>42</w:t>
      </w:r>
    </w:p>
    <w:p>
      <w:pPr>
        <w:tabs>
          <w:tab w:val="right" w:pos="9026" w:leader="dot"/>
        </w:tabs>
        <w:spacing w:after="20" w:before="0" w:line="240"/>
        <w:ind w:left="0" w:right="0"/>
      </w:pPr>
      <w:r>
        <w:rPr>
          <w:rFonts w:ascii="Calibri" w:cs="Calibri" w:eastAsia="Calibri" w:hAnsi="Calibri"/>
          <w:color w:val="000000"/>
          <w:sz w:val="21"/>
          <w:szCs w:val="21"/>
        </w:rPr>
        <w:t xml:space="preserve">Figure F2. Payday and saving behaviour by segment pair</w:t>
        <w:tab/>
        <w:t>42</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A1. DNSE at a glance</w:t>
        <w:tab/>
        <w:t>17</w:t>
      </w:r>
    </w:p>
    <w:p>
      <w:pPr>
        <w:tabs>
          <w:tab w:val="right" w:pos="9026" w:leader="dot"/>
        </w:tabs>
        <w:spacing w:after="20" w:before="0" w:line="240"/>
        <w:ind w:left="0" w:right="0"/>
      </w:pPr>
      <w:r>
        <w:rPr>
          <w:rFonts w:ascii="Calibri" w:cs="Calibri" w:eastAsia="Calibri" w:hAnsi="Calibri"/>
          <w:color w:val="000000"/>
          <w:sz w:val="21"/>
          <w:szCs w:val="21"/>
        </w:rPr>
        <w:t xml:space="preserve">Table A2. Evidence base</w:t>
        <w:tab/>
        <w:t>18</w:t>
      </w:r>
    </w:p>
    <w:p>
      <w:pPr>
        <w:tabs>
          <w:tab w:val="right" w:pos="9026" w:leader="dot"/>
        </w:tabs>
        <w:spacing w:after="20" w:before="0" w:line="240"/>
        <w:ind w:left="0" w:right="0"/>
      </w:pPr>
      <w:r>
        <w:rPr>
          <w:rFonts w:ascii="Calibri" w:cs="Calibri" w:eastAsia="Calibri" w:hAnsi="Calibri"/>
          <w:color w:val="000000"/>
          <w:sz w:val="21"/>
          <w:szCs w:val="21"/>
        </w:rPr>
        <w:t xml:space="preserve">Table A3. DNSE against three named peers with similar account bases</w:t>
        <w:tab/>
        <w:t>19</w:t>
      </w:r>
    </w:p>
    <w:p>
      <w:pPr>
        <w:tabs>
          <w:tab w:val="right" w:pos="9026" w:leader="dot"/>
        </w:tabs>
        <w:spacing w:after="20" w:before="0" w:line="240"/>
        <w:ind w:left="0" w:right="0"/>
      </w:pPr>
      <w:r>
        <w:rPr>
          <w:rFonts w:ascii="Calibri" w:cs="Calibri" w:eastAsia="Calibri" w:hAnsi="Calibri"/>
          <w:color w:val="000000"/>
          <w:sz w:val="21"/>
          <w:szCs w:val="21"/>
        </w:rPr>
        <w:t xml:space="preserve">Table A4. Where DNSE's extra revenue and cost came from (VND billion)</w:t>
        <w:tab/>
        <w:t>21</w:t>
      </w:r>
    </w:p>
    <w:p>
      <w:pPr>
        <w:tabs>
          <w:tab w:val="right" w:pos="9026" w:leader="dot"/>
        </w:tabs>
        <w:spacing w:after="20" w:before="0" w:line="240"/>
        <w:ind w:left="0" w:right="0"/>
      </w:pPr>
      <w:r>
        <w:rPr>
          <w:rFonts w:ascii="Calibri" w:cs="Calibri" w:eastAsia="Calibri" w:hAnsi="Calibri"/>
          <w:color w:val="000000"/>
          <w:sz w:val="21"/>
          <w:szCs w:val="21"/>
        </w:rPr>
        <w:t xml:space="preserve">Table A5. Brokerage revenue against direct brokerage cost, first half of 2026: DNSE and the largest brokers (VND billion)</w:t>
        <w:tab/>
        <w:t>22</w:t>
      </w:r>
    </w:p>
    <w:p>
      <w:pPr>
        <w:tabs>
          <w:tab w:val="right" w:pos="9026" w:leader="dot"/>
        </w:tabs>
        <w:spacing w:after="20" w:before="0" w:line="240"/>
        <w:ind w:left="0" w:right="0"/>
      </w:pPr>
      <w:r>
        <w:rPr>
          <w:rFonts w:ascii="Calibri" w:cs="Calibri" w:eastAsia="Calibri" w:hAnsi="Calibri"/>
          <w:color w:val="000000"/>
          <w:sz w:val="21"/>
          <w:szCs w:val="21"/>
        </w:rPr>
        <w:t xml:space="preserve">Table A6. Funding cost and balance-sheet structure at 30 June 2026: DNSE and eight large brokers</w:t>
        <w:tab/>
        <w:t>23</w:t>
      </w:r>
    </w:p>
    <w:p>
      <w:pPr>
        <w:tabs>
          <w:tab w:val="right" w:pos="9026" w:leader="dot"/>
        </w:tabs>
        <w:spacing w:after="20" w:before="0" w:line="240"/>
        <w:ind w:left="0" w:right="0"/>
      </w:pPr>
      <w:r>
        <w:rPr>
          <w:rFonts w:ascii="Calibri" w:cs="Calibri" w:eastAsia="Calibri" w:hAnsi="Calibri"/>
          <w:color w:val="000000"/>
          <w:sz w:val="21"/>
          <w:szCs w:val="21"/>
        </w:rPr>
        <w:t xml:space="preserve">Table A7. Summary of findings and their business implications</w:t>
        <w:tab/>
        <w:t>24</w:t>
      </w:r>
    </w:p>
    <w:p>
      <w:pPr>
        <w:tabs>
          <w:tab w:val="right" w:pos="9026" w:leader="dot"/>
        </w:tabs>
        <w:spacing w:after="20" w:before="0" w:line="240"/>
        <w:ind w:left="0" w:right="0"/>
      </w:pPr>
      <w:r>
        <w:rPr>
          <w:rFonts w:ascii="Calibri" w:cs="Calibri" w:eastAsia="Calibri" w:hAnsi="Calibri"/>
          <w:color w:val="000000"/>
          <w:sz w:val="21"/>
          <w:szCs w:val="21"/>
        </w:rPr>
        <w:t xml:space="preserve">Table B1. Evidence on the customer lifecycle and the gaps to close in Round 3</w:t>
        <w:tab/>
        <w:t>25</w:t>
      </w:r>
    </w:p>
    <w:p>
      <w:pPr>
        <w:tabs>
          <w:tab w:val="right" w:pos="9026" w:leader="dot"/>
        </w:tabs>
        <w:spacing w:after="20" w:before="0" w:line="240"/>
        <w:ind w:left="0" w:right="0"/>
      </w:pPr>
      <w:r>
        <w:rPr>
          <w:rFonts w:ascii="Calibri" w:cs="Calibri" w:eastAsia="Calibri" w:hAnsi="Calibri"/>
          <w:color w:val="000000"/>
          <w:sz w:val="21"/>
          <w:szCs w:val="21"/>
        </w:rPr>
        <w:t xml:space="preserve">Table B2. Five-whys analysis of the balance gap</w:t>
        <w:tab/>
        <w:t>25</w:t>
      </w:r>
    </w:p>
    <w:p>
      <w:pPr>
        <w:tabs>
          <w:tab w:val="right" w:pos="9026" w:leader="dot"/>
        </w:tabs>
        <w:spacing w:after="20" w:before="0" w:line="240"/>
        <w:ind w:left="0" w:right="0"/>
      </w:pPr>
      <w:r>
        <w:rPr>
          <w:rFonts w:ascii="Calibri" w:cs="Calibri" w:eastAsia="Calibri" w:hAnsi="Calibri"/>
          <w:color w:val="000000"/>
          <w:sz w:val="21"/>
          <w:szCs w:val="21"/>
        </w:rPr>
        <w:t xml:space="preserve">Table B3. Macroeconomic and banking indicators relevant to household savings, 2025 and 2026</w:t>
        <w:tab/>
        <w:t>26</w:t>
      </w:r>
    </w:p>
    <w:p>
      <w:pPr>
        <w:tabs>
          <w:tab w:val="right" w:pos="9026" w:leader="dot"/>
        </w:tabs>
        <w:spacing w:after="20" w:before="0" w:line="240"/>
        <w:ind w:left="0" w:right="0"/>
      </w:pPr>
      <w:r>
        <w:rPr>
          <w:rFonts w:ascii="Calibri" w:cs="Calibri" w:eastAsia="Calibri" w:hAnsi="Calibri"/>
          <w:color w:val="000000"/>
          <w:sz w:val="21"/>
          <w:szCs w:val="21"/>
        </w:rPr>
        <w:t xml:space="preserve">Table B4. Where Vietnamese savers keep money, mid-2026</w:t>
        <w:tab/>
        <w:t>27</w:t>
      </w:r>
    </w:p>
    <w:p>
      <w:pPr>
        <w:tabs>
          <w:tab w:val="right" w:pos="9026" w:leader="dot"/>
        </w:tabs>
        <w:spacing w:after="20" w:before="0" w:line="240"/>
        <w:ind w:left="0" w:right="0"/>
      </w:pPr>
      <w:r>
        <w:rPr>
          <w:rFonts w:ascii="Calibri" w:cs="Calibri" w:eastAsia="Calibri" w:hAnsi="Calibri"/>
          <w:color w:val="000000"/>
          <w:sz w:val="21"/>
          <w:szCs w:val="21"/>
        </w:rPr>
        <w:t xml:space="preserve">Table B5. Competitive map of Vietnamese retail brokerage business models</w:t>
        <w:tab/>
        <w:t>27</w:t>
      </w:r>
    </w:p>
    <w:p>
      <w:pPr>
        <w:tabs>
          <w:tab w:val="right" w:pos="9026" w:leader="dot"/>
        </w:tabs>
        <w:spacing w:after="20" w:before="0" w:line="240"/>
        <w:ind w:left="0" w:right="0"/>
      </w:pPr>
      <w:r>
        <w:rPr>
          <w:rFonts w:ascii="Calibri" w:cs="Calibri" w:eastAsia="Calibri" w:hAnsi="Calibri"/>
          <w:color w:val="000000"/>
          <w:sz w:val="21"/>
          <w:szCs w:val="21"/>
        </w:rPr>
        <w:t xml:space="preserve">Table B6. Comparable business models abroad and their lessons for DNSE</w:t>
        <w:tab/>
        <w:t>28</w:t>
      </w:r>
    </w:p>
    <w:p>
      <w:pPr>
        <w:tabs>
          <w:tab w:val="right" w:pos="9026" w:leader="dot"/>
        </w:tabs>
        <w:spacing w:after="20" w:before="0" w:line="240"/>
        <w:ind w:left="0" w:right="0"/>
      </w:pPr>
      <w:r>
        <w:rPr>
          <w:rFonts w:ascii="Calibri" w:cs="Calibri" w:eastAsia="Calibri" w:hAnsi="Calibri"/>
          <w:color w:val="000000"/>
          <w:sz w:val="21"/>
          <w:szCs w:val="21"/>
        </w:rPr>
        <w:t xml:space="preserve">Table B7. Transferability of foreign designs to Vietnam</w:t>
        <w:tab/>
        <w:t>29</w:t>
      </w:r>
    </w:p>
    <w:p>
      <w:pPr>
        <w:tabs>
          <w:tab w:val="right" w:pos="9026" w:leader="dot"/>
        </w:tabs>
        <w:spacing w:after="20" w:before="0" w:line="240"/>
        <w:ind w:left="0" w:right="0"/>
      </w:pPr>
      <w:r>
        <w:rPr>
          <w:rFonts w:ascii="Calibri" w:cs="Calibri" w:eastAsia="Calibri" w:hAnsi="Calibri"/>
          <w:color w:val="000000"/>
          <w:sz w:val="21"/>
          <w:szCs w:val="21"/>
        </w:rPr>
        <w:t xml:space="preserve">Table B8. Scoring of candidate target markets</w:t>
        <w:tab/>
        <w:t>29</w:t>
      </w:r>
    </w:p>
    <w:p>
      <w:pPr>
        <w:tabs>
          <w:tab w:val="right" w:pos="9026" w:leader="dot"/>
        </w:tabs>
        <w:spacing w:after="20" w:before="0" w:line="240"/>
        <w:ind w:left="0" w:right="0"/>
      </w:pPr>
      <w:r>
        <w:rPr>
          <w:rFonts w:ascii="Calibri" w:cs="Calibri" w:eastAsia="Calibri" w:hAnsi="Calibri"/>
          <w:color w:val="000000"/>
          <w:sz w:val="21"/>
          <w:szCs w:val="21"/>
        </w:rPr>
        <w:t xml:space="preserve">Table B9. Scope of the business problem for Round 3</w:t>
        <w:tab/>
        <w:t>29</w:t>
      </w:r>
    </w:p>
    <w:p>
      <w:pPr>
        <w:tabs>
          <w:tab w:val="right" w:pos="9026" w:leader="dot"/>
        </w:tabs>
        <w:spacing w:after="20" w:before="0" w:line="240"/>
        <w:ind w:left="0" w:right="0"/>
      </w:pPr>
      <w:r>
        <w:rPr>
          <w:rFonts w:ascii="Calibri" w:cs="Calibri" w:eastAsia="Calibri" w:hAnsi="Calibri"/>
          <w:color w:val="000000"/>
          <w:sz w:val="21"/>
          <w:szCs w:val="21"/>
        </w:rPr>
        <w:t xml:space="preserve">Table B10. Prioritisation of candidate business problems</w:t>
        <w:tab/>
        <w:t>30</w:t>
      </w:r>
    </w:p>
    <w:p>
      <w:pPr>
        <w:tabs>
          <w:tab w:val="right" w:pos="9026" w:leader="dot"/>
        </w:tabs>
        <w:spacing w:after="20" w:before="0" w:line="240"/>
        <w:ind w:left="0" w:right="0"/>
      </w:pPr>
      <w:r>
        <w:rPr>
          <w:rFonts w:ascii="Calibri" w:cs="Calibri" w:eastAsia="Calibri" w:hAnsi="Calibri"/>
          <w:color w:val="000000"/>
          <w:sz w:val="21"/>
          <w:szCs w:val="21"/>
        </w:rPr>
        <w:t xml:space="preserve">Table B11. Business problem statement</w:t>
        <w:tab/>
        <w:t>31</w:t>
      </w:r>
    </w:p>
    <w:p>
      <w:pPr>
        <w:tabs>
          <w:tab w:val="right" w:pos="9026" w:leader="dot"/>
        </w:tabs>
        <w:spacing w:after="20" w:before="0" w:line="240"/>
        <w:ind w:left="0" w:right="0"/>
      </w:pPr>
      <w:r>
        <w:rPr>
          <w:rFonts w:ascii="Calibri" w:cs="Calibri" w:eastAsia="Calibri" w:hAnsi="Calibri"/>
          <w:color w:val="000000"/>
          <w:sz w:val="21"/>
          <w:szCs w:val="21"/>
        </w:rPr>
        <w:t xml:space="preserve">Table B12. Strategic alternatives assessed against the balance gap</w:t>
        <w:tab/>
        <w:t>31</w:t>
      </w:r>
    </w:p>
    <w:p>
      <w:pPr>
        <w:tabs>
          <w:tab w:val="right" w:pos="9026" w:leader="dot"/>
        </w:tabs>
        <w:spacing w:after="20" w:before="0" w:line="240"/>
        <w:ind w:left="0" w:right="0"/>
      </w:pPr>
      <w:r>
        <w:rPr>
          <w:rFonts w:ascii="Calibri" w:cs="Calibri" w:eastAsia="Calibri" w:hAnsi="Calibri"/>
          <w:color w:val="000000"/>
          <w:sz w:val="21"/>
          <w:szCs w:val="21"/>
        </w:rPr>
        <w:t xml:space="preserve">Table B13. The first 90 days of a new DNSE customer, today and under Payday Portfolio</w:t>
        <w:tab/>
        <w:t>32</w:t>
      </w:r>
    </w:p>
    <w:p>
      <w:pPr>
        <w:tabs>
          <w:tab w:val="right" w:pos="9026" w:leader="dot"/>
        </w:tabs>
        <w:spacing w:after="20" w:before="0" w:line="240"/>
        <w:ind w:left="0" w:right="0"/>
      </w:pPr>
      <w:r>
        <w:rPr>
          <w:rFonts w:ascii="Calibri" w:cs="Calibri" w:eastAsia="Calibri" w:hAnsi="Calibri"/>
          <w:color w:val="000000"/>
          <w:sz w:val="21"/>
          <w:szCs w:val="21"/>
        </w:rPr>
        <w:t xml:space="preserve">Table B14. Evidence behind each design choice</w:t>
        <w:tab/>
        <w:t>33</w:t>
      </w:r>
    </w:p>
    <w:p>
      <w:pPr>
        <w:tabs>
          <w:tab w:val="right" w:pos="9026" w:leader="dot"/>
        </w:tabs>
        <w:spacing w:after="20" w:before="0" w:line="240"/>
        <w:ind w:left="0" w:right="0"/>
      </w:pPr>
      <w:r>
        <w:rPr>
          <w:rFonts w:ascii="Calibri" w:cs="Calibri" w:eastAsia="Calibri" w:hAnsi="Calibri"/>
          <w:color w:val="000000"/>
          <w:sz w:val="21"/>
          <w:szCs w:val="21"/>
        </w:rPr>
        <w:t xml:space="preserve">Table B15. Illustrative outcomes of Payday Portfolio 18 months after launch</w:t>
        <w:tab/>
        <w:t>33</w:t>
      </w:r>
    </w:p>
    <w:p>
      <w:pPr>
        <w:tabs>
          <w:tab w:val="right" w:pos="9026" w:leader="dot"/>
        </w:tabs>
        <w:spacing w:after="20" w:before="0" w:line="240"/>
        <w:ind w:left="0" w:right="0"/>
      </w:pPr>
      <w:r>
        <w:rPr>
          <w:rFonts w:ascii="Calibri" w:cs="Calibri" w:eastAsia="Calibri" w:hAnsi="Calibri"/>
          <w:color w:val="000000"/>
          <w:sz w:val="21"/>
          <w:szCs w:val="21"/>
        </w:rPr>
        <w:t xml:space="preserve">Table B16. Feasibility conditions for Payday Portfolio</w:t>
        <w:tab/>
        <w:t>34</w:t>
      </w:r>
    </w:p>
    <w:p>
      <w:pPr>
        <w:tabs>
          <w:tab w:val="right" w:pos="9026" w:leader="dot"/>
        </w:tabs>
        <w:spacing w:after="20" w:before="0" w:line="240"/>
        <w:ind w:left="0" w:right="0"/>
      </w:pPr>
      <w:r>
        <w:rPr>
          <w:rFonts w:ascii="Calibri" w:cs="Calibri" w:eastAsia="Calibri" w:hAnsi="Calibri"/>
          <w:color w:val="000000"/>
          <w:sz w:val="21"/>
          <w:szCs w:val="21"/>
        </w:rPr>
        <w:t xml:space="preserve">Table B17. Assumptions, tests and measures for Round 3</w:t>
        <w:tab/>
        <w:t>35</w:t>
      </w:r>
    </w:p>
    <w:p>
      <w:pPr>
        <w:tabs>
          <w:tab w:val="right" w:pos="9026" w:leader="dot"/>
        </w:tabs>
        <w:spacing w:after="20" w:before="0" w:line="240"/>
        <w:ind w:left="0" w:right="0"/>
      </w:pPr>
      <w:r>
        <w:rPr>
          <w:rFonts w:ascii="Calibri" w:cs="Calibri" w:eastAsia="Calibri" w:hAnsi="Calibri"/>
          <w:color w:val="000000"/>
          <w:sz w:val="21"/>
          <w:szCs w:val="21"/>
        </w:rPr>
        <w:t xml:space="preserve">Table C1. DNSE income statement summary, 2021 to the first half of 2026 (VND billion)</w:t>
        <w:tab/>
        <w:t>36</w:t>
      </w:r>
    </w:p>
    <w:p>
      <w:pPr>
        <w:tabs>
          <w:tab w:val="right" w:pos="9026" w:leader="dot"/>
        </w:tabs>
        <w:spacing w:after="20" w:before="0" w:line="240"/>
        <w:ind w:left="0" w:right="0"/>
      </w:pPr>
      <w:r>
        <w:rPr>
          <w:rFonts w:ascii="Calibri" w:cs="Calibri" w:eastAsia="Calibri" w:hAnsi="Calibri"/>
          <w:color w:val="000000"/>
          <w:sz w:val="21"/>
          <w:szCs w:val="21"/>
        </w:rPr>
        <w:t xml:space="preserve">Table C2. DNSE balance sheet and key ratios, 2021 to 30 June 2026</w:t>
        <w:tab/>
        <w:t>36</w:t>
      </w:r>
    </w:p>
    <w:p>
      <w:pPr>
        <w:tabs>
          <w:tab w:val="right" w:pos="9026" w:leader="dot"/>
        </w:tabs>
        <w:spacing w:after="20" w:before="0" w:line="240"/>
        <w:ind w:left="0" w:right="0"/>
      </w:pPr>
      <w:r>
        <w:rPr>
          <w:rFonts w:ascii="Calibri" w:cs="Calibri" w:eastAsia="Calibri" w:hAnsi="Calibri"/>
          <w:color w:val="000000"/>
          <w:sz w:val="21"/>
          <w:szCs w:val="21"/>
        </w:rPr>
        <w:t xml:space="preserve">Table C3. DNSE quarterly indicators, first quarter of 2024 to second quarter of 2026</w:t>
        <w:tab/>
        <w:t>36</w:t>
      </w:r>
    </w:p>
    <w:p>
      <w:pPr>
        <w:tabs>
          <w:tab w:val="right" w:pos="9026" w:leader="dot"/>
        </w:tabs>
        <w:spacing w:after="20" w:before="0" w:line="240"/>
        <w:ind w:left="0" w:right="0"/>
      </w:pPr>
      <w:r>
        <w:rPr>
          <w:rFonts w:ascii="Calibri" w:cs="Calibri" w:eastAsia="Calibri" w:hAnsi="Calibri"/>
          <w:color w:val="000000"/>
          <w:sz w:val="21"/>
          <w:szCs w:val="21"/>
        </w:rPr>
        <w:t xml:space="preserve">Table D1. DNSE's position on eight measures, 2025 to mid-2026</w:t>
        <w:tab/>
        <w:t>37</w:t>
      </w:r>
    </w:p>
    <w:p>
      <w:pPr>
        <w:tabs>
          <w:tab w:val="right" w:pos="9026" w:leader="dot"/>
        </w:tabs>
        <w:spacing w:after="20" w:before="0" w:line="240"/>
        <w:ind w:left="0" w:right="0"/>
      </w:pPr>
      <w:r>
        <w:rPr>
          <w:rFonts w:ascii="Calibri" w:cs="Calibri" w:eastAsia="Calibri" w:hAnsi="Calibri"/>
          <w:color w:val="000000"/>
          <w:sz w:val="21"/>
          <w:szCs w:val="21"/>
        </w:rPr>
        <w:t xml:space="preserve">Table D2. Share of accounts that are active or funded, brokers that publish a measure</w:t>
        <w:tab/>
        <w:t>38</w:t>
      </w:r>
    </w:p>
    <w:p>
      <w:pPr>
        <w:tabs>
          <w:tab w:val="right" w:pos="9026" w:leader="dot"/>
        </w:tabs>
        <w:spacing w:after="20" w:before="0" w:line="240"/>
        <w:ind w:left="0" w:right="0"/>
      </w:pPr>
      <w:r>
        <w:rPr>
          <w:rFonts w:ascii="Calibri" w:cs="Calibri" w:eastAsia="Calibri" w:hAnsi="Calibri"/>
          <w:color w:val="000000"/>
          <w:sz w:val="21"/>
          <w:szCs w:val="21"/>
        </w:rPr>
        <w:t xml:space="preserve">Table E1. Review cleaning log</w:t>
        <w:tab/>
        <w:t>38</w:t>
      </w:r>
    </w:p>
    <w:p>
      <w:pPr>
        <w:tabs>
          <w:tab w:val="right" w:pos="9026" w:leader="dot"/>
        </w:tabs>
        <w:spacing w:after="20" w:before="0" w:line="240"/>
        <w:ind w:left="0" w:right="0"/>
      </w:pPr>
      <w:r>
        <w:rPr>
          <w:rFonts w:ascii="Calibri" w:cs="Calibri" w:eastAsia="Calibri" w:hAnsi="Calibri"/>
          <w:color w:val="000000"/>
          <w:sz w:val="21"/>
          <w:szCs w:val="21"/>
        </w:rPr>
        <w:t xml:space="preserve">Table E2. DNSE Google Play reviews by year after cleaning</w:t>
        <w:tab/>
        <w:t>39</w:t>
      </w:r>
    </w:p>
    <w:p>
      <w:pPr>
        <w:tabs>
          <w:tab w:val="right" w:pos="9026" w:leader="dot"/>
        </w:tabs>
        <w:spacing w:after="20" w:before="0" w:line="240"/>
        <w:ind w:left="0" w:right="0"/>
      </w:pPr>
      <w:r>
        <w:rPr>
          <w:rFonts w:ascii="Calibri" w:cs="Calibri" w:eastAsia="Calibri" w:hAnsi="Calibri"/>
          <w:color w:val="000000"/>
          <w:sz w:val="21"/>
          <w:szCs w:val="21"/>
        </w:rPr>
        <w:t xml:space="preserve">Table E3. Themes in DNSE's negative Google Play reviews</w:t>
        <w:tab/>
        <w:t>39</w:t>
      </w:r>
    </w:p>
    <w:p>
      <w:pPr>
        <w:tabs>
          <w:tab w:val="right" w:pos="9026" w:leader="dot"/>
        </w:tabs>
        <w:spacing w:after="20" w:before="0" w:line="240"/>
        <w:ind w:left="0" w:right="0"/>
      </w:pPr>
      <w:r>
        <w:rPr>
          <w:rFonts w:ascii="Calibri" w:cs="Calibri" w:eastAsia="Calibri" w:hAnsi="Calibri"/>
          <w:color w:val="000000"/>
          <w:sz w:val="21"/>
          <w:szCs w:val="21"/>
        </w:rPr>
        <w:t xml:space="preserve">Table E4. Three applications compared on both stores</w:t>
        <w:tab/>
        <w:t>39</w:t>
      </w:r>
    </w:p>
    <w:p>
      <w:pPr>
        <w:tabs>
          <w:tab w:val="right" w:pos="9026" w:leader="dot"/>
        </w:tabs>
        <w:spacing w:after="20" w:before="0" w:line="240"/>
        <w:ind w:left="0" w:right="0"/>
      </w:pPr>
      <w:r>
        <w:rPr>
          <w:rFonts w:ascii="Calibri" w:cs="Calibri" w:eastAsia="Calibri" w:hAnsi="Calibri"/>
          <w:color w:val="000000"/>
          <w:sz w:val="21"/>
          <w:szCs w:val="21"/>
        </w:rPr>
        <w:t xml:space="preserve">Table E5. Selected DNSE reviews, translated from Vietnamese</w:t>
        <w:tab/>
        <w:t>40</w:t>
      </w:r>
    </w:p>
    <w:p>
      <w:pPr>
        <w:tabs>
          <w:tab w:val="right" w:pos="9026" w:leader="dot"/>
        </w:tabs>
        <w:spacing w:after="20" w:before="0" w:line="240"/>
        <w:ind w:left="0" w:right="0"/>
      </w:pPr>
      <w:r>
        <w:rPr>
          <w:rFonts w:ascii="Calibri" w:cs="Calibri" w:eastAsia="Calibri" w:hAnsi="Calibri"/>
          <w:color w:val="000000"/>
          <w:sz w:val="21"/>
          <w:szCs w:val="21"/>
        </w:rPr>
        <w:t xml:space="preserve">Table F1. Indicators in the two Findex indices</w:t>
        <w:tab/>
        <w:t>40</w:t>
      </w:r>
    </w:p>
    <w:p>
      <w:pPr>
        <w:tabs>
          <w:tab w:val="right" w:pos="9026" w:leader="dot"/>
        </w:tabs>
        <w:spacing w:after="20" w:before="0" w:line="240"/>
        <w:ind w:left="0" w:right="0"/>
      </w:pPr>
      <w:r>
        <w:rPr>
          <w:rFonts w:ascii="Calibri" w:cs="Calibri" w:eastAsia="Calibri" w:hAnsi="Calibri"/>
          <w:color w:val="000000"/>
          <w:sz w:val="21"/>
          <w:szCs w:val="21"/>
        </w:rPr>
        <w:t xml:space="preserve">Table F2. Findex segment indicators for Vietnam, 2024 fieldwork</w:t>
        <w:tab/>
        <w:t>41</w:t>
      </w:r>
    </w:p>
    <w:p>
      <w:pPr>
        <w:tabs>
          <w:tab w:val="right" w:pos="9026" w:leader="dot"/>
        </w:tabs>
        <w:spacing w:after="20" w:before="0" w:line="240"/>
        <w:ind w:left="0" w:right="0"/>
      </w:pPr>
      <w:r>
        <w:rPr>
          <w:rFonts w:ascii="Calibri" w:cs="Calibri" w:eastAsia="Calibri" w:hAnsi="Calibri"/>
          <w:color w:val="000000"/>
          <w:sz w:val="21"/>
          <w:szCs w:val="21"/>
        </w:rPr>
        <w:t xml:space="preserve">Table F3. Segment ranks under four weighting schemes</w:t>
        <w:tab/>
        <w:t>41</w:t>
      </w:r>
    </w:p>
    <w:p>
      <w:pPr>
        <w:tabs>
          <w:tab w:val="right" w:pos="9026" w:leader="dot"/>
        </w:tabs>
        <w:spacing w:after="20" w:before="0" w:line="240"/>
        <w:ind w:left="0" w:right="0"/>
      </w:pPr>
      <w:r>
        <w:rPr>
          <w:rFonts w:ascii="Calibri" w:cs="Calibri" w:eastAsia="Calibri" w:hAnsi="Calibri"/>
          <w:color w:val="000000"/>
          <w:sz w:val="21"/>
          <w:szCs w:val="21"/>
        </w:rPr>
        <w:t xml:space="preserve">Table G1. Definitions of calculated measures</w:t>
        <w:tab/>
        <w:t>43</w:t>
      </w:r>
    </w:p>
    <w:p>
      <w:pPr>
        <w:tabs>
          <w:tab w:val="right" w:pos="9026" w:leader="dot"/>
        </w:tabs>
        <w:spacing w:after="20" w:before="0" w:line="240"/>
        <w:ind w:left="0" w:right="0"/>
      </w:pPr>
      <w:r>
        <w:rPr>
          <w:rFonts w:ascii="Calibri" w:cs="Calibri" w:eastAsia="Calibri" w:hAnsi="Calibri"/>
          <w:color w:val="000000"/>
          <w:sz w:val="21"/>
          <w:szCs w:val="21"/>
        </w:rPr>
        <w:t xml:space="preserve">Table G2. Register of assumptions behind the main results</w:t>
        <w:tab/>
        <w:t>44</w:t>
      </w:r>
    </w:p>
    <w:p>
      <w:pPr>
        <w:tabs>
          <w:tab w:val="right" w:pos="9026" w:leader="dot"/>
        </w:tabs>
        <w:spacing w:after="20" w:before="0" w:line="240"/>
        <w:ind w:left="0" w:right="0"/>
      </w:pPr>
      <w:r>
        <w:rPr>
          <w:rFonts w:ascii="Calibri" w:cs="Calibri" w:eastAsia="Calibri" w:hAnsi="Calibri"/>
          <w:color w:val="000000"/>
          <w:sz w:val="21"/>
          <w:szCs w:val="21"/>
        </w:rPr>
        <w:t xml:space="preserve">Table G3. Limitations of the evidence</w:t>
        <w:tab/>
        <w:t>44</w:t>
      </w:r>
    </w:p>
    <w:p>
      <w:pPr>
        <w:tabs>
          <w:tab w:val="right" w:pos="9026" w:leader="dot"/>
        </w:tabs>
        <w:spacing w:after="20" w:before="0" w:line="240"/>
        <w:ind w:left="0" w:right="0"/>
      </w:pPr>
      <w:r>
        <w:rPr>
          <w:rFonts w:ascii="Calibri" w:cs="Calibri" w:eastAsia="Calibri" w:hAnsi="Calibri"/>
          <w:color w:val="000000"/>
          <w:sz w:val="21"/>
          <w:szCs w:val="21"/>
        </w:rPr>
        <w:t xml:space="preserve">Table H1. Data sources, access and dates</w:t>
        <w:tab/>
        <w:t>46</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began in 2007 as Dai Nam Securities and became a technology-led broker after Encapital acquired it in 2020 (CafeF, 2024c). Listed on HOSE since July 2024, it had total assets of VND 15.2 trillion and equity of VND 5.4 trillion at 30 June 2026 (DNSE, 2026a; Table A1). It sells only through the Entrade X app and website and offers lifetime zero-fee trading in listed shares (CafeF, 2024b). Revenue therefore comes from interest on margin loans, managed deal by deal through Margin Deal, derivatives brokerage, interest on term deposits and bonds held to maturity, and proprietary trading. Each depends on customers keeping money on the platform.</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 had 11.9 million securities accounts at the end of 2025, against 7.3 million two years earlier, and individuals supply more than 90 per cent of trading value (Vietnam Securities Depository and Clearing Corporation [VSDC], 2026; Dân trí, 2026b). With TCBS, MBS, Pinetree and DNSE all offering zero-fee trading, commissions no longer separate brokers (CafeF, 2024b). Profit comes from lending, which earned securities firms VND 12.2 trillion in the second quarter of 2026 against VND 3.7 trillion from brokerage (Vietstock, 2026h).</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asks how DNSE can turn a large account base into funded customer relationships, and which savers it should target first. It asks where between sign-up and profit value is lost, measured against the market and named peers, why it is lost, and which response creates most value within DNSE's capabilities, funding and regulatory limits. Investment banking, proprietary trading strategy and new ventures are out of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approach</w:t>
      </w:r>
    </w:p>
    <w:p>
      <w:pPr>
        <w:spacing w:after="120" w:line="276"/>
        <w:jc w:val="both"/>
      </w:pPr>
      <w:r>
        <w:rPr>
          <w:rFonts w:ascii="Calibri" w:cs="Calibri" w:eastAsia="Calibri" w:hAnsi="Calibri"/>
          <w:color w:val="000000"/>
          <w:sz w:val="22"/>
          <w:szCs w:val="22"/>
        </w:rPr>
        <w:t xml:space="preserve">The analysis combines eight datasets (Table A2). Its core is 395 line items of DNSE's filed statements from 2018 to mid-2026, pulled from Vietcap's data service and reconciled to the half-year statements reviewed by KPMG, with the same template for 41 other brokers. Market shares come from the original HOSE and HNX announcements, account totals from VSDC and customer indicators from DNSE's 2025 annual report. One cleaning rule set, applied equally to VPS and FPTS, removed loan advertising and referral farming from 867 DNSE Google Play reviews, leaving 670 (Table E1). Every share uses a denominator of the same date and definition; where a press tally and the sum of filed statements give different industry totals, both are reported. Hypotheses are labelled as such and reappear in the validation plan. The main limitation is the absence of customer-level data, so demographics and funnel stages are inferred (Table G3).</w:t>
      </w:r>
    </w:p>
    <w:p>
      <w:pPr>
        <w:pStyle w:val="Heading2"/>
        <w:keepNext/>
        <w:spacing w:after="100" w:before="240"/>
      </w:pPr>
      <w:r>
        <w:rPr>
          <w:rFonts w:ascii="Calibri" w:cs="Calibri" w:eastAsia="Calibri" w:hAnsi="Calibri"/>
          <w:b/>
          <w:bCs/>
          <w:color w:val="000000"/>
          <w:sz w:val="24"/>
          <w:szCs w:val="24"/>
        </w:rPr>
        <w:t xml:space="preserve">2.2 Finding 1. DNSE wins accounts but not money</w:t>
      </w:r>
    </w:p>
    <w:p>
      <w:pPr>
        <w:spacing w:after="120" w:line="276"/>
        <w:jc w:val="both"/>
      </w:pPr>
      <w:r>
        <w:rPr>
          <w:rFonts w:ascii="Calibri" w:cs="Calibri" w:eastAsia="Calibri" w:hAnsi="Calibri"/>
          <w:color w:val="000000"/>
          <w:sz w:val="22"/>
          <w:szCs w:val="22"/>
        </w:rPr>
        <w:t xml:space="preserve">DNSE is one of Vietnam's most effective acquirers of customers. It opened 518,514 accounts in 2025, 19 per cent of the 2.68 million opened in the market, and held 12.7 per cent of all securities accounts at the end of the year (DNSE, 2026d; VSDC, 2026). Its share of derivatives brokerage rose from 4.0 per cent in the first quarter of 2024 to 25.4 per cent in the second quarter of 2026, second only to VPS (Hanoi Stock Exchange, 2026; Figure A1).</w:t>
      </w:r>
    </w:p>
    <w:p>
      <w:pPr>
        <w:spacing w:after="120" w:line="276"/>
        <w:jc w:val="both"/>
      </w:pPr>
      <w:r>
        <w:rPr>
          <w:rFonts w:ascii="Calibri" w:cs="Calibri" w:eastAsia="Calibri" w:hAnsi="Calibri"/>
          <w:color w:val="000000"/>
          <w:sz w:val="22"/>
          <w:szCs w:val="22"/>
        </w:rPr>
        <w:t xml:space="preserve">The picture reverses when money replaces registration as the measure (Figure 1). In the second quarter of 2026 DNSE handled 2.9 per cent of listed-share brokerage on HNX and stayed outside the HOSE top ten. At 30 June 2026 it held 2.3 to 3.5 per cent of investor cash at brokers, 1.4 to 1.8 per cent of margin lending and 0.6 to 0.8 per cent of quarterly industry pre-tax profit. An average DNSE account therefore holds 0.18 to 0.27 times the cash, and borrows 0.11 to 0.14 times the loans, of an average account in the market (Figure A2).</w:t>
      </w:r>
    </w:p>
    <w:p>
      <w:pPr>
        <w:keepNext/>
        <w:keepLines/>
        <w:spacing w:after="80" w:before="200"/>
      </w:pPr>
      <w:r>
        <w:rPr>
          <w:rFonts w:ascii="Calibri" w:cs="Calibri" w:eastAsia="Calibri" w:hAnsi="Calibri"/>
          <w:b/>
          <w:bCs/>
          <w:color w:val="000000"/>
          <w:sz w:val="20"/>
          <w:szCs w:val="20"/>
        </w:rPr>
        <w:t xml:space="preserve">Figure 1. DNSE's share of each market against its share of accounts</w:t>
      </w:r>
    </w:p>
    <w:p>
      <w:pPr>
        <w:keepNext/>
        <w:spacing w:after="40"/>
        <w:jc w:val="center"/>
      </w:pPr>
      <w:r>
        <w:drawing>
          <wp:inline distT="0" distB="0" distL="0" distR="0">
            <wp:extent cx="5715000" cy="2420471"/>
            <wp:effectExtent t="0" r="0" b="0" l="0"/>
            <wp:docPr id="9001" name="Picture v5 1"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v5_fig1.png" descr=""/>
                    <pic:cNvPicPr>
                      <a:picLocks noChangeAspect="1" noChangeArrowheads="1"/>
                    </pic:cNvPicPr>
                  </pic:nvPicPr>
                  <pic:blipFill>
                    <a:blip r:embed="rIdV5img1" cstate="none"/>
                    <a:srcRect/>
                    <a:stretch>
                      <a:fillRect/>
                    </a:stretch>
                  </pic:blipFill>
                  <pic:spPr bwMode="auto">
                    <a:xfrm>
                      <a:off x="0" y="0"/>
                      <a:ext cx="5715000" cy="2420471"/>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(2026); DNSE (2026d); HNX; filings via Vietcap Securities (2026); press tallies (Table D1). Light bars span the two industry totals.</w:t>
      </w:r>
    </w:p>
    <w:p>
      <w:pPr>
        <w:spacing w:after="120" w:line="276"/>
        <w:jc w:val="both"/>
      </w:pPr>
      <w:r>
        <w:rPr>
          <w:rFonts w:ascii="Calibri" w:cs="Calibri" w:eastAsia="Calibri" w:hAnsi="Calibri"/>
          <w:color w:val="000000"/>
          <w:sz w:val="22"/>
          <w:szCs w:val="22"/>
        </w:rPr>
        <w:t xml:space="preserve">The gap widens as the base grows. Margin lending per account fell from VND 4.4 million at the end of 2023 to VND 3.7 million in June 2026, and cash per account fell to VND 1.15 million (Figure A3). Customer assets per account fell 9.5 per cent in 2025, to VND 35.3 million, in a year when the VN-Index rose 41 per cent, the UPCoM index 28 per cent and the HNX-Index 9 per cent (DNSE, 2026d). Only 85,739 customers, 5.7 per cent of accounts, used any DNSE product in December 2025, twice as many as a year earlier but still a very low base.</w:t>
      </w:r>
    </w:p>
    <w:p>
      <w:pPr>
        <w:pStyle w:val="Heading2"/>
        <w:keepNext/>
        <w:spacing w:after="100" w:before="240"/>
      </w:pPr>
      <w:r>
        <w:rPr>
          <w:rFonts w:ascii="Calibri" w:cs="Calibri" w:eastAsia="Calibri" w:hAnsi="Calibri"/>
          <w:b/>
          <w:bCs/>
          <w:color w:val="000000"/>
          <w:sz w:val="24"/>
          <w:szCs w:val="24"/>
        </w:rPr>
        <w:t xml:space="preserve">2.3 Finding 2. The gap is specific to DNSE</w:t>
      </w:r>
    </w:p>
    <w:p>
      <w:pPr>
        <w:spacing w:after="120" w:line="276"/>
        <w:jc w:val="both"/>
      </w:pPr>
      <w:r>
        <w:rPr>
          <w:rFonts w:ascii="Calibri" w:cs="Calibri" w:eastAsia="Calibri" w:hAnsi="Calibri"/>
          <w:color w:val="000000"/>
          <w:sz w:val="22"/>
          <w:szCs w:val="22"/>
        </w:rPr>
        <w:t xml:space="preserve">Three objections could explain the gap away: that every broker counts dormant accounts, that app-based zero-fee brokers attract only small savers, or that DNSE lacks a parent bank. Peers with similar account bases answer all three (Figure 2; Table A3). VPS, a retail broker without a parent bank, lends VND 20.2 million per account, more than five times DNSE's VND 3.7 million. TCBS, also zero-fee with 99 per cent of accounts opened online, lends VND 42.9 million per account, and about 34 per cent of its customers traded on its app in December 2025, against 5.7 per cent of DNSE accounts using any product (TCBS, 2026c; Table D2). Second-quarter pre-tax profit per account was VND 57,000 at DNSE and VND 0.9 to 1.7 million at VPS, VPBankS and TCBS. Account counts differ in date, but not enough to close gaps of this size.</w:t>
      </w:r>
    </w:p>
    <w:p>
      <w:pPr>
        <w:keepNext/>
        <w:keepLines/>
        <w:spacing w:after="80" w:before="200"/>
      </w:pPr>
      <w:r>
        <w:rPr>
          <w:rFonts w:ascii="Calibri" w:cs="Calibri" w:eastAsia="Calibri" w:hAnsi="Calibri"/>
          <w:b/>
          <w:bCs/>
          <w:color w:val="000000"/>
          <w:sz w:val="20"/>
          <w:szCs w:val="20"/>
        </w:rPr>
        <w:t xml:space="preserve">Figure 2. Lending and profit per customer account, DNSE against VPS, VPBankS and TCBS</w:t>
      </w:r>
    </w:p>
    <w:p>
      <w:pPr>
        <w:keepNext/>
        <w:spacing w:after="40"/>
        <w:jc w:val="center"/>
      </w:pPr>
      <w:r>
        <w:drawing>
          <wp:inline distT="0" distB="0" distL="0" distR="0">
            <wp:extent cx="5715000" cy="2438400"/>
            <wp:effectExtent t="0" r="0" b="0" l="0"/>
            <wp:docPr id="1" name="f_peers" descr="Lending and profit per customer account, DNSE against VPS,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filings for 30 June 2026 via Vietcap Securities (2026); company releases for account counts (Table A3).</w:t>
      </w:r>
    </w:p>
    <w:p>
      <w:pPr>
        <w:spacing w:after="120" w:line="276"/>
        <w:jc w:val="both"/>
      </w:pPr>
      <w:r>
        <w:rPr>
          <w:rFonts w:ascii="Calibri" w:cs="Calibri" w:eastAsia="Calibri" w:hAnsi="Calibri"/>
          <w:color w:val="000000"/>
          <w:sz w:val="22"/>
          <w:szCs w:val="22"/>
        </w:rPr>
        <w:t xml:space="preserve">Customer reviews place the problem at the start of the relationship. Since March 2023, 5.6 per cent of DNSE's cleaned Google Play reviews concern sign-up bonuses or rewards, against 0.7 per cent for VPS and none for FPTS. The most-endorsed complaints, from June 2025, say that a VND 100,000 sign-up reward required a VND 2 million deposit and that closing an account cost VND 100,000 (Figure A5; Table E5). Deception, bonus terms and closure appear in 24 per cent of negative reviews but attract 43 per cent of their helpful votes (Figure A4). Crashes and login failures are more common but do not set DNSE apart, since its Google Play rating is above those of VPS and FPTS.</w:t>
      </w:r>
    </w:p>
    <w:p>
      <w:pPr>
        <w:pStyle w:val="Heading2"/>
        <w:keepNext/>
        <w:spacing w:after="100" w:before="240"/>
      </w:pPr>
      <w:r>
        <w:rPr>
          <w:rFonts w:ascii="Calibri" w:cs="Calibri" w:eastAsia="Calibri" w:hAnsi="Calibri"/>
          <w:b/>
          <w:bCs/>
          <w:color w:val="000000"/>
          <w:sz w:val="24"/>
          <w:szCs w:val="24"/>
        </w:rPr>
        <w:t xml:space="preserve">2.4 Finding 3. Revenue grows while core profit stands still</w:t>
      </w:r>
    </w:p>
    <w:p>
      <w:pPr>
        <w:spacing w:after="120" w:line="276"/>
        <w:jc w:val="both"/>
      </w:pPr>
      <w:r>
        <w:rPr>
          <w:rFonts w:ascii="Calibri" w:cs="Calibri" w:eastAsia="Calibri" w:hAnsi="Calibri"/>
          <w:color w:val="000000"/>
          <w:sz w:val="22"/>
          <w:szCs w:val="22"/>
        </w:rPr>
        <w:t xml:space="preserve">Operating revenue rose 3.2 times, from VND 452 billion in 2022 to VND 1,458 billion in 2025 (Figure A6). Pre-tax profit excluding proprietary trading stayed between VND 128 and 221 billion a year (Figure 3). The two years of strong reported growth, 2023 and 2025, rested on trading gains of VND 158 and 146 billion.</w:t>
      </w:r>
    </w:p>
    <w:p>
      <w:pPr>
        <w:keepNext/>
        <w:keepLines/>
        <w:spacing w:after="80" w:before="200"/>
      </w:pPr>
      <w:r>
        <w:rPr>
          <w:rFonts w:ascii="Calibri" w:cs="Calibri" w:eastAsia="Calibri" w:hAnsi="Calibri"/>
          <w:b/>
          <w:bCs/>
          <w:color w:val="000000"/>
          <w:sz w:val="20"/>
          <w:szCs w:val="20"/>
        </w:rPr>
        <w:t xml:space="preserve">Figure 3. 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via Vietcap Securities (2026); authors' calculations. H1 2026 is not annualised.</w:t>
      </w:r>
    </w:p>
    <w:p>
      <w:pPr>
        <w:spacing w:after="120" w:line="276"/>
        <w:jc w:val="both"/>
      </w:pPr>
      <w:r>
        <w:rPr>
          <w:rFonts w:ascii="Calibri" w:cs="Calibri" w:eastAsia="Calibri" w:hAnsi="Calibri"/>
          <w:color w:val="000000"/>
          <w:sz w:val="22"/>
          <w:szCs w:val="22"/>
        </w:rPr>
        <w:t xml:space="preserve">In the first half of 2026 core revenue rose by VND 285 billion on a year earlier and core costs by VND 289 billion, so each extra VND 100 of core revenue brought about VND 102 of extra cost; including trading losses, pre-tax profit fell 29 per cent (Figure A7). By mid-year DNSE had delivered 20 per cent of its 2026 pre-tax profit target of VND 550 billion (Vietstock, 2026b), and its annualised return on equity of 3.8 per cent was below the 6.8 per cent paid on a 12-month deposit at a state-owned bank (VietnamNet, 2026).</w:t>
      </w:r>
    </w:p>
    <w:p>
      <w:pPr>
        <w:pStyle w:val="Heading2"/>
        <w:keepNext/>
        <w:spacing w:after="100" w:before="240"/>
      </w:pPr>
      <w:r>
        <w:rPr>
          <w:rFonts w:ascii="Calibri" w:cs="Calibri" w:eastAsia="Calibri" w:hAnsi="Calibri"/>
          <w:b/>
          <w:bCs/>
          <w:color w:val="000000"/>
          <w:sz w:val="24"/>
          <w:szCs w:val="24"/>
        </w:rPr>
        <w:t xml:space="preserve">2.5 Finding 4. Brokerage and funding absorb the growth</w:t>
      </w:r>
    </w:p>
    <w:p>
      <w:pPr>
        <w:spacing w:after="120" w:line="276"/>
        <w:jc w:val="both"/>
      </w:pPr>
      <w:r>
        <w:rPr>
          <w:rFonts w:ascii="Calibri" w:cs="Calibri" w:eastAsia="Calibri" w:hAnsi="Calibri"/>
          <w:color w:val="000000"/>
          <w:sz w:val="22"/>
          <w:szCs w:val="22"/>
        </w:rPr>
        <w:t xml:space="preserve">The filings show where the extra cost went (Table A4). Of the VND 289 billion rise in core costs in the first half of 2026, funding took 52 per cent, direct brokerage cost 42 per cent and administration, which includes staff, outsourced services and technology, 6 per cent. Comparing 2025 with 2024 gives the same picture: brokerage 52, funding 40 and administration 5 per cent. Technology spending is not what absorbs revenue growth; fixed assets, including leased equipment, are 1 per cent of total assets.</w:t>
      </w:r>
    </w:p>
    <w:p>
      <w:pPr>
        <w:spacing w:after="120" w:line="276"/>
        <w:jc w:val="both"/>
      </w:pPr>
      <w:r>
        <w:rPr>
          <w:rFonts w:ascii="Calibri" w:cs="Calibri" w:eastAsia="Calibri" w:hAnsi="Calibri"/>
          <w:color w:val="000000"/>
          <w:sz w:val="22"/>
          <w:szCs w:val="22"/>
        </w:rPr>
        <w:t xml:space="preserve">Brokerage is the first source. Its direct cost has exceeded brokerage revenue in each of the 16 quarters since the third quarter of 2022, with a cumulative shortfall of VND 190 billion (Figure 4). The cost moves with revenue, which covered 78 to 92 per cent of it in each of the last eight quarters, so it behaves as a per-trade cost, not a fixed investment. In the first half of 2026 DNSE lost VND 44.5 billion on brokerage after direct costs, the largest loss among 42 brokers with filed statements and 2.6 times the next, while the industry earned VND 1.5 trillion (Table A5). The notes do not split this cost, but DNSE pays exchange fees on free share trades and has paid derivatives margin fees for customers since May 2025 (Vietstock, 2025b).</w:t>
      </w:r>
    </w:p>
    <w:p>
      <w:pPr>
        <w:keepNext/>
        <w:keepLines/>
        <w:spacing w:after="80" w:before="200"/>
      </w:pPr>
      <w:r>
        <w:rPr>
          <w:rFonts w:ascii="Calibri" w:cs="Calibri" w:eastAsia="Calibri" w:hAnsi="Calibri"/>
          <w:b/>
          <w:bCs/>
          <w:color w:val="000000"/>
          <w:sz w:val="20"/>
          <w:szCs w:val="20"/>
        </w:rPr>
        <w:t xml:space="preserve">Figure 4. 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via Vietcap Securities (2026); authors' calculations.</w:t>
      </w:r>
    </w:p>
    <w:p>
      <w:pPr>
        <w:spacing w:after="120" w:line="276"/>
        <w:jc w:val="both"/>
      </w:pPr>
      <w:r>
        <w:rPr>
          <w:rFonts w:ascii="Calibri" w:cs="Calibri" w:eastAsia="Calibri" w:hAnsi="Calibri"/>
          <w:color w:val="000000"/>
          <w:sz w:val="22"/>
          <w:szCs w:val="22"/>
        </w:rPr>
        <w:t xml:space="preserve">Funding is the second source. Average borrowings rose 43 per cent and the estimated cost of funds rose from 4.6 to 6.3 per cent between the first halves of 2025 and 2026 (Figure A8). The rate itself is normal: on the same method TCBS paid 7.8 per cent in the second quarter of 2026, VPBankS and MBS 6.8 per cent and VPS, which has no parent bank, 5.1 per cent, against DNSE's 6.5 per cent (Table A6).</w:t>
      </w:r>
    </w:p>
    <w:p>
      <w:pPr>
        <w:pStyle w:val="Heading2"/>
        <w:keepNext/>
        <w:spacing w:after="100" w:before="240"/>
      </w:pPr>
      <w:r>
        <w:rPr>
          <w:rFonts w:ascii="Calibri" w:cs="Calibri" w:eastAsia="Calibri" w:hAnsi="Calibri"/>
          <w:b/>
          <w:bCs/>
          <w:color w:val="000000"/>
          <w:sz w:val="24"/>
          <w:szCs w:val="24"/>
        </w:rPr>
        <w:t xml:space="preserve">2.6 Finding 5. Capital is not the constraint</w:t>
      </w:r>
    </w:p>
    <w:p>
      <w:pPr>
        <w:spacing w:after="120" w:line="276"/>
        <w:jc w:val="both"/>
      </w:pPr>
      <w:r>
        <w:rPr>
          <w:rFonts w:ascii="Calibri" w:cs="Calibri" w:eastAsia="Calibri" w:hAnsi="Calibri"/>
          <w:color w:val="000000"/>
          <w:sz w:val="22"/>
          <w:szCs w:val="22"/>
        </w:rPr>
        <w:t xml:space="preserve">Margin loans were 116 per cent of DNSE's equity at 30 June 2026 against a regulatory ceiling of 200 per cent, leaving room for about VND 4.6 trillion of additional lending, and shareholders added VND 1.3 trillion in March 2026 (CafeF, 2026a). Lending is the widest margin: an 11.2 per cent yield in the first half of 2026 left a spread of about 4.9 points over the cost of funds, so each extra VND 1 trillion lent adds about VND 49 billion of pre-tax profit a year before credit losses. What limits lending is demand from customers with money.</w:t>
      </w:r>
    </w:p>
    <w:p>
      <w:pPr>
        <w:spacing w:after="120" w:line="276"/>
        <w:jc w:val="both"/>
      </w:pPr>
      <w:r>
        <w:rPr>
          <w:rFonts w:ascii="Calibri" w:cs="Calibri" w:eastAsia="Calibri" w:hAnsi="Calibri"/>
          <w:color w:val="000000"/>
          <w:sz w:val="22"/>
          <w:szCs w:val="22"/>
        </w:rPr>
        <w:t xml:space="preserve">Meanwhile 38 per cent of total assets sits in term deposits and bonds held to maturity, against 1 to 22 per cent at eight large peers (Table A6), and 93 per cent of these assets were pledged to banks for DNSE's borrowing at 30 June 2026 (DNSE, 2026a, note 8(b)). They yielded about 6.0 per cent in the first half of 2026, close to the cost of the funds behind them (Figure A8), so they supply 23 per cent of revenue and almost no profit (Figure A9).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Why the money does not stay</w:t>
      </w:r>
    </w:p>
    <w:p>
      <w:pPr>
        <w:spacing w:after="120" w:line="276"/>
        <w:jc w:val="both"/>
      </w:pPr>
      <w:r>
        <w:rPr>
          <w:rFonts w:ascii="Calibri" w:cs="Calibri" w:eastAsia="Calibri" w:hAnsi="Calibri"/>
          <w:color w:val="000000"/>
          <w:sz w:val="22"/>
          <w:szCs w:val="22"/>
        </w:rPr>
        <w:t xml:space="preserve">A five-whys analysis links the symptom to DNSE's own design (Tables B1 and B2). Two causes are measured. The first is the price of the cash product: DNSE's idle-cash account pays a fixed 1.8 per cent, and 2.1 to 2.3 per cent to a customer with less than VND 500 million (DNSE, 2026b), while TCBS's iPower pays 6.0 per cent on the same balance from VND 5 million and banks' automatic-earning accounts paid 3.5 to 4.3 per cent in 2025 (TCBS, 2026a; DNSE, 2025; Figure B1). A saver has no financial reason to keep money at DNSE. The second is the product mix. Derivatives give DNSE its largest market share, but investors post margin at the clearing house, so the franchise builds activity, and brokerage losses, without building balances.</w:t>
      </w:r>
    </w:p>
    <w:p>
      <w:pPr>
        <w:spacing w:after="120" w:line="276"/>
        <w:jc w:val="both"/>
      </w:pPr>
      <w:r>
        <w:rPr>
          <w:rFonts w:ascii="Calibri" w:cs="Calibri" w:eastAsia="Calibri" w:hAnsi="Calibri"/>
          <w:color w:val="000000"/>
          <w:sz w:val="22"/>
          <w:szCs w:val="22"/>
        </w:rPr>
        <w:t xml:space="preserve">Two further causes are hypotheses for Round 3: reward-driven intake, which would explain accounts that receive only the deposit a reward requires, and targets built on accounts, market share and order speed rather than balances, which would explain why no competitive savings product exists.</w:t>
      </w:r>
    </w:p>
    <w:p>
      <w:pPr>
        <w:spacing w:after="120" w:line="276"/>
        <w:jc w:val="both"/>
      </w:pPr>
      <w:r>
        <w:rPr>
          <w:rFonts w:ascii="Calibri" w:cs="Calibri" w:eastAsia="Calibri" w:hAnsi="Calibri"/>
          <w:color w:val="000000"/>
          <w:sz w:val="22"/>
          <w:szCs w:val="22"/>
        </w:rPr>
        <w:t xml:space="preserve">Four alternative explanations were tested. The market cycle does not explain 2025, when every index rose and assets per account fell, and in 2026 DNSE's investor cash fell 38 per cent, in line with the industry (Figure B2). Capital is not the constraint, and the peer comparison controls for dormant accounts. The fourth, that DNSE acquires young customers now to monetise them later, cannot be rejected with public data, because new cohorts dilute per-account averages and active users doubled in 2025; cohort data, the first test in Section 4.4, would settle it.</w:t>
      </w:r>
    </w:p>
    <w:p>
      <w:pPr>
        <w:pStyle w:val="Heading2"/>
        <w:keepNext/>
        <w:spacing w:after="100" w:before="240"/>
      </w:pPr>
      <w:r>
        <w:rPr>
          <w:rFonts w:ascii="Calibri" w:cs="Calibri" w:eastAsia="Calibri" w:hAnsi="Calibri"/>
          <w:b/>
          <w:bCs/>
          <w:color w:val="000000"/>
          <w:sz w:val="24"/>
          <w:szCs w:val="24"/>
        </w:rPr>
        <w:t xml:space="preserve">3.2 Market and customer context</w:t>
      </w:r>
    </w:p>
    <w:p>
      <w:pPr>
        <w:spacing w:after="120" w:line="276"/>
        <w:jc w:val="both"/>
      </w:pPr>
      <w:r>
        <w:rPr>
          <w:rFonts w:ascii="Calibri" w:cs="Calibri" w:eastAsia="Calibri" w:hAnsi="Calibri"/>
          <w:color w:val="000000"/>
          <w:sz w:val="22"/>
          <w:szCs w:val="22"/>
        </w:rPr>
        <w:t xml:space="preserve">Conditions in 2026 raise the cost of the gap. Credit grew faster than deposits in 2025, banks raised 12-month deposit rates by about 2.5 points in 2026, and household deposits reached a record of more than VND 11 quadrillion in June (FiinRatings, 2026; VietnamNet, 2026; Vietstock, 2026i; Table B3). Cash at brokers fell by more than a third in three quarters (VnEconomy, 2026b), and bank-owned brokers supplied more than half of the growth in margin lending in the second quarter (Vietstock, 2026g). The pool is large: one tenth of one per cent of household deposits equals 5.6 times DNSE's investor cash (Table B4), and no independent digital broker yet offers salaried savers a competitive place for a monthly surplus (Table B5).</w:t>
      </w:r>
    </w:p>
    <w:p>
      <w:pPr>
        <w:spacing w:after="120" w:line="276"/>
        <w:jc w:val="both"/>
      </w:pPr>
      <w:r>
        <w:rPr>
          <w:rFonts w:ascii="Calibri" w:cs="Calibri" w:eastAsia="Calibri" w:hAnsi="Calibri"/>
          <w:color w:val="000000"/>
          <w:sz w:val="22"/>
          <w:szCs w:val="22"/>
        </w:rPr>
        <w:t xml:space="preserve">Findex data show that 37 per cent of Vietnamese adults receive wages into an account, with the largest formally saved surplus among working adults in the upper income groups (World Bank, 2025b; Appendix F). Young adults save into an account every month as often as older adults, but only 8 per cent save for old age, against 23 per cent of adults aged 25 and over. In a 2025 survey, 81 per cent of investors wanted professional advice and a third feared non-transparent fees (Nhân Dân, 2025; VnEconomy, 2025).</w:t>
      </w:r>
    </w:p>
    <w:p>
      <w:pPr>
        <w:pStyle w:val="Heading2"/>
        <w:keepNext/>
        <w:spacing w:after="100" w:before="240"/>
      </w:pPr>
      <w:r>
        <w:rPr>
          <w:rFonts w:ascii="Calibri" w:cs="Calibri" w:eastAsia="Calibri" w:hAnsi="Calibri"/>
          <w:b/>
          <w:bCs/>
          <w:color w:val="000000"/>
          <w:sz w:val="24"/>
          <w:szCs w:val="24"/>
        </w:rPr>
        <w:t xml:space="preserve">3.3 Lessons from comparable firms abroad</w:t>
      </w:r>
    </w:p>
    <w:p>
      <w:pPr>
        <w:spacing w:after="120" w:line="276"/>
        <w:jc w:val="both"/>
      </w:pPr>
      <w:r>
        <w:rPr>
          <w:rFonts w:ascii="Calibri" w:cs="Calibri" w:eastAsia="Calibri" w:hAnsi="Calibri"/>
          <w:color w:val="000000"/>
          <w:sz w:val="22"/>
          <w:szCs w:val="22"/>
        </w:rPr>
        <w:t xml:space="preserve">Zero-fee brokers abroad met the same problem earlier and solved it by gathering assets (Table B6). Robinhood's growth after 2021 came from net deposits, USD 68 billion in 2025, helped by retirement accounts and a higher cash yield (Robinhood Markets, 2026), and Trade Republic passed the central bank rate to customers and automated savings plans, reaching more than EUR 150 billion of assets (Trade Republic, 2025). Vietnamese securities firms cannot take deposits, so DNSE must gather balances through partners (Table B7).</w:t>
      </w:r>
    </w:p>
    <w:p>
      <w:pPr>
        <w:pStyle w:val="Heading2"/>
        <w:keepNext/>
        <w:spacing w:after="100" w:before="240"/>
      </w:pPr>
      <w:r>
        <w:rPr>
          <w:rFonts w:ascii="Calibri" w:cs="Calibri" w:eastAsia="Calibri" w:hAnsi="Calibri"/>
          <w:b/>
          <w:bCs/>
          <w:color w:val="000000"/>
          <w:sz w:val="24"/>
          <w:szCs w:val="24"/>
        </w:rPr>
        <w:t xml:space="preserve">3.4 Target market, priority problem and problem statement</w:t>
      </w:r>
    </w:p>
    <w:p>
      <w:pPr>
        <w:spacing w:after="120" w:line="276"/>
        <w:jc w:val="both"/>
      </w:pPr>
      <w:r>
        <w:rPr>
          <w:rFonts w:ascii="Calibri" w:cs="Calibri" w:eastAsia="Calibri" w:hAnsi="Calibri"/>
          <w:color w:val="000000"/>
          <w:sz w:val="22"/>
          <w:szCs w:val="22"/>
        </w:rPr>
        <w:t xml:space="preserve">Five candidate markets were scored on six weighted criteria (Table B8). Salaried mass-affluent adults rank first under both weighted and equal scores: they hold the formally saved surplus, earn monthly income and are partly in DNSE's base already. Young first-time investors remain DNSE's strongest franchise but its weakest source of balances, so the scope is salaried customers of roughly 22 to 40, including Gen Z customers once they start work, in their first 90 days on the platform (Table B9).</w:t>
      </w:r>
    </w:p>
    <w:p>
      <w:pPr>
        <w:spacing w:after="120" w:line="276"/>
        <w:jc w:val="both"/>
      </w:pPr>
      <w:r>
        <w:rPr>
          <w:rFonts w:ascii="Calibri" w:cs="Calibri" w:eastAsia="Calibri" w:hAnsi="Calibri"/>
          <w:color w:val="000000"/>
          <w:sz w:val="22"/>
          <w:szCs w:val="22"/>
        </w:rPr>
        <w:t xml:space="preserve">Seven candidate problems were compared on scale, urgency, strategic relevance, data support and control (Table B10). The balance gap ranks first under both weightings; the trust deficit ranks second and becomes a condition within the solution, and loss-making brokerage, reliance on trading gains and funding cost are partly its symptoms. Reaching the 2026 profit plan from lending at the current spread would need a loan book 2.3 times today's, backed by about 2.5 times the customer assets DNSE held at the end of 2025 (Figure B3).</w:t>
      </w:r>
    </w:p>
    <w:p>
      <w:pPr>
        <w:spacing w:after="120" w:line="276"/>
        <w:jc w:val="both"/>
      </w:pPr>
      <w:r>
        <w:rPr>
          <w:rFonts w:ascii="Calibri" w:cs="Calibri" w:eastAsia="Calibri" w:hAnsi="Calibri"/>
          <w:b/>
          <w:bCs/>
          <w:color w:val="000000"/>
          <w:sz w:val="22"/>
          <w:szCs w:val="22"/>
        </w:rPr>
        <w:t xml:space="preserve">Problem statement. </w:t>
      </w:r>
      <w:r>
        <w:rPr>
          <w:rFonts w:ascii="Calibri" w:cs="Calibri" w:eastAsia="Calibri" w:hAnsi="Calibri"/>
          <w:color w:val="000000"/>
          <w:sz w:val="22"/>
          <w:szCs w:val="22"/>
        </w:rPr>
        <w:t xml:space="preserve">DNSE opens nearly one in five of Vietnam's new securities accounts but holds 2.3 to 3.5 per cent of investor cash and 1.4 to 1.8 per cent of margin lending. It converts sign-ups into funded, retained relationships at a low rate, above all in the first 90 days, because its incentives reward opening accounts and its products give salaried customers no competitive, trusted reason to keep money on the platform. As a result, core profit has not grown since 2022 while revenue tripled (Table B11).</w:t>
      </w:r>
    </w:p>
    <w:p>
      <w:pPr>
        <w:pStyle w:val="Heading2"/>
        <w:keepNext/>
        <w:spacing w:after="100" w:before="240"/>
      </w:pPr>
      <w:r>
        <w:rPr>
          <w:rFonts w:ascii="Calibri" w:cs="Calibri" w:eastAsia="Calibri" w:hAnsi="Calibri"/>
          <w:b/>
          <w:bCs/>
          <w:color w:val="000000"/>
          <w:sz w:val="24"/>
          <w:szCs w:val="24"/>
        </w:rPr>
        <w:t xml:space="preserve">3.5 Strategic alternatives</w:t>
      </w:r>
    </w:p>
    <w:p>
      <w:pPr>
        <w:spacing w:after="120" w:line="276"/>
        <w:jc w:val="both"/>
      </w:pPr>
      <w:r>
        <w:rPr>
          <w:rFonts w:ascii="Calibri" w:cs="Calibri" w:eastAsia="Calibri" w:hAnsi="Calibri"/>
          <w:color w:val="000000"/>
          <w:sz w:val="22"/>
          <w:szCs w:val="22"/>
        </w:rPr>
        <w:t xml:space="preserve">Six responses were scored on six weighted criteria (Table B12), and Payday Portfolio, a salary-linked savings-to-investing layer, ranks first. Continuing acquisition-led growth adds accounts from the segment with the least money. A derivatives-to-shares bridge waits for same-day trading, possibly until 2028 (Người Quan sát, 2026), and deepens exposure to the activity penalised in August 2026. An advisory tier needs advisers DNSE deliberately avoided, a bank or e-wallet alliance works better as a channel than as a strategy, and reintroducing fees would break the zero-fee promise. Three quick wins should run alongside: repricing the idle-cash account, reviewing the per-trade costs DNSE absorbs and reactivating dormant accounts.</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savings tab in Entrade X, separate from the trading screens, that turns a customer's monthly surplus into a growing balance (Figure B4). It targets salaried adults of roughly 22 to 40, starting with DNSE's own low-balance accounts held by working customers, and acts in the first 90 days and on each payday after them.</w:t>
      </w:r>
    </w:p>
    <w:p>
      <w:pPr>
        <w:spacing w:after="120" w:line="276"/>
        <w:jc w:val="both"/>
      </w:pPr>
      <w:r>
        <w:rPr>
          <w:rFonts w:ascii="Calibri" w:cs="Calibri" w:eastAsia="Calibri" w:hAnsi="Calibri"/>
          <w:b/>
          <w:bCs/>
          <w:color w:val="000000"/>
          <w:sz w:val="22"/>
          <w:szCs w:val="22"/>
        </w:rPr>
        <w:t xml:space="preserve">Salary link. </w:t>
      </w:r>
      <w:r>
        <w:rPr>
          <w:rFonts w:ascii="Calibri" w:cs="Calibri" w:eastAsia="Calibri" w:hAnsi="Calibri"/>
          <w:color w:val="000000"/>
          <w:sz w:val="22"/>
          <w:szCs w:val="22"/>
        </w:rPr>
        <w:t xml:space="preserve">On payday a fixed amount chosen by the customer moves from a bank account or ZaloPay wallet to DNSE, through ZaloPay, a partner since 2023, or a standing order today, and through the open banking interfaces banks must support by March 2027 (Thanh Niên, 2023; State Bank of Vietnam, 2024).</w:t>
      </w:r>
    </w:p>
    <w:p>
      <w:pPr>
        <w:spacing w:after="120" w:line="276"/>
        <w:jc w:val="both"/>
      </w:pPr>
      <w:r>
        <w:rPr>
          <w:rFonts w:ascii="Calibri" w:cs="Calibri" w:eastAsia="Calibri" w:hAnsi="Calibri"/>
          <w:b/>
          <w:bCs/>
          <w:color w:val="000000"/>
          <w:sz w:val="22"/>
          <w:szCs w:val="22"/>
        </w:rPr>
        <w:t xml:space="preserve">Cash layer. </w:t>
      </w:r>
      <w:r>
        <w:rPr>
          <w:rFonts w:ascii="Calibri" w:cs="Calibri" w:eastAsia="Calibri" w:hAnsi="Calibri"/>
          <w:color w:val="000000"/>
          <w:sz w:val="22"/>
          <w:szCs w:val="22"/>
        </w:rPr>
        <w:t xml:space="preserve">Money earns a market-linked return through a sweep into a partner bank deposit or a licensed money market fund. The partner pays the yield and DNSE earns a distribution fee, so DNSE takes no deposits, and the yield does not depend on trading.</w:t>
      </w:r>
    </w:p>
    <w:p>
      <w:pPr>
        <w:spacing w:after="120" w:line="276"/>
        <w:jc w:val="both"/>
      </w:pPr>
      <w:r>
        <w:rPr>
          <w:rFonts w:ascii="Calibri" w:cs="Calibri" w:eastAsia="Calibri" w:hAnsi="Calibri"/>
          <w:b/>
          <w:bCs/>
          <w:color w:val="000000"/>
          <w:sz w:val="22"/>
          <w:szCs w:val="22"/>
        </w:rPr>
        <w:t xml:space="preserve">Ladder. </w:t>
      </w:r>
      <w:r>
        <w:rPr>
          <w:rFonts w:ascii="Calibri" w:cs="Calibri" w:eastAsia="Calibri" w:hAnsi="Calibri"/>
          <w:color w:val="000000"/>
          <w:sz w:val="22"/>
          <w:szCs w:val="22"/>
        </w:rPr>
        <w:t xml:space="preserve">Goal rules split the balance between bond funds, the existing Trứng Vàng bonds from VND 1 million and VN30 exchange-traded funds, each shown with a realistic range of returns.</w:t>
      </w:r>
    </w:p>
    <w:p>
      <w:pPr>
        <w:spacing w:after="120" w:line="276"/>
        <w:jc w:val="both"/>
      </w:pPr>
      <w:r>
        <w:rPr>
          <w:rFonts w:ascii="Calibri" w:cs="Calibri" w:eastAsia="Calibri" w:hAnsi="Calibri"/>
          <w:b/>
          <w:bCs/>
          <w:color w:val="000000"/>
          <w:sz w:val="22"/>
          <w:szCs w:val="22"/>
        </w:rPr>
        <w:t xml:space="preserve">Optional collateral. </w:t>
      </w:r>
      <w:r>
        <w:rPr>
          <w:rFonts w:ascii="Calibri" w:cs="Calibri" w:eastAsia="Calibri" w:hAnsi="Calibri"/>
          <w:color w:val="000000"/>
          <w:sz w:val="22"/>
          <w:szCs w:val="22"/>
        </w:rPr>
        <w:t xml:space="preserve">After a suitability check, part of the portfolio may back Margin Deal loans at conservative ratios; leverage is never the default.</w:t>
      </w:r>
    </w:p>
    <w:p>
      <w:pPr>
        <w:spacing w:after="120" w:line="276"/>
        <w:jc w:val="both"/>
      </w:pPr>
      <w:r>
        <w:rPr>
          <w:rFonts w:ascii="Calibri" w:cs="Calibri" w:eastAsia="Calibri" w:hAnsi="Calibri"/>
          <w:b/>
          <w:bCs/>
          <w:color w:val="000000"/>
          <w:sz w:val="22"/>
          <w:szCs w:val="22"/>
        </w:rPr>
        <w:t xml:space="preserve">Trust layer. </w:t>
      </w:r>
      <w:r>
        <w:rPr>
          <w:rFonts w:ascii="Calibri" w:cs="Calibri" w:eastAsia="Calibri" w:hAnsi="Calibri"/>
          <w:color w:val="000000"/>
          <w:sz w:val="22"/>
          <w:szCs w:val="22"/>
        </w:rPr>
        <w:t xml:space="preserve">The closure fee is removed, rewards are paid only on money that stays, terms, uptime and onboarding success are published, onboarding moves to the VNeID platform, and the product is reported to the State Securities Commission before launch, once the control gaps found by the August 2026 penalty are closed (Market Times, 2026). Tables B13 and B14 set out the journey and the evidence.</w:t>
      </w:r>
    </w:p>
    <w:p>
      <w:pPr>
        <w:pStyle w:val="Heading2"/>
        <w:keepNext/>
        <w:spacing w:after="100" w:before="240"/>
      </w:pPr>
      <w:r>
        <w:rPr>
          <w:rFonts w:ascii="Calibri" w:cs="Calibri" w:eastAsia="Calibri" w:hAnsi="Calibri"/>
          <w:b/>
          <w:bCs/>
          <w:color w:val="000000"/>
          <w:sz w:val="24"/>
          <w:szCs w:val="24"/>
        </w:rPr>
        <w:t xml:space="preserve">4.2 Value logic and expected outcomes</w:t>
      </w:r>
    </w:p>
    <w:p>
      <w:pPr>
        <w:spacing w:after="120" w:line="276"/>
        <w:jc w:val="both"/>
      </w:pPr>
      <w:r>
        <w:rPr>
          <w:rFonts w:ascii="Calibri" w:cs="Calibri" w:eastAsia="Calibri" w:hAnsi="Calibri"/>
          <w:color w:val="000000"/>
          <w:sz w:val="22"/>
          <w:szCs w:val="22"/>
        </w:rPr>
        <w:t xml:space="preserve">Value comes in four ways, in order of certainty: retaining money that is already leaving, distribution fees on balances, lending against balances at a 4.9-point spread, and cheaper growth, since the first wave comes from accounts DNSE has already paid to acquire. In the base case, 150,000 savers, about one in eleven accounts, contribute VND 2.5 million a month and keep 70 per cent on the platform. After 18 months the layer would hold VND 4.7 trillion, 2.4 times DNSE's investor cash today, and earn about VND 72 billion a year (Table B15; Figure B5). It rebuilds the balance base for 2027 and 2028 but will not rescue the 2026 plan.</w:t>
      </w:r>
    </w:p>
    <w:p>
      <w:pPr>
        <w:pStyle w:val="Heading2"/>
        <w:keepNext/>
        <w:spacing w:after="100" w:before="240"/>
      </w:pPr>
      <w:r>
        <w:rPr>
          <w:rFonts w:ascii="Calibri" w:cs="Calibri" w:eastAsia="Calibri" w:hAnsi="Calibri"/>
          <w:b/>
          <w:bCs/>
          <w:color w:val="000000"/>
          <w:sz w:val="24"/>
          <w:szCs w:val="24"/>
        </w:rPr>
        <w:t xml:space="preserve">4.3 Feasibility and risks</w:t>
      </w:r>
    </w:p>
    <w:p>
      <w:pPr>
        <w:spacing w:after="120" w:line="276"/>
        <w:jc w:val="both"/>
      </w:pPr>
      <w:r>
        <w:rPr>
          <w:rFonts w:ascii="Calibri" w:cs="Calibri" w:eastAsia="Calibri" w:hAnsi="Calibri"/>
          <w:color w:val="000000"/>
          <w:sz w:val="22"/>
          <w:szCs w:val="22"/>
        </w:rPr>
        <w:t xml:space="preserve">The building blocks already exist (Table B16). Four risks matter most. On price, a competitive yield could cost more than it earns; a 3-point bonus paid by DNSE on all existing investor cash would cost about VND 59 billion a year, so any bonus applies to new contributions only. On regulation, a structure deemed deposit-taking would be refused, so sweep and fund routes are preferred. On conduct, collateral use is opt-in and capped. On execution, a savings product that fails on payday would destroy trust, so reliability targets are a launch condition.</w:t>
      </w:r>
    </w:p>
    <w:p>
      <w:pPr>
        <w:pStyle w:val="Heading2"/>
        <w:keepNext/>
        <w:spacing w:after="100" w:before="240"/>
      </w:pPr>
      <w:r>
        <w:rPr>
          <w:rFonts w:ascii="Calibri" w:cs="Calibri" w:eastAsia="Calibri" w:hAnsi="Calibri"/>
          <w:b/>
          <w:bCs/>
          <w:color w:val="000000"/>
          <w:sz w:val="24"/>
          <w:szCs w:val="24"/>
        </w:rPr>
        <w:t xml:space="preserve">4.4 Validation direction</w:t>
      </w:r>
    </w:p>
    <w:p>
      <w:pPr>
        <w:spacing w:after="120" w:line="276"/>
        <w:jc w:val="both"/>
      </w:pPr>
      <w:r>
        <w:rPr>
          <w:rFonts w:ascii="Calibri" w:cs="Calibri" w:eastAsia="Calibri" w:hAnsi="Calibri"/>
          <w:color w:val="000000"/>
          <w:sz w:val="22"/>
          <w:szCs w:val="22"/>
        </w:rPr>
        <w:t xml:space="preserve">Seven assumptions must be tested before commitment (Table B17), led by the distribution of balances by cohort, customers' response to the cash yield in a randomised test, the legal structure of the cash layer and a 20,000-customer payday pilot, which should reach 25 per cent enrolment within 60 days with 70 per cent of contributions kept at 90 days. The legal structure is settled first and gates the pilot (Figure B6). The main success measure is the funded-account rate, the share of accounts holding at least VND 5 million for 30 consecutive days.</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getting noticed: it opens nearly one in five new accounts in Vietnam and handles a quarter of derivatives brokerage. It has not solved the problem that decides profit, getting customers to keep money with it. Its accounts hold a fraction of the market's cash and loans, its core profit has not grown since 2022, and each extra unit of revenue now brings as much extra cost, mostly per-trade brokerage cost and funding. The constraint is the product and its incentives, which Payday Portfolio changes. Round 3 should begin by measuring how many of DNSE's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Exhibits for the findings</w:t>
      </w:r>
    </w:p>
    <w:p>
      <w:pPr>
        <w:spacing w:after="120" w:line="276"/>
        <w:jc w:val="both"/>
      </w:pPr>
      <w:r>
        <w:rPr>
          <w:rFonts w:ascii="Calibri" w:cs="Calibri" w:eastAsia="Calibri" w:hAnsi="Calibri"/>
          <w:color w:val="000000"/>
          <w:sz w:val="22"/>
          <w:szCs w:val="22"/>
        </w:rPr>
        <w:t xml:space="preserve">Appendix A holds the figures and tables behind Section 2, in the order in which the text cites them.</w:t>
      </w:r>
    </w:p>
    <w:p>
      <w:pPr>
        <w:keepNext/>
        <w:keepLines/>
        <w:spacing w:after="80" w:before="200"/>
      </w:pPr>
      <w:r>
        <w:rPr>
          <w:rFonts w:ascii="Calibri" w:cs="Calibri" w:eastAsia="Calibri" w:hAnsi="Calibri"/>
          <w:b/>
          <w:bCs/>
          <w:color w:val="000000"/>
          <w:sz w:val="20"/>
          <w:szCs w:val="20"/>
        </w:rPr>
        <w:t xml:space="preserve">Table A1. 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DNSE (2026d); Vietstock (2026a, 2026b, 2026f); CafeF (2026c); Kinh tế Chứng khoán (2026) for ownership; Market Times (2026). Figures at 30 June 2026 unless stated.</w:t>
      </w:r>
    </w:p>
    <w:p>
      <w:pPr>
        <w:keepNext/>
        <w:keepLines/>
        <w:spacing w:after="80" w:before="200"/>
      </w:pPr>
      <w:r>
        <w:rPr>
          <w:rFonts w:ascii="Calibri" w:cs="Calibri" w:eastAsia="Calibri" w:hAnsi="Calibri"/>
          <w:b/>
          <w:bCs/>
          <w:color w:val="000000"/>
          <w:sz w:val="20"/>
          <w:szCs w:val="20"/>
        </w:rPr>
        <w:t xml:space="preserve">Table A2. 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27 September 2026. Full addresses in Appendix H.</w:t>
      </w:r>
    </w:p>
    <w:p>
      <w:pPr>
        <w:keepNext/>
        <w:keepLines/>
        <w:spacing w:after="80" w:before="200"/>
      </w:pPr>
      <w:r>
        <w:rPr>
          <w:rFonts w:ascii="Calibri" w:cs="Calibri" w:eastAsia="Calibri" w:hAnsi="Calibri"/>
          <w:b/>
          <w:bCs/>
          <w:color w:val="000000"/>
          <w:sz w:val="20"/>
          <w:szCs w:val="20"/>
        </w:rPr>
        <w:t xml:space="preserve">Figure A1. 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DNSE's 2025 annual report (DNSE, 2026d) for year-end accounts; VnExpress (2025) and Vietstock (2026c) for June 2025 and March 2026; DNSE releases for mid-2026; Hanoi Stock Exchange (2026) for derivatives brokerage shares since DNSE entered the top ten in the first quarter of 2024.</w:t>
      </w:r>
    </w:p>
    <w:p>
      <w:pPr>
        <w:keepNext/>
        <w:keepLines/>
        <w:spacing w:after="80" w:before="200"/>
      </w:pPr>
      <w:r>
        <w:rPr>
          <w:rFonts w:ascii="Calibri" w:cs="Calibri" w:eastAsia="Calibri" w:hAnsi="Calibri"/>
          <w:b/>
          <w:bCs/>
          <w:color w:val="000000"/>
          <w:sz w:val="20"/>
          <w:szCs w:val="20"/>
        </w:rPr>
        <w:t xml:space="preserve">Figure A2. Value of an average DNSE account relative to the average Vietnamese securities account</w:t>
      </w:r>
    </w:p>
    <w:p>
      <w:pPr>
        <w:keepNext/>
        <w:spacing w:after="40"/>
        <w:jc w:val="center"/>
      </w:pPr>
      <w:r>
        <w:drawing>
          <wp:inline distT="0" distB="0" distL="0" distR="0">
            <wp:extent cx="5715000" cy="2017059"/>
            <wp:effectExtent t="0" r="0" b="0" l="0"/>
            <wp:docPr id="9002" name="Picture v5 2"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v5_fig2.png" descr=""/>
                    <pic:cNvPicPr>
                      <a:picLocks noChangeAspect="1" noChangeArrowheads="1"/>
                    </pic:cNvPicPr>
                  </pic:nvPicPr>
                  <pic:blipFill>
                    <a:blip r:embed="rIdV5img2" cstate="none"/>
                    <a:srcRect/>
                    <a:stretch>
                      <a:fillRect/>
                    </a:stretch>
                  </pic:blipFill>
                  <pic:spPr bwMode="auto">
                    <a:xfrm>
                      <a:off x="0" y="0"/>
                      <a:ext cx="5715000" cy="2017059"/>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 Each value is DNSE's share of a market divided by its share of securities accounts, 12.7 per cent (1,512,920 of 11,871,933 accounts at the end of 2025; 12.66 per cent at 30 June 2026). Light bars span the two industry totals in Table D1.</w:t>
      </w:r>
    </w:p>
    <w:p>
      <w:pPr>
        <w:keepNext/>
        <w:keepLines/>
        <w:spacing w:after="80" w:before="200"/>
      </w:pPr>
      <w:r>
        <w:rPr>
          <w:rFonts w:ascii="Calibri" w:cs="Calibri" w:eastAsia="Calibri" w:hAnsi="Calibri"/>
          <w:b/>
          <w:bCs/>
          <w:color w:val="000000"/>
          <w:sz w:val="20"/>
          <w:szCs w:val="20"/>
        </w:rPr>
        <w:t xml:space="preserve">Figure A3. 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keepNext/>
        <w:keepLines/>
        <w:spacing w:after="80" w:before="200"/>
      </w:pPr>
      <w:r>
        <w:rPr>
          <w:rFonts w:ascii="Calibri" w:cs="Calibri" w:eastAsia="Calibri" w:hAnsi="Calibri"/>
          <w:b/>
          <w:bCs/>
          <w:color w:val="000000"/>
          <w:sz w:val="20"/>
          <w:szCs w:val="20"/>
        </w:rPr>
        <w:t xml:space="preserve">Table A3. DNSE against three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VPS</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891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profit and investor cash; company releases for accounts (Vietstock, 2026d; TCBS, 2026c; VPS Securities, 2025); HOSE quarterly announcement for brokerage share; authors' calculations. Account figures are dated May 2026 (VPBankS), end-2025 (TCBS), September 2025 (VPS, from its IPO presentation) and mid-2026 (DNSE). VPS figures are filed under the ticker VCK. Per-account values are averages, which large clients raise at every firm. Investor cash is the off-balance-sheet cash each firm reports; bank-linked account models keep part of customers' cash at the parent bank, so this row is the least comparable.</w:t>
      </w:r>
    </w:p>
    <w:p>
      <w:pPr>
        <w:keepNext/>
        <w:keepLines/>
        <w:spacing w:after="80" w:before="200"/>
      </w:pPr>
      <w:r>
        <w:rPr>
          <w:rFonts w:ascii="Calibri" w:cs="Calibri" w:eastAsia="Calibri" w:hAnsi="Calibri"/>
          <w:b/>
          <w:bCs/>
          <w:color w:val="000000"/>
          <w:sz w:val="20"/>
          <w:szCs w:val="20"/>
        </w:rPr>
        <w:t xml:space="preserve">Figure A4. 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retrieved 23 September 2026; authors' cleaning and coding. 278 negative reviews carrying 1,794 helpful votes.</w:t>
      </w:r>
    </w:p>
    <w:p>
      <w:pPr>
        <w:keepNext/>
        <w:keepLines/>
        <w:spacing w:after="80" w:before="200"/>
      </w:pPr>
      <w:r>
        <w:rPr>
          <w:rFonts w:ascii="Calibri" w:cs="Calibri" w:eastAsia="Calibri" w:hAnsi="Calibri"/>
          <w:b/>
          <w:bCs/>
          <w:color w:val="000000"/>
          <w:sz w:val="20"/>
          <w:szCs w:val="20"/>
        </w:rPr>
        <w:t xml:space="preserve">Figure A5. 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retrieved 23 September 2026; authors' cleaning and coding.</w:t>
      </w:r>
    </w:p>
    <w:p>
      <w:pPr>
        <w:keepNext/>
        <w:keepLines/>
        <w:spacing w:after="80" w:before="200"/>
      </w:pPr>
      <w:r>
        <w:rPr>
          <w:rFonts w:ascii="Calibri" w:cs="Calibri" w:eastAsia="Calibri" w:hAnsi="Calibri"/>
          <w:b/>
          <w:bCs/>
          <w:color w:val="000000"/>
          <w:sz w:val="20"/>
          <w:szCs w:val="20"/>
        </w:rPr>
        <w:t xml:space="preserve">Figure A6. 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keepNext/>
        <w:keepLines/>
        <w:spacing w:after="80" w:before="200"/>
      </w:pPr>
      <w:r>
        <w:rPr>
          <w:rFonts w:ascii="Calibri" w:cs="Calibri" w:eastAsia="Calibri" w:hAnsi="Calibri"/>
          <w:b/>
          <w:bCs/>
          <w:color w:val="000000"/>
          <w:sz w:val="20"/>
          <w:szCs w:val="20"/>
        </w:rPr>
        <w:t xml:space="preserve">Figure A7. 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keepNext/>
        <w:keepLines/>
        <w:spacing w:after="80" w:before="200"/>
      </w:pPr>
      <w:r>
        <w:rPr>
          <w:rFonts w:ascii="Calibri" w:cs="Calibri" w:eastAsia="Calibri" w:hAnsi="Calibri"/>
          <w:b/>
          <w:bCs/>
          <w:color w:val="000000"/>
          <w:sz w:val="20"/>
          <w:szCs w:val="20"/>
        </w:rPr>
        <w:t xml:space="preserve">Table A4. Where DNSE's extra revenue and cost came from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986"/>
        <w:gridCol w:w="986"/>
        <w:gridCol w:w="1006"/>
        <w:gridCol w:w="986"/>
        <w:gridCol w:w="986"/>
        <w:gridCol w:w="970"/>
      </w:tblGrid>
      <w:tr>
        <w:trPr>
          <w:cantSplit/>
          <w:tblHeader/>
        </w:trPr>
        <w:tc>
          <w:tcPr>
            <w:tcW w:type="dxa" w:w="31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2025</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c>
          <w:tcPr>
            <w:tcW w:type="dxa" w:w="10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Change</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8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7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Change</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operating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486.3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771.0</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+284.7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759.5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1,286.5</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+527.0</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interest on margin loans and advances</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336.1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+107.3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360.5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555.8</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+195.2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interest on deposits and bonds held to maturity</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128.1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193.4</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+65.3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245.0</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303.9</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+58.9</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brokerage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122.8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222.1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+99.2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144.8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404.0</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+259.2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costs</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693.3</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+289.3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538.8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1,092.5</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+553.6</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funding cost (interest expense and template line 24)</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172.3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324.1</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+151.9 (52%)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210.6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429.8</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+219.2 (40%)</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direct brokerage cost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266.5</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+121.4 (42%)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174.8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464.9</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+290.0 (52%)</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administration (staff, outsourced services, depreciation)</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78.7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95.4</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+16.7 (6%)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181.4</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+29.5 (5%)</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of which other operating items (residual)</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−0.7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16.4</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+14.9</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82.4</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−4.6</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−26.7</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Net proprietary result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75.1</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33.9</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−41.3</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146.2</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+139.4</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Reported pre-tax profit</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157.5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−45.9</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+112.7</w:t>
            </w:r>
          </w:p>
        </w:tc>
      </w:tr>
      <w:tr>
        <w:trPr>
          <w:cantSplit/>
          <w:tblHeader w:val="false"/>
        </w:trPr>
        <w:tc>
          <w:tcPr>
            <w:tcW w:type="dxa" w:w="31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Extra core cost per VND 100 of extra core revenue</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10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102</w:t>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8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
            </w:r>
          </w:p>
        </w:tc>
        <w:tc>
          <w:tcPr>
            <w:tcW w:type="dxa" w:w="97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Core excludes gains and losses on financial assets at fair value through profit or loss. Template line 24 combines loan-loss provisions with the borrowing cost of the loan book; the allowance for loan losses rose by only VND 9 to 11 billion in each half-year, so the line is mostly funding cost. Percentages are shares of the change in core costs.</w:t>
      </w:r>
    </w:p>
    <w:p>
      <w:pPr>
        <w:keepNext/>
        <w:keepLines/>
        <w:spacing w:after="80" w:before="200"/>
      </w:pPr>
      <w:r>
        <w:rPr>
          <w:rFonts w:ascii="Calibri" w:cs="Calibri" w:eastAsia="Calibri" w:hAnsi="Calibri"/>
          <w:b/>
          <w:bCs/>
          <w:color w:val="000000"/>
          <w:sz w:val="20"/>
          <w:szCs w:val="20"/>
        </w:rPr>
        <w:t xml:space="preserve">Table A5. Brokerage revenue against direct brokerage cost, first half of 2026: DNSE and the largest brokers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Brokerage revenue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Direct brokerage cost</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Result after direct cost</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Revenue as % of direct cost</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1,415.1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+221.9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1,068.5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706.2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+362.2</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565.5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349.1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+216.4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521.0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401.7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+119.2</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493.3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210.2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+283.1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235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MBS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349.4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381.7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267.3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+114.4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260.4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257.7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222.1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266.5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42 brokers with filed statements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7,032.2</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5,568.8</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+1,463.4</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w:t>
            </w:r>
          </w:p>
        </w:tc>
      </w:tr>
    </w:tbl>
    <w:p>
      <w:pPr>
        <w:spacing w:after="220" w:before="60"/>
      </w:pPr>
      <w:r>
        <w:rPr>
          <w:rFonts w:ascii="Calibri" w:cs="Calibri" w:eastAsia="Calibri" w:hAnsi="Calibri"/>
          <w:color w:val="000000"/>
          <w:sz w:val="17"/>
          <w:szCs w:val="17"/>
        </w:rPr>
        <w:t xml:space="preserve">Source: filed statements of 42 brokers via Vietcap Securities (2026); authors' calculations. Brokers are the nine with the highest brokerage revenue. 19 of the 42 brokers made a loss after direct costs; the three largest losses were DNSE (−44.5); PSI (−17.1); KAFI (−16.8).</w:t>
      </w:r>
    </w:p>
    <w:p>
      <w:pPr>
        <w:keepNext/>
        <w:keepLines/>
        <w:spacing w:after="80" w:before="200"/>
      </w:pPr>
      <w:r>
        <w:rPr>
          <w:rFonts w:ascii="Calibri" w:cs="Calibri" w:eastAsia="Calibri" w:hAnsi="Calibri"/>
          <w:b/>
          <w:bCs/>
          <w:color w:val="000000"/>
          <w:sz w:val="20"/>
          <w:szCs w:val="20"/>
        </w:rPr>
        <w:t xml:space="preserve">Figure A8. 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keepNext/>
        <w:keepLines/>
        <w:spacing w:after="80" w:before="200"/>
      </w:pPr>
      <w:r>
        <w:rPr>
          <w:rFonts w:ascii="Calibri" w:cs="Calibri" w:eastAsia="Calibri" w:hAnsi="Calibri"/>
          <w:b/>
          <w:bCs/>
          <w:color w:val="000000"/>
          <w:sz w:val="20"/>
          <w:szCs w:val="20"/>
        </w:rPr>
        <w:t xml:space="preserve">Figure A9. 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keepNext/>
        <w:keepLines/>
        <w:spacing w:after="80" w:before="200"/>
      </w:pPr>
      <w:r>
        <w:rPr>
          <w:rFonts w:ascii="Calibri" w:cs="Calibri" w:eastAsia="Calibri" w:hAnsi="Calibri"/>
          <w:b/>
          <w:bCs/>
          <w:color w:val="000000"/>
          <w:sz w:val="20"/>
          <w:szCs w:val="20"/>
        </w:rPr>
        <w:t xml:space="preserve">Table A6. Funding cost and balance-sheet structure at 30 June 2026: DNSE and eight large brokers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1530"/>
        <w:gridCol w:w="1650"/>
        <w:gridCol w:w="1400"/>
        <w:gridCol w:w="1546"/>
      </w:tblGrid>
      <w:tr>
        <w:trPr>
          <w:cantSplit/>
          <w:tblHeader/>
        </w:trPr>
        <w:tc>
          <w:tcPr>
            <w:tcW w:type="dxa" w:w="15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Broker</w:t>
            </w:r>
          </w:p>
        </w:tc>
        <w:tc>
          <w:tcPr>
            <w:tcW w:type="dxa" w:w="14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Parent bank</w:t>
            </w:r>
          </w:p>
        </w:tc>
        <w:tc>
          <w:tcPr>
            <w:tcW w:type="dxa" w:w="153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Estimated cost of funds, Q2 2026, %</w:t>
            </w:r>
          </w:p>
        </w:tc>
        <w:tc>
          <w:tcPr>
            <w:tcW w:type="dxa" w:w="16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Deposits and HTM bonds, % of total assets</w:t>
            </w:r>
          </w:p>
        </w:tc>
        <w:tc>
          <w:tcPr>
            <w:tcW w:type="dxa" w:w="14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Loans, % of equity</w:t>
            </w:r>
          </w:p>
        </w:tc>
        <w:tc>
          <w:tcPr>
            <w:tcW w:type="dxa" w:w="15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Short-term loans, % of borrowing</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6.5</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37.6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116</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5.1</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4.3</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SSI</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6.1</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99</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TCBS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Techcombank</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4.6</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94</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VPBank</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6.5</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107</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MBS</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MB</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16.1</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141</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87</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HSC</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198</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Vietcap</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6.4</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150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VNDirect</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none</w:t>
            </w:r>
          </w:p>
        </w:tc>
        <w:tc>
          <w:tcPr>
            <w:tcW w:type="dxa" w:w="153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n.m.</w:t>
            </w:r>
          </w:p>
        </w:tc>
        <w:tc>
          <w:tcPr>
            <w:tcW w:type="dxa" w:w="16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22.2</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60</w:t>
            </w:r>
          </w:p>
        </w:tc>
        <w:tc>
          <w:tcPr>
            <w:tcW w:type="dxa" w:w="15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91</w:t>
            </w:r>
          </w:p>
        </w:tc>
      </w:tr>
    </w:tbl>
    <w:p>
      <w:pPr>
        <w:spacing w:after="220" w:before="60"/>
      </w:pPr>
      <w:r>
        <w:rPr>
          <w:rFonts w:ascii="Calibri" w:cs="Calibri" w:eastAsia="Calibri" w:hAnsi="Calibri"/>
          <w:color w:val="000000"/>
          <w:sz w:val="17"/>
          <w:szCs w:val="17"/>
        </w:rPr>
        <w:t xml:space="preserve">Source: filed statements via Vietcap Securities (2026); DNSE (2026a), note 8(b), for pledged assets; authors' calculations. The cost of funds is estimated with the same method for every firm: interest expense plus template line 24, less the rise in the allowance for loan losses, annualised over average borrowings and bonds. n.m.: not meaningful, as VNDirect's quarterly estimate falls below 1 per cent. At 30 June 2026 DNSE had pledged VND 4,257 billion of term deposits and bonds with a face value of VND 1,050 billion, 93 per cent of its held-to-maturity assets, as collateral for bank loans. Bank-owned brokers with filed statements (TCBS, VPBankS, MBS, BSI, CTS, Agriseco, LPBS and ABS) supplied 55 per cent of the rise in lending across all filers in the second quarter of 2026; a press tally of the top 20 brokers gives 62 per cent (Vietstock, 2026g).</w:t>
      </w:r>
    </w:p>
    <w:p>
      <w:pPr>
        <w:keepNext/>
        <w:keepLines/>
        <w:spacing w:after="80" w:before="200"/>
      </w:pPr>
      <w:r>
        <w:rPr>
          <w:rFonts w:ascii="Calibri" w:cs="Calibri" w:eastAsia="Calibri" w:hAnsi="Calibri"/>
          <w:b/>
          <w:bCs/>
          <w:color w:val="000000"/>
          <w:sz w:val="20"/>
          <w:szCs w:val="20"/>
        </w:rPr>
        <w:t xml:space="preserve">Table A7. 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 DNSE wins accounts but not money</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12.7% of accounts and 19% of 2025 openings against 2.3–3.5% of investor cash, 1.4–1.8% of lending and 0.6–0.8% of profit; 5.7% of accounts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The gap is specific to DNSE</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 lends 5 times and TCBS 12 times more per account; about 34% of TCBS customers trade monthly; bonus complaints in 5.6% of DNSE reviews against 0.7% at VPS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reviews self-selected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explained by dormant accounts, the zero-fee app model or the lack of a parent bank</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 Revenue grows while core profit stands still</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3.2 times from 2022 to 2025; core profit VND 128–221 billion a year; VND 102 of extra cost per VND 100 of extra core revenue in H1 2026</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 Brokerage and funding absorb the growth</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52% of the H1 2026 rise in core costs from funding, 42% from brokerage, 6% from administration; brokerage below direct cost for 16 quarters and the largest brokerage loss among 42 brokers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action must target per-trade costs and funding structure, not overheads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 Capital is not the constraint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at 116% of equity against a 200% ceiling; 38% of assets in deposits and bonds, 93% of them pledged, earning about their funding cost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binding constraint is customer money</w:t>
            </w:r>
          </w:p>
        </w:tc>
      </w:tr>
    </w:tbl>
    <w:p>
      <w:pPr>
        <w:spacing w:after="220" w:before="60"/>
      </w:pPr>
      <w:r>
        <w:rPr>
          <w:rFonts w:ascii="Calibri" w:cs="Calibri" w:eastAsia="Calibri" w:hAnsi="Calibri"/>
          <w:color w:val="000000"/>
          <w:sz w:val="17"/>
          <w:szCs w:val="17"/>
        </w:rPr>
        <w:t xml:space="preserve">Source: Section 2.</w:t>
      </w:r>
    </w:p>
    <w:p>
      <w:pPr>
        <w:pStyle w:val="Heading2"/>
        <w:keepNext/>
        <w:spacing w:after="100" w:before="240"/>
      </w:pPr>
      <w:r>
        <w:rPr>
          <w:rFonts w:ascii="Calibri" w:cs="Calibri" w:eastAsia="Calibri" w:hAnsi="Calibri"/>
          <w:b/>
          <w:bCs/>
          <w:color w:val="000000"/>
          <w:sz w:val="24"/>
          <w:szCs w:val="24"/>
        </w:rPr>
        <w:t xml:space="preserve">Appendix B. Exhibits for the discussion and recommendation</w:t>
      </w:r>
    </w:p>
    <w:p>
      <w:pPr>
        <w:spacing w:after="120" w:line="276"/>
        <w:jc w:val="both"/>
      </w:pPr>
      <w:r>
        <w:rPr>
          <w:rFonts w:ascii="Calibri" w:cs="Calibri" w:eastAsia="Calibri" w:hAnsi="Calibri"/>
          <w:color w:val="000000"/>
          <w:sz w:val="22"/>
          <w:szCs w:val="22"/>
        </w:rPr>
        <w:t xml:space="preserve">Appendix B holds the figures and tables behind Sections 3 and 4, in the order in which the text cites them.</w:t>
      </w:r>
    </w:p>
    <w:p>
      <w:pPr>
        <w:keepNext/>
        <w:keepLines/>
        <w:spacing w:after="80" w:before="200"/>
      </w:pPr>
      <w:r>
        <w:rPr>
          <w:rFonts w:ascii="Calibri" w:cs="Calibri" w:eastAsia="Calibri" w:hAnsi="Calibri"/>
          <w:b/>
          <w:bCs/>
          <w:color w:val="000000"/>
          <w:sz w:val="20"/>
          <w:szCs w:val="20"/>
        </w:rPr>
        <w:t xml:space="preserve">Table B1.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16 to 34% of the new accounts opened in the market in each quarter of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account fell 9.5% in 2025 while accounts grew 52%;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 about 34% at TCBS (Table D2)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 2; Dân trí (2026a) on the draft circular.</w:t>
      </w:r>
    </w:p>
    <w:p>
      <w:pPr>
        <w:keepNext/>
        <w:keepLines/>
        <w:spacing w:after="80" w:before="200"/>
      </w:pPr>
      <w:r>
        <w:rPr>
          <w:rFonts w:ascii="Calibri" w:cs="Calibri" w:eastAsia="Calibri" w:hAnsi="Calibri"/>
          <w:b/>
          <w:bCs/>
          <w:color w:val="000000"/>
          <w:sz w:val="20"/>
          <w:szCs w:val="20"/>
        </w:rPr>
        <w:t xml:space="preserve">Table B2. 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12.7% of accounts but 2.3–3.5% of investor cash and 1.4–1.8% of margin lending,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Figure 1; DNSE annual report 2025</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accounts stay small? Hypothesis: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Hypothesis: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Measured: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6.0% at TCBS iPower for the same balance (4.5% base rate) and 3.5 to 4.3% on banks' automatic-earning accounts;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Hypothesis: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To be confirmed with internal targets in Round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 Vietstock (2025c) on the Gen Z price board.</w:t>
      </w:r>
    </w:p>
    <w:p>
      <w:pPr>
        <w:keepNext/>
        <w:keepLines/>
        <w:spacing w:after="80" w:before="200"/>
      </w:pPr>
      <w:r>
        <w:rPr>
          <w:rFonts w:ascii="Calibri" w:cs="Calibri" w:eastAsia="Calibri" w:hAnsi="Calibri"/>
          <w:b/>
          <w:bCs/>
          <w:color w:val="000000"/>
          <w:sz w:val="20"/>
          <w:szCs w:val="20"/>
        </w:rPr>
        <w:t xml:space="preserve">Figure B1. 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keepNext/>
        <w:keepLines/>
        <w:spacing w:after="80" w:before="200"/>
      </w:pPr>
      <w:r>
        <w:rPr>
          <w:rFonts w:ascii="Calibri" w:cs="Calibri" w:eastAsia="Calibri" w:hAnsi="Calibri"/>
          <w:b/>
          <w:bCs/>
          <w:color w:val="000000"/>
          <w:sz w:val="20"/>
          <w:szCs w:val="20"/>
        </w:rPr>
        <w:t xml:space="preserve">Figure B2. 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keepNext/>
        <w:keepLines/>
        <w:spacing w:after="80" w:before="200"/>
      </w:pPr>
      <w:r>
        <w:rPr>
          <w:rFonts w:ascii="Calibri" w:cs="Calibri" w:eastAsia="Calibri" w:hAnsi="Calibri"/>
          <w:b/>
          <w:bCs/>
          <w:color w:val="000000"/>
          <w:sz w:val="20"/>
          <w:szCs w:val="20"/>
        </w:rPr>
        <w:t xml:space="preserve">Table B3. 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Bank-owned brokers' share of the rise in margin lending</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55% (all filed statements); 62% (press tally of the top 20)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Q2 2026</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Vietstock (2026g); filed statements via Vietcap Securities (2026).</w:t>
      </w:r>
    </w:p>
    <w:p>
      <w:pPr>
        <w:keepNext/>
        <w:keepLines/>
        <w:spacing w:after="80" w:before="200"/>
      </w:pPr>
      <w:r>
        <w:rPr>
          <w:rFonts w:ascii="Calibri" w:cs="Calibri" w:eastAsia="Calibri" w:hAnsi="Calibri"/>
          <w:b/>
          <w:bCs/>
          <w:color w:val="000000"/>
          <w:sz w:val="20"/>
          <w:szCs w:val="20"/>
        </w:rPr>
        <w:t xml:space="preserve">Table B4. 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keepNext/>
        <w:keepLines/>
        <w:spacing w:after="80" w:before="200"/>
      </w:pPr>
      <w:r>
        <w:rPr>
          <w:rFonts w:ascii="Calibri" w:cs="Calibri" w:eastAsia="Calibri" w:hAnsi="Calibri"/>
          <w:b/>
          <w:bCs/>
          <w:color w:val="000000"/>
          <w:sz w:val="20"/>
          <w:szCs w:val="20"/>
        </w:rPr>
        <w:t xml:space="preserve">Table B5. 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wealth and fund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fund and savings apps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on funds, bonds and savings products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minimums, periodic investing, goal-based design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Mostly fee income; no large trading or margin platform</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keepNext/>
        <w:keepLines/>
        <w:spacing w:after="80" w:before="200"/>
      </w:pPr>
      <w:r>
        <w:rPr>
          <w:rFonts w:ascii="Calibri" w:cs="Calibri" w:eastAsia="Calibri" w:hAnsi="Calibri"/>
          <w:b/>
          <w:bCs/>
          <w:color w:val="000000"/>
          <w:sz w:val="20"/>
          <w:szCs w:val="20"/>
        </w:rPr>
        <w:t xml:space="preserve">Table B6. 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(2026a).</w:t>
      </w:r>
    </w:p>
    <w:p>
      <w:pPr>
        <w:keepNext/>
        <w:keepLines/>
        <w:spacing w:after="80" w:before="200"/>
      </w:pPr>
      <w:r>
        <w:rPr>
          <w:rFonts w:ascii="Calibri" w:cs="Calibri" w:eastAsia="Calibri" w:hAnsi="Calibri"/>
          <w:b/>
          <w:bCs/>
          <w:color w:val="000000"/>
          <w:sz w:val="20"/>
          <w:szCs w:val="20"/>
        </w:rPr>
        <w:t xml:space="preserve">Table B7. 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Table B6 and the Vietnamese regulation cited in Section 4.1.</w:t>
      </w:r>
    </w:p>
    <w:p>
      <w:pPr>
        <w:keepNext/>
        <w:keepLines/>
        <w:spacing w:after="80" w:before="200"/>
      </w:pPr>
      <w:r>
        <w:rPr>
          <w:rFonts w:ascii="Calibri" w:cs="Calibri" w:eastAsia="Calibri" w:hAnsi="Calibri"/>
          <w:b/>
          <w:bCs/>
          <w:color w:val="000000"/>
          <w:sz w:val="20"/>
          <w:szCs w:val="20"/>
        </w:rPr>
        <w:t xml:space="preserve">Table B8. 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keepNext/>
        <w:keepLines/>
        <w:spacing w:after="80" w:before="200"/>
      </w:pPr>
      <w:r>
        <w:rPr>
          <w:rFonts w:ascii="Calibri" w:cs="Calibri" w:eastAsia="Calibri" w:hAnsi="Calibri"/>
          <w:b/>
          <w:bCs/>
          <w:color w:val="000000"/>
          <w:sz w:val="20"/>
          <w:szCs w:val="20"/>
        </w:rPr>
        <w:t xml:space="preserve">Table B9. 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keepNext/>
        <w:keepLines/>
        <w:spacing w:after="80" w:before="200"/>
      </w:pPr>
      <w:r>
        <w:rPr>
          <w:rFonts w:ascii="Calibri" w:cs="Calibri" w:eastAsia="Calibri" w:hAnsi="Calibri"/>
          <w:b/>
          <w:bCs/>
          <w:color w:val="000000"/>
          <w:sz w:val="20"/>
          <w:szCs w:val="20"/>
        </w:rPr>
        <w:t xml:space="preserve">Table B10. 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keepNext/>
        <w:keepLines/>
        <w:spacing w:after="80" w:before="200"/>
      </w:pPr>
      <w:r>
        <w:rPr>
          <w:rFonts w:ascii="Calibri" w:cs="Calibri" w:eastAsia="Calibri" w:hAnsi="Calibri"/>
          <w:b/>
          <w:bCs/>
          <w:color w:val="000000"/>
          <w:sz w:val="20"/>
          <w:szCs w:val="20"/>
        </w:rPr>
        <w:t xml:space="preserve">Figure B3. 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B11. 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12.7% of accounts but 2.3–3.5% of investor cash, 1.4–1.8% of margin lending and 0.6–0.8% of quarterly industry profit; 5.7% of accounts were active in December 2025; assets per account fell 9.5%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extra VND 100 of core revenue brought VND 102 of cost in H1 2026.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bank-owned brokers supplied more than half of margin growth in the second quarter; open banking interfaces become standard by March 2027, after which every competitor can link salary accounts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keepNext/>
        <w:keepLines/>
        <w:spacing w:after="80" w:before="200"/>
      </w:pPr>
      <w:r>
        <w:rPr>
          <w:rFonts w:ascii="Calibri" w:cs="Calibri" w:eastAsia="Calibri" w:hAnsi="Calibri"/>
          <w:b/>
          <w:bCs/>
          <w:color w:val="000000"/>
          <w:sz w:val="20"/>
          <w:szCs w:val="20"/>
        </w:rPr>
        <w:t xml:space="preserve">Table B12. 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keepNext/>
        <w:keepLines/>
        <w:spacing w:after="80" w:before="200"/>
      </w:pPr>
      <w:r>
        <w:rPr>
          <w:rFonts w:ascii="Calibri" w:cs="Calibri" w:eastAsia="Calibri" w:hAnsi="Calibri"/>
          <w:b/>
          <w:bCs/>
          <w:color w:val="000000"/>
          <w:sz w:val="20"/>
          <w:szCs w:val="20"/>
        </w:rPr>
        <w:t xml:space="preserve">Figure B4. 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2 and 3; National Assembly of Vietnam (2025) on the Personal Data Protection Law.</w:t>
      </w:r>
    </w:p>
    <w:p>
      <w:pPr>
        <w:keepNext/>
        <w:keepLines/>
        <w:spacing w:after="80" w:before="200"/>
      </w:pPr>
      <w:r>
        <w:rPr>
          <w:rFonts w:ascii="Calibri" w:cs="Calibri" w:eastAsia="Calibri" w:hAnsi="Calibri"/>
          <w:b/>
          <w:bCs/>
          <w:color w:val="000000"/>
          <w:sz w:val="20"/>
          <w:szCs w:val="20"/>
        </w:rPr>
        <w:t xml:space="preserve">Table B13. 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paid by the partner bank or fund; usable the same day if the regulator approves, otherwise the next day</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keepNext/>
        <w:keepLines/>
        <w:spacing w:after="80" w:before="200"/>
      </w:pPr>
      <w:r>
        <w:rPr>
          <w:rFonts w:ascii="Calibri" w:cs="Calibri" w:eastAsia="Calibri" w:hAnsi="Calibri"/>
          <w:b/>
          <w:bCs/>
          <w:color w:val="000000"/>
          <w:sz w:val="20"/>
          <w:szCs w:val="20"/>
        </w:rPr>
        <w:t xml:space="preserve">Table B14. 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account fell 9.5% in 2025 while accounts grew 52%;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6.0% at TCBS for the same balance (4.5% base) and 3.5 to 4.3% on bank auto-earning accounts;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 TCBS (2026b); Nhân Dân (2025); VnEconomy (2025); and the sources of Table B6.</w:t>
      </w:r>
    </w:p>
    <w:p>
      <w:pPr>
        <w:keepNext/>
        <w:keepLines/>
        <w:spacing w:after="80" w:before="200"/>
      </w:pPr>
      <w:r>
        <w:rPr>
          <w:rFonts w:ascii="Calibri" w:cs="Calibri" w:eastAsia="Calibri" w:hAnsi="Calibri"/>
          <w:b/>
          <w:bCs/>
          <w:color w:val="000000"/>
          <w:sz w:val="20"/>
          <w:szCs w:val="20"/>
        </w:rPr>
        <w:t xml:space="preserve">Table B15. 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and spread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fee and spread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loans backed by layer assets (10, 15 and 20% of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income at a 4.9-point spread,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and lending income per saver a year, VND thousand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483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996</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The revenue yield covers fund distribution fees and any cash-layer spread, net of rewards; opt-in margin lending is shown separately at the first-half 2026 net spread. The costs of the yield bonus, marketing and technology are not included and are estimated in Round 3 against the incremental balances (test 4).</w:t>
      </w:r>
    </w:p>
    <w:p>
      <w:pPr>
        <w:keepNext/>
        <w:keepLines/>
        <w:spacing w:after="80" w:before="200"/>
      </w:pPr>
      <w:r>
        <w:rPr>
          <w:rFonts w:ascii="Calibri" w:cs="Calibri" w:eastAsia="Calibri" w:hAnsi="Calibri"/>
          <w:b/>
          <w:bCs/>
          <w:color w:val="000000"/>
          <w:sz w:val="20"/>
          <w:szCs w:val="20"/>
        </w:rPr>
        <w:t xml:space="preserve">Figure B5. Layer assets and annual net new money under three scenarios</w:t>
      </w:r>
    </w:p>
    <w:p>
      <w:pPr>
        <w:keepNext/>
        <w:spacing w:after="40"/>
        <w:jc w:val="center"/>
      </w:pPr>
      <w:r>
        <w:drawing>
          <wp:inline distT="0" distB="0" distL="0" distR="0">
            <wp:extent cx="5715000" cy="2218765"/>
            <wp:effectExtent t="0" r="0" b="0" l="0"/>
            <wp:docPr id="9003" name="Picture v5 3"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v5_fig3.png" descr=""/>
                    <pic:cNvPicPr>
                      <a:picLocks noChangeAspect="1" noChangeArrowheads="1"/>
                    </pic:cNvPicPr>
                  </pic:nvPicPr>
                  <pic:blipFill>
                    <a:blip r:embed="rIdV5img3" cstate="none"/>
                    <a:srcRect/>
                    <a:stretch>
                      <a:fillRect/>
                    </a:stretch>
                  </pic:blipFill>
                  <pic:spPr bwMode="auto">
                    <a:xfrm>
                      <a:off x="0" y="0"/>
                      <a:ext cx="5715000" cy="221876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B15.</w:t>
      </w:r>
    </w:p>
    <w:p>
      <w:pPr>
        <w:keepNext/>
        <w:keepLines/>
        <w:spacing w:after="80" w:before="200"/>
      </w:pPr>
      <w:r>
        <w:rPr>
          <w:rFonts w:ascii="Calibri" w:cs="Calibri" w:eastAsia="Calibri" w:hAnsi="Calibri"/>
          <w:b/>
          <w:bCs/>
          <w:color w:val="000000"/>
          <w:sz w:val="20"/>
          <w:szCs w:val="20"/>
        </w:rPr>
        <w:t xml:space="preserve">Table B16. 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Reliability of the app and payday transfers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for uptime, crash-free sessions and transfer success before launch; App Store reviewers cite crashes, login and onboarding in 51% of complaints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keepNext/>
        <w:keepLines/>
        <w:spacing w:after="80" w:before="200"/>
      </w:pPr>
      <w:r>
        <w:rPr>
          <w:rFonts w:ascii="Calibri" w:cs="Calibri" w:eastAsia="Calibri" w:hAnsi="Calibri"/>
          <w:b/>
          <w:bCs/>
          <w:color w:val="000000"/>
          <w:sz w:val="20"/>
          <w:szCs w:val="20"/>
        </w:rPr>
        <w:t xml:space="preserve">Table B17. 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keepNext/>
        <w:keepLines/>
        <w:spacing w:after="80" w:before="200"/>
      </w:pPr>
      <w:r>
        <w:rPr>
          <w:rFonts w:ascii="Calibri" w:cs="Calibri" w:eastAsia="Calibri" w:hAnsi="Calibri"/>
          <w:b/>
          <w:bCs/>
          <w:color w:val="000000"/>
          <w:sz w:val="20"/>
          <w:szCs w:val="20"/>
        </w:rPr>
        <w:t xml:space="preserve">Figure B6. 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2"/>
        <w:keepNext/>
        <w:spacing w:after="100" w:before="240"/>
      </w:pPr>
      <w:r>
        <w:rPr>
          <w:rFonts w:ascii="Calibri" w:cs="Calibri" w:eastAsia="Calibri" w:hAnsi="Calibri"/>
          <w:b/>
          <w:bCs/>
          <w:color w:val="000000"/>
          <w:sz w:val="24"/>
          <w:szCs w:val="24"/>
        </w:rPr>
        <w:t xml:space="preserve">Appendix C.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 Every value was recomputed from the source data for this version and matches.</w:t>
      </w:r>
    </w:p>
    <w:p>
      <w:pPr>
        <w:keepNext/>
        <w:keepLines/>
        <w:spacing w:after="80" w:before="200"/>
      </w:pPr>
      <w:r>
        <w:rPr>
          <w:rFonts w:ascii="Calibri" w:cs="Calibri" w:eastAsia="Calibri" w:hAnsi="Calibri"/>
          <w:b/>
          <w:bCs/>
          <w:color w:val="000000"/>
          <w:sz w:val="20"/>
          <w:szCs w:val="20"/>
        </w:rPr>
        <w:t xml:space="preserve">Table C1. 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C2. 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C3. 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spacing w:after="100" w:before="240"/>
      </w:pPr>
      <w:r>
        <w:rPr>
          <w:rFonts w:ascii="Calibri" w:cs="Calibri" w:eastAsia="Calibri" w:hAnsi="Calibri"/>
          <w:b/>
          <w:bCs/>
          <w:color w:val="000000"/>
          <w:sz w:val="24"/>
          <w:szCs w:val="24"/>
        </w:rPr>
        <w:t xml:space="preserve">Appendix D. Market and industry data</w:t>
      </w:r>
    </w:p>
    <w:p>
      <w:pPr>
        <w:spacing w:after="120" w:line="276"/>
        <w:jc w:val="both"/>
      </w:pPr>
      <w:r>
        <w:rPr>
          <w:rFonts w:ascii="Calibri" w:cs="Calibri" w:eastAsia="Calibri" w:hAnsi="Calibri"/>
          <w:color w:val="000000"/>
          <w:sz w:val="22"/>
          <w:szCs w:val="22"/>
        </w:rPr>
        <w:t xml:space="preserve">Table D1 lists the share measures behind Figure 1 with their denominators, including both industry totals where they differ. Table D2 compares the share of accounts that are active or funded at brokers in Vietnam and abroad that publish such a measure.</w:t>
      </w:r>
    </w:p>
    <w:p>
      <w:pPr>
        <w:keepNext/>
        <w:keepLines/>
        <w:spacing w:after="80" w:before="200"/>
      </w:pPr>
      <w:r>
        <w:rPr>
          <w:rFonts w:ascii="Calibri" w:cs="Calibri" w:eastAsia="Calibri" w:hAnsi="Calibri"/>
          <w:b/>
          <w:bCs/>
          <w:color w:val="000000"/>
          <w:sz w:val="20"/>
          <w:szCs w:val="20"/>
        </w:rPr>
        <w:t xml:space="preserve">Table D1. 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31 December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1,512,920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11,871,933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opened,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2,681,838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1.52</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13,430,517 (VSDC)</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 announcement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 announcement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(press tally); VND 56.4 trillion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 to 3.48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 to 0.27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 (press tally, with advances); VND 345.3 trillion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 to 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 to 0.14</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 (77 brokers, press tally); VND 11,871 billion (filed statements)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 to 0.82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 to 0.06</w:t>
            </w:r>
          </w:p>
        </w:tc>
      </w:tr>
    </w:tbl>
    <w:p>
      <w:pPr>
        <w:spacing w:after="220" w:before="60"/>
      </w:pPr>
      <w:r>
        <w:rPr>
          <w:rFonts w:ascii="Calibri" w:cs="Calibri" w:eastAsia="Calibri" w:hAnsi="Calibri"/>
          <w:color w:val="000000"/>
          <w:sz w:val="17"/>
          <w:szCs w:val="17"/>
        </w:rPr>
        <w:t xml:space="preserve">Source: VSDC annual report 2025 and account statistics; DNSE (2026d); Hanoi Stock Exchange (2026); VnEconomy (2026b); Vietstock (2026g); CafeF (2026d); filed statements via Vietcap Securities (2026); authors' calculations. Filed-statement totals sum the brokers in Vietcap's data service, DNSE included. The ratio to account share divides each share by 12.7 per cent. HNX shares are shares of traded value on HNX only.</w:t>
      </w:r>
    </w:p>
    <w:p>
      <w:pPr>
        <w:keepNext/>
        <w:keepLines/>
        <w:spacing w:after="80" w:before="200"/>
      </w:pPr>
      <w:r>
        <w:rPr>
          <w:rFonts w:ascii="Calibri" w:cs="Calibri" w:eastAsia="Calibri" w:hAnsi="Calibri"/>
          <w:b/>
          <w:bCs/>
          <w:color w:val="000000"/>
          <w:sz w:val="20"/>
          <w:szCs w:val="20"/>
        </w:rPr>
        <w:t xml:space="preserve">Table D2. Share of accounts that are active or funded, brokers that publish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750"/>
        <w:gridCol w:w="1850"/>
        <w:gridCol w:w="900"/>
        <w:gridCol w:w="2776"/>
      </w:tblGrid>
      <w:tr>
        <w:trPr>
          <w:cantSplit/>
          <w:tblHeader/>
        </w:trPr>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 and model</w:t>
            </w:r>
          </w:p>
        </w:tc>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Active or funded</w:t>
            </w:r>
          </w:p>
        </w:tc>
        <w:tc>
          <w:tcPr>
            <w:tcW w:type="dxa" w:w="9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8"/>
                <w:szCs w:val="18"/>
              </w:rPr>
              <w:t xml:space="preserve">Share, %</w:t>
            </w:r>
          </w:p>
        </w:tc>
        <w:tc>
          <w:tcPr>
            <w:tcW w:type="dxa" w:w="2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date</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Vietnam; zero-fee app, no branches</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1,512,920 accounts,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customers using at least one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(4.2 in December 2024)</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Vietnam; zero-fee, 99% of accounts opened online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1,203,039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410,000 customers trading on TCInvest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34</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read from a chart</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 Vietnam; branches and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 million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134,507 individual customers using a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13.5 or less</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window not stated; sum of three product tiers</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Digital Sales channel. Vietnam; online channel of a full-service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of the channel (number not disclosed)</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with a trade in the past 90 days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19.2</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90 days, 2025</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23.4 million funded customers, December 2023</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10.9 million monthly active users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counts logging in; last disclosed for the fourth quarter of 2023</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(moomoo). Hong Kong and abroad; app-only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6.64 million brokerage accounts,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3.84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Positive balance,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Webull. United States and abroad;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28.2 million registered users,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5.13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need not open an account;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eToro. Global; social trading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38 million registered users</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3.5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9</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as reported in 2025</w:t>
            </w:r>
          </w:p>
        </w:tc>
      </w:tr>
    </w:tbl>
    <w:p>
      <w:pPr>
        <w:spacing w:after="220" w:before="60"/>
      </w:pPr>
      <w:r>
        <w:rPr>
          <w:rFonts w:ascii="Calibri" w:cs="Calibri" w:eastAsia="Calibri" w:hAnsi="Calibri"/>
          <w:color w:val="000000"/>
          <w:sz w:val="17"/>
          <w:szCs w:val="17"/>
        </w:rPr>
        <w:t xml:space="preserve">Source: DNSE Securities (2026d); TCBS (2026c); VNDIRECT Securities (2026); SSI Securities Corporation (2026); Robinhood Markets (2024); Futu Holdings (2026b); Webull Corporation (2026); Ho Chi Minh City Securities Corporation (2025) for eToro; authors' calculations. The TCBS figure is read from an unlabelled chart and is accurate to about 0.02 million; Ho Chi Minh City Securities Corporation (2025) separately reports about 30 per cent of TCBS accounts active regularly in the first quarter of 2025. VNDirect's figure adds three product tiers and may count a customer more than once. Measures differ in window and in base (accounts opened, funded customers or app registrations), so the table shows direction rather than exact gaps. No activity count was found for VPS, VPBankS, FPTS, HSC or Vietcap.</w:t>
      </w:r>
    </w:p>
    <w:p>
      <w:pPr>
        <w:pStyle w:val="Heading2"/>
        <w:keepNext/>
        <w:spacing w:after="100" w:before="240"/>
      </w:pPr>
      <w:r>
        <w:rPr>
          <w:rFonts w:ascii="Calibri" w:cs="Calibri" w:eastAsia="Calibri" w:hAnsi="Calibri"/>
          <w:b/>
          <w:bCs/>
          <w:color w:val="000000"/>
          <w:sz w:val="24"/>
          <w:szCs w:val="24"/>
        </w:rPr>
        <w:t xml:space="preserve">Appendix E. Customer review analysis</w:t>
      </w:r>
    </w:p>
    <w:p>
      <w:pPr>
        <w:spacing w:after="120" w:line="276"/>
        <w:jc w:val="both"/>
      </w:pPr>
      <w:r>
        <w:rPr>
          <w:rFonts w:ascii="Calibri" w:cs="Calibri" w:eastAsia="Calibri" w:hAnsi="Calibri"/>
          <w:color w:val="000000"/>
          <w:sz w:val="22"/>
          <w:szCs w:val="22"/>
        </w:rPr>
        <w:t xml:space="preserve">The tables below document the review cleaning, the cleaned Google Play sample, the theme coding and the cross-check against the App Store. Every count was recomputed from the cleaned files for this version and matches. Table E5 gives translated examples of the most-endorsed reviews.</w:t>
      </w:r>
    </w:p>
    <w:p>
      <w:pPr>
        <w:keepNext/>
        <w:keepLines/>
        <w:spacing w:after="80" w:before="200"/>
      </w:pPr>
      <w:r>
        <w:rPr>
          <w:rFonts w:ascii="Calibri" w:cs="Calibri" w:eastAsia="Calibri" w:hAnsi="Calibri"/>
          <w:b/>
          <w:bCs/>
          <w:color w:val="000000"/>
          <w:sz w:val="20"/>
          <w:szCs w:val="20"/>
        </w:rPr>
        <w:t xml:space="preserve">Table E1. 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keepNext/>
        <w:keepLines/>
        <w:spacing w:after="80" w:before="200"/>
      </w:pPr>
      <w:r>
        <w:rPr>
          <w:rFonts w:ascii="Calibri" w:cs="Calibri" w:eastAsia="Calibri" w:hAnsi="Calibri"/>
          <w:b/>
          <w:bCs/>
          <w:color w:val="000000"/>
          <w:sz w:val="20"/>
          <w:szCs w:val="20"/>
        </w:rPr>
        <w:t xml:space="preserve">Table E2. 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E3. 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E2.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E4. 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E5. 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spacing w:after="100" w:before="240"/>
      </w:pPr>
      <w:r>
        <w:rPr>
          <w:rFonts w:ascii="Calibri" w:cs="Calibri" w:eastAsia="Calibri" w:hAnsi="Calibri"/>
          <w:b/>
          <w:bCs/>
          <w:color w:val="000000"/>
          <w:sz w:val="24"/>
          <w:szCs w:val="24"/>
        </w:rPr>
        <w:t xml:space="preserve">Appendix F.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F1 defines the two indices, Table F2 reports the inputs and Table F3 the ranks under four weighting schemes. Figures F1 and F2 summarise the results used in Sections 3.2 and 3.4.</w:t>
      </w:r>
    </w:p>
    <w:p>
      <w:pPr>
        <w:keepNext/>
        <w:keepLines/>
        <w:spacing w:after="80" w:before="200"/>
      </w:pPr>
      <w:r>
        <w:rPr>
          <w:rFonts w:ascii="Calibri" w:cs="Calibri" w:eastAsia="Calibri" w:hAnsi="Calibri"/>
          <w:b/>
          <w:bCs/>
          <w:color w:val="000000"/>
          <w:sz w:val="20"/>
          <w:szCs w:val="20"/>
        </w:rPr>
        <w:t xml:space="preserve">Table F1. 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F2. 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F1).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F3. 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F2. Each criterion is min-max normalised across the twelve segments. Weights on (Index A, Index B, gap, unconverted adults, wage receipt, saving for old age): equal 1,1,1,1,1,1; value-heavy 3,1,1,1,2,2; scale-heavy 1,1,1,3,1,1; reach-heavy 1,3,2,1,1,1.</w:t>
      </w:r>
    </w:p>
    <w:p>
      <w:pPr>
        <w:keepNext/>
        <w:keepLines/>
        <w:spacing w:after="80" w:before="200"/>
      </w:pPr>
      <w:r>
        <w:rPr>
          <w:rFonts w:ascii="Calibri" w:cs="Calibri" w:eastAsia="Calibri" w:hAnsi="Calibri"/>
          <w:b/>
          <w:bCs/>
          <w:color w:val="000000"/>
          <w:sz w:val="20"/>
          <w:szCs w:val="20"/>
        </w:rPr>
        <w:t xml:space="preserve">Figure F1. 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keepNext/>
        <w:keepLines/>
        <w:spacing w:after="80" w:before="200"/>
      </w:pPr>
      <w:r>
        <w:rPr>
          <w:rFonts w:ascii="Calibri" w:cs="Calibri" w:eastAsia="Calibri" w:hAnsi="Calibri"/>
          <w:b/>
          <w:bCs/>
          <w:color w:val="000000"/>
          <w:sz w:val="20"/>
          <w:szCs w:val="20"/>
        </w:rPr>
        <w:t xml:space="preserve">Figure F2. 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pStyle w:val="Heading2"/>
        <w:keepNext/>
        <w:spacing w:after="100" w:before="240"/>
      </w:pPr>
      <w:r>
        <w:rPr>
          <w:rFonts w:ascii="Calibri" w:cs="Calibri" w:eastAsia="Calibri" w:hAnsi="Calibri"/>
          <w:b/>
          <w:bCs/>
          <w:color w:val="000000"/>
          <w:sz w:val="24"/>
          <w:szCs w:val="24"/>
        </w:rPr>
        <w:t xml:space="preserve">Appendix G. Methods, assumptions and limitations</w:t>
      </w:r>
    </w:p>
    <w:p>
      <w:pPr>
        <w:spacing w:after="120" w:line="276"/>
        <w:jc w:val="both"/>
      </w:pPr>
      <w:r>
        <w:rPr>
          <w:rFonts w:ascii="Calibri" w:cs="Calibri" w:eastAsia="Calibri" w:hAnsi="Calibri"/>
          <w:color w:val="000000"/>
          <w:sz w:val="22"/>
          <w:szCs w:val="22"/>
        </w:rPr>
        <w:t xml:space="preserve">Table G1 defines the calculated measures. Table G2 separates the assumptions behind the main results from the measured evidence, and Table G3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G1. 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Reported as a range between a press tally of all brokers and the sum of the filed statements of the brokers in Vietcap's data service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Incremental cost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each core cost line between two periods as a share of the change in core costs; core excludes gains and losses on financial assets at fair value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G2. 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Press tally (VND 86.6 trillion of investor cash, 453.8 trillion of lending, 15,200 billion of quarterly profit) and sum of filed statements (56.4 trillion, 345.3 trillion and 11,871 billion)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DNSE's shares move between the two ends of each range; the conclusions hold at either end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 10 to 20 per cent of layer assets used as margin collateral</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G3. 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(peer account counts from September 2025 to May 2026; balances at 30 June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 the gaps are large enough to survive the date differences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differ between press tallies and the sum of filed statements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shares vary by up to 1.2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Both totals reported as ranges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bl>
    <w:p>
      <w:pPr>
        <w:spacing w:after="220" w:before="60"/>
      </w:pPr>
      <w:r>
        <w:rPr>
          <w:rFonts w:ascii="Calibri" w:cs="Calibri" w:eastAsia="Calibri" w:hAnsi="Calibri"/>
          <w:color w:val="000000"/>
          <w:sz w:val="17"/>
          <w:szCs w:val="17"/>
        </w:rPr>
        <w:t xml:space="preserve">Source: authors.</w:t>
      </w:r>
    </w:p>
    <w:p>
      <w:pPr>
        <w:pStyle w:val="Heading2"/>
        <w:keepNext/>
        <w:spacing w:after="100" w:before="240"/>
      </w:pPr>
      <w:r>
        <w:rPr>
          <w:rFonts w:ascii="Calibri" w:cs="Calibri" w:eastAsia="Calibri" w:hAnsi="Calibri"/>
          <w:b/>
          <w:bCs/>
          <w:color w:val="000000"/>
          <w:sz w:val="24"/>
          <w:szCs w:val="24"/>
        </w:rPr>
        <w:t xml:space="preserve">Appendix H. Data sources and access</w:t>
      </w:r>
    </w:p>
    <w:p>
      <w:pPr>
        <w:keepNext/>
        <w:keepLines/>
        <w:spacing w:after="80" w:before="200"/>
      </w:pPr>
      <w:r>
        <w:rPr>
          <w:rFonts w:ascii="Calibri" w:cs="Calibri" w:eastAsia="Calibri" w:hAnsi="Calibri"/>
          <w:b/>
          <w:bCs/>
          <w:color w:val="000000"/>
          <w:sz w:val="20"/>
          <w:szCs w:val="20"/>
        </w:rPr>
        <w:t xml:space="preserve">Table H1. 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(2026a,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Futu Holdings. (2026b, August 20). </w:t>
      </w:r>
      <w:r>
        <w:rPr>
          <w:rFonts w:ascii="Calibri" w:cs="Calibri" w:eastAsia="Calibri" w:hAnsi="Calibri"/>
          <w:i/>
          <w:iCs/>
          <w:color w:val="000000"/>
          <w:sz w:val="20"/>
          <w:szCs w:val="20"/>
        </w:rPr>
        <w:t xml:space="preserve">Futu announces second quarter 2026 unaudited financial results</w:t>
      </w:r>
      <w:r>
        <w:rPr>
          <w:rFonts w:ascii="Calibri" w:cs="Calibri" w:eastAsia="Calibri" w:hAnsi="Calibri"/>
          <w:color w:val="000000"/>
          <w:sz w:val="20"/>
          <w:szCs w:val="20"/>
        </w:rPr>
        <w:t xml:space="preserve">. https://www.globenewswire.com/news-release/2026/08/20/3348115/0/en/futu-announces-second-quarter-2026-unaudited-financial-results.html</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City Securities Corporation. (2025, August 19). </w:t>
      </w:r>
      <w:r>
        <w:rPr>
          <w:rFonts w:ascii="Calibri" w:cs="Calibri" w:eastAsia="Calibri" w:hAnsi="Calibri"/>
          <w:i/>
          <w:iCs/>
          <w:color w:val="000000"/>
          <w:sz w:val="20"/>
          <w:szCs w:val="20"/>
        </w:rPr>
        <w:t xml:space="preserve">TCBS: Tiên phong trong lĩnh vực WealthTech tại Việt Nam</w:t>
      </w:r>
      <w:r>
        <w:rPr>
          <w:rFonts w:ascii="Calibri" w:cs="Calibri" w:eastAsia="Calibri" w:hAnsi="Calibri"/>
          <w:color w:val="000000"/>
          <w:sz w:val="20"/>
          <w:szCs w:val="20"/>
        </w:rPr>
        <w:t xml:space="preserve"> [TCBS: A WealthTech pioneer in Vietnam]. https://www.tcbs.com.vn/documents/10181/757092/TCBS-Report-19-Aug-25-VN_byHSC.pdf</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(2024, February 13). </w:t>
      </w:r>
      <w:r>
        <w:rPr>
          <w:rFonts w:ascii="Calibri" w:cs="Calibri" w:eastAsia="Calibri" w:hAnsi="Calibri"/>
          <w:i/>
          <w:iCs/>
          <w:color w:val="000000"/>
          <w:sz w:val="20"/>
          <w:szCs w:val="20"/>
        </w:rPr>
        <w:t xml:space="preserve">Robinhood reports fourth quarter and full year 2023 results</w:t>
      </w:r>
      <w:r>
        <w:rPr>
          <w:rFonts w:ascii="Calibri" w:cs="Calibri" w:eastAsia="Calibri" w:hAnsi="Calibri"/>
          <w:color w:val="000000"/>
          <w:sz w:val="20"/>
          <w:szCs w:val="20"/>
        </w:rPr>
        <w:t xml:space="preserve">. https://www.globenewswire.com/news-release/2024/2/13/2828627/0/en/Robinhood-Reports-Fourth-Quarter-and-Full-Year-2023-Results.html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SSI Securities Corporation. (2026).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https://www.ssi.com.vn/upload/files/IR/Reports/SSI_BCTN2025_VN.pdf</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TCBS. (2026c).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https://www.tcbs.com.vn/wp-content/uploads/2026/03/VIE_TCBS-BAO-CAO-THUONG-NIEN-2025-2603-compress.pdf</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 and daily index prices</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VNDIRECT Securities. (2026). </w:t>
      </w:r>
      <w:r>
        <w:rPr>
          <w:rFonts w:ascii="Calibri" w:cs="Calibri" w:eastAsia="Calibri" w:hAnsi="Calibri"/>
          <w:i/>
          <w:iCs/>
          <w:color w:val="000000"/>
          <w:sz w:val="20"/>
          <w:szCs w:val="20"/>
        </w:rPr>
        <w:t xml:space="preserve">Báo cáo của Ban điều hành tại Đại hội đồng cổ đông thường niên năm 2026</w:t>
      </w:r>
      <w:r>
        <w:rPr>
          <w:rFonts w:ascii="Calibri" w:cs="Calibri" w:eastAsia="Calibri" w:hAnsi="Calibri"/>
          <w:color w:val="000000"/>
          <w:sz w:val="20"/>
          <w:szCs w:val="20"/>
        </w:rPr>
        <w:t xml:space="preserve"> [Report of the Executive Board to the 2026 annual general meeting]. https://www.vndirect.com.vn/4.-Bao-cao-ban-dieu-hanh-VNDIRECT-2026.pdf</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VPS Securities. (2025, October). </w:t>
      </w:r>
      <w:r>
        <w:rPr>
          <w:rFonts w:ascii="Calibri" w:cs="Calibri" w:eastAsia="Calibri" w:hAnsi="Calibri"/>
          <w:i/>
          <w:iCs/>
          <w:color w:val="000000"/>
          <w:sz w:val="20"/>
          <w:szCs w:val="20"/>
        </w:rPr>
        <w:t xml:space="preserve">Tài liệu giới thiệu IPO</w:t>
      </w:r>
      <w:r>
        <w:rPr>
          <w:rFonts w:ascii="Calibri" w:cs="Calibri" w:eastAsia="Calibri" w:hAnsi="Calibri"/>
          <w:color w:val="000000"/>
          <w:sz w:val="20"/>
          <w:szCs w:val="20"/>
        </w:rPr>
        <w:t xml:space="preserve"> [IPO presentation]. https://s3-storage.shs.com.vn/shs-website/Sites/QuoteVN/SiteRoot/reportattach/20251023_145047_IPO%20VPS..pdf</w:t>
      </w:r>
    </w:p>
    <w:p>
      <w:pPr>
        <w:spacing w:after="100" w:line="252"/>
        <w:ind w:left="567" w:hanging="567"/>
        <w:jc w:val="left"/>
      </w:pPr>
      <w:r>
        <w:rPr>
          <w:rFonts w:ascii="Calibri" w:cs="Calibri" w:eastAsia="Calibri" w:hAnsi="Calibri"/>
          <w:color w:val="000000"/>
          <w:sz w:val="20"/>
          <w:szCs w:val="20"/>
        </w:rPr>
        <w:t xml:space="preserve">Webull Corporation. (2026, August 19). </w:t>
      </w:r>
      <w:r>
        <w:rPr>
          <w:rFonts w:ascii="Calibri" w:cs="Calibri" w:eastAsia="Calibri" w:hAnsi="Calibri"/>
          <w:i/>
          <w:iCs/>
          <w:color w:val="000000"/>
          <w:sz w:val="20"/>
          <w:szCs w:val="20"/>
        </w:rPr>
        <w:t xml:space="preserve">Webull reports second quarter 2026 financial results</w:t>
      </w:r>
      <w:r>
        <w:rPr>
          <w:rFonts w:ascii="Calibri" w:cs="Calibri" w:eastAsia="Calibri" w:hAnsi="Calibri"/>
          <w:color w:val="000000"/>
          <w:sz w:val="20"/>
          <w:szCs w:val="20"/>
        </w:rPr>
        <w:t xml:space="preserve"> [Press release, Form 6-K Exhibit 99.1]. https://www.sec.gov/Archives/edgar/data/0001866364/000121390026091702/ea030257601ex99-1.htm</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2" Type="http://schemas.openxmlformats.org/officeDocument/2006/relationships/image" Target="media/d2081b30f3fc71169c0d84482c66e25dffbdb082.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5" Type="http://schemas.openxmlformats.org/officeDocument/2006/relationships/image" Target="media/1bbf55311f90a297244c319f21469674a2b0eeb2.png"/><Relationship Id="rId36" Type="http://schemas.openxmlformats.org/officeDocument/2006/relationships/fontTable" Target="fontTable.xml"/><Relationship Id="rIdV5img1" Type="http://schemas.openxmlformats.org/officeDocument/2006/relationships/image" Target="media/v5_fig1.png"/><Relationship Id="rIdV5img2" Type="http://schemas.openxmlformats.org/officeDocument/2006/relationships/image" Target="media/v5_fig2.png"/><Relationship Id="rIdV5img3" Type="http://schemas.openxmlformats.org/officeDocument/2006/relationships/image" Target="media/v5_fig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