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jc w:val="left"/>
      </w:pPr>
      <w:r>
        <w:rPr>
          <w:rFonts w:ascii="Calibri" w:hAnsi="Calibri"/>
          <w:b/>
          <w:color w:val="1B365D"/>
          <w:sz w:val="44"/>
        </w:rPr>
        <w:t>ĐỀ XUẤT OUTLINE BÁO CÁO KẾT QUẢ DỰ ÁN</w:t>
      </w:r>
    </w:p>
    <w:p>
      <w:pPr>
        <w:spacing w:before="320" w:after="160"/>
        <w:pBdr>
          <w:bottom w:val="single" w:sz="6" w:space="4" w:color="1B365D"/>
        </w:pBdr>
      </w:pPr>
      <w:r>
        <w:rPr>
          <w:rFonts w:ascii="Calibri" w:hAnsi="Calibri"/>
          <w:b/>
          <w:color w:val="1B365D"/>
          <w:sz w:val="32"/>
        </w:rPr>
        <w:t>ĐỀ XUẤT OUTLINE BÁO CÁO KẾT QUẢ DỰ ÁN</w:t>
      </w:r>
    </w:p>
    <w:p>
      <w:pPr>
        <w:spacing w:after="120"/>
      </w:pPr>
      <w:r>
        <w:rPr>
          <w:rFonts w:ascii="Calibri" w:hAnsi="Calibri"/>
          <w:b/>
        </w:rPr>
        <w:t xml:space="preserve">Bối cảnh &amp; Mục tiêu: </w:t>
      </w:r>
      <w:r>
        <w:rPr>
          <w:rFonts w:ascii="Calibri" w:hAnsi="Calibri"/>
          <w:sz w:val="22"/>
        </w:rPr>
        <w:t>Báo cáo này đề xuất flow outline cải tiến cho Báo cáo kết quả dự án phát hiện giao dịch bất thường và gian lận tài chính (Hướng 1 của GContest). Outline được điều chỉnh dựa trên logic vận hành thực tế của hệ thống (5 Phase) kết hợp phân tích xAI (SHAP, Counterfactual Recourse) và mô hình học liên tục (EWC).</w:t>
      </w:r>
    </w:p>
    <w:p>
      <w:pPr>
        <w:spacing w:after="120"/>
      </w:pPr>
      <w:r>
        <w:rPr>
          <w:rFonts w:ascii="Calibri" w:hAnsi="Calibri"/>
          <w:b/>
        </w:rPr>
        <w:t xml:space="preserve">Mục tiêu cốt lõi: </w:t>
      </w:r>
      <w:r>
        <w:rPr>
          <w:rFonts w:ascii="Calibri" w:hAnsi="Calibri"/>
          <w:sz w:val="22"/>
        </w:rPr>
        <w:t>Tăng niềm tin của khách hàng số, nâng cao trải nghiệm bảo mật không ma sát (Frictionless Security), từ đó bảo vệ uy tín ngân hàng số và gia tăng hiệu quả kinh doanh.</w:t>
      </w:r>
    </w:p>
    <w:p>
      <w:pPr>
        <w:spacing w:before="320" w:after="160"/>
        <w:pBdr>
          <w:bottom w:val="single" w:sz="6" w:space="4" w:color="1B365D"/>
        </w:pBdr>
      </w:pPr>
      <w:r>
        <w:rPr>
          <w:rFonts w:ascii="Calibri" w:hAnsi="Calibri"/>
          <w:b/>
          <w:color w:val="1B365D"/>
          <w:sz w:val="32"/>
        </w:rPr>
        <w:t>Phần A: Đánh giá &amp; Rationale Cải tiến</w:t>
      </w:r>
    </w:p>
    <w:p>
      <w:pPr>
        <w:spacing w:after="120"/>
      </w:pPr>
      <w:r>
        <w:rPr>
          <w:rFonts w:ascii="Calibri" w:hAnsi="Calibri"/>
          <w:sz w:val="22"/>
        </w:rPr>
        <w:t>Bảng dưới đây tóm tắt các điểm thiếu sót trong outline cũ (DOCS CHUNG.md) và giải pháp cải tiến được đưa vào outline mới dựa trên PURE_PIPELINE.md và feature_description_outcome.md:</w:t>
      </w:r>
    </w:p>
    <w:tbl>
      <w:tblPr>
        <w:tblW w:type="auto" w:w="0"/>
        <w:tblLayout w:type="fixed"/>
        <w:tblLook w:firstColumn="1" w:firstRow="1" w:lastColumn="0" w:lastRow="0" w:noHBand="0" w:noVBand="1" w:val="04A0"/>
      </w:tblPr>
      <w:tblGrid>
        <w:gridCol w:w="3120"/>
        <w:gridCol w:w="3120"/>
        <w:gridCol w:w="3120"/>
      </w:tblGrid>
      <w:tr>
        <w:tc>
          <w:tcPr>
            <w:tcW w:type="dxa" w:w="3000"/>
            <w:shd w:fill="1B365D"/>
            <w:tcMar>
              <w:top w:w="100" w:type="dxa"/>
              <w:bottom w:w="100" w:type="dxa"/>
              <w:left w:w="150" w:type="dxa"/>
              <w:right w:w="150" w:type="dxa"/>
            </w:tcMar>
          </w:tcPr>
          <w:p>
            <w:pPr>
              <w:jc w:val="left"/>
            </w:pPr>
            <w:r>
              <w:rPr>
                <w:rFonts w:ascii="Calibri" w:hAnsi="Calibri"/>
                <w:b/>
                <w:color w:val="FFFFFF"/>
                <w:sz w:val="21"/>
              </w:rPr>
              <w:t>Vấn đề trong outline cũ</w:t>
            </w:r>
          </w:p>
        </w:tc>
        <w:tc>
          <w:tcPr>
            <w:tcW w:type="dxa" w:w="3600"/>
            <w:shd w:fill="1B365D"/>
            <w:tcMar>
              <w:top w:w="100" w:type="dxa"/>
              <w:bottom w:w="100" w:type="dxa"/>
              <w:left w:w="150" w:type="dxa"/>
              <w:right w:w="150" w:type="dxa"/>
            </w:tcMar>
          </w:tcPr>
          <w:p>
            <w:pPr>
              <w:jc w:val="left"/>
            </w:pPr>
            <w:r>
              <w:rPr>
                <w:rFonts w:ascii="Calibri" w:hAnsi="Calibri"/>
                <w:b/>
                <w:color w:val="FFFFFF"/>
                <w:sz w:val="21"/>
              </w:rPr>
              <w:t>Ảnh hưởng / Thiếu sót</w:t>
            </w:r>
          </w:p>
        </w:tc>
        <w:tc>
          <w:tcPr>
            <w:tcW w:type="dxa" w:w="4000"/>
            <w:shd w:fill="1B365D"/>
            <w:tcMar>
              <w:top w:w="100" w:type="dxa"/>
              <w:bottom w:w="100" w:type="dxa"/>
              <w:left w:w="150" w:type="dxa"/>
              <w:right w:w="150" w:type="dxa"/>
            </w:tcMar>
          </w:tcPr>
          <w:p>
            <w:pPr>
              <w:jc w:val="left"/>
            </w:pPr>
            <w:r>
              <w:rPr>
                <w:rFonts w:ascii="Calibri" w:hAnsi="Calibri"/>
                <w:b/>
                <w:color w:val="FFFFFF"/>
                <w:sz w:val="21"/>
              </w:rPr>
              <w:t>Giải pháp trong outline mới</w:t>
            </w:r>
          </w:p>
        </w:tc>
      </w:tr>
      <w:tr>
        <w:tc>
          <w:tcPr>
            <w:tcW w:type="dxa" w:w="3000"/>
            <w:shd w:fill="FFFFFF"/>
            <w:tcMar>
              <w:top w:w="100" w:type="dxa"/>
              <w:bottom w:w="100" w:type="dxa"/>
              <w:left w:w="150" w:type="dxa"/>
              <w:right w:w="150" w:type="dxa"/>
            </w:tcMar>
          </w:tcPr>
          <w:p>
            <w:r>
              <w:rPr>
                <w:rFonts w:ascii="Calibri" w:hAnsi="Calibri"/>
                <w:sz w:val="20"/>
              </w:rPr>
              <w:t>Thiếu mục 'Phạm vi &amp; Hướng tiếp cận'</w:t>
            </w:r>
          </w:p>
        </w:tc>
        <w:tc>
          <w:tcPr>
            <w:tcW w:type="dxa" w:w="3600"/>
            <w:shd w:fill="FFFFFF"/>
            <w:tcMar>
              <w:top w:w="100" w:type="dxa"/>
              <w:bottom w:w="100" w:type="dxa"/>
              <w:left w:w="150" w:type="dxa"/>
              <w:right w:w="150" w:type="dxa"/>
            </w:tcMar>
          </w:tcPr>
          <w:p>
            <w:r>
              <w:rPr>
                <w:rFonts w:ascii="Calibri" w:hAnsi="Calibri"/>
                <w:sz w:val="20"/>
              </w:rPr>
              <w:t>Người đọc không rõ đội thi đang tập trung vào hướng nào trong 3 hướng của đề bài.</w:t>
            </w:r>
          </w:p>
        </w:tc>
        <w:tc>
          <w:tcPr>
            <w:tcW w:type="dxa" w:w="4000"/>
            <w:shd w:fill="FFFFFF"/>
            <w:tcMar>
              <w:top w:w="100" w:type="dxa"/>
              <w:bottom w:w="100" w:type="dxa"/>
              <w:left w:w="150" w:type="dxa"/>
              <w:right w:w="150" w:type="dxa"/>
            </w:tcMar>
          </w:tcPr>
          <w:p>
            <w:r>
              <w:rPr>
                <w:rFonts w:ascii="Calibri" w:hAnsi="Calibri"/>
                <w:sz w:val="20"/>
              </w:rPr>
              <w:t>Thêm mục 1.3 tuyên bố chọn Hướng 1: Fraud &amp; Anomaly Detection và nêu rõ lý do lựa chọn.</w:t>
            </w:r>
          </w:p>
        </w:tc>
      </w:tr>
      <w:tr>
        <w:tc>
          <w:tcPr>
            <w:tcW w:type="dxa" w:w="3000"/>
            <w:shd w:fill="F4F6F9"/>
            <w:tcMar>
              <w:top w:w="100" w:type="dxa"/>
              <w:bottom w:w="100" w:type="dxa"/>
              <w:left w:w="150" w:type="dxa"/>
              <w:right w:w="150" w:type="dxa"/>
            </w:tcMar>
          </w:tcPr>
          <w:p>
            <w:r>
              <w:rPr>
                <w:rFonts w:ascii="Calibri" w:hAnsi="Calibri"/>
                <w:sz w:val="20"/>
              </w:rPr>
              <w:t>EDA quá sơ sài (chỉ có 2 mục)</w:t>
            </w:r>
          </w:p>
        </w:tc>
        <w:tc>
          <w:tcPr>
            <w:tcW w:type="dxa" w:w="3600"/>
            <w:shd w:fill="F4F6F9"/>
            <w:tcMar>
              <w:top w:w="100" w:type="dxa"/>
              <w:bottom w:w="100" w:type="dxa"/>
              <w:left w:w="150" w:type="dxa"/>
              <w:right w:w="150" w:type="dxa"/>
            </w:tcMar>
          </w:tcPr>
          <w:p>
            <w:r>
              <w:rPr>
                <w:rFonts w:ascii="Calibri" w:hAnsi="Calibri"/>
                <w:sz w:val="20"/>
              </w:rPr>
              <w:t>Thiếu các phân tích cohort, phân bố thời gian, số tiền, và chuỗi hoạt động - các yếu tố trực tiếp định hình việc thiết kế đặc trưng.</w:t>
            </w:r>
          </w:p>
        </w:tc>
        <w:tc>
          <w:tcPr>
            <w:tcW w:type="dxa" w:w="4000"/>
            <w:shd w:fill="F4F6F9"/>
            <w:tcMar>
              <w:top w:w="100" w:type="dxa"/>
              <w:bottom w:w="100" w:type="dxa"/>
              <w:left w:w="150" w:type="dxa"/>
              <w:right w:w="150" w:type="dxa"/>
            </w:tcMar>
          </w:tcPr>
          <w:p>
            <w:r>
              <w:rPr>
                <w:rFonts w:ascii="Calibri" w:hAnsi="Calibri"/>
                <w:sz w:val="20"/>
              </w:rPr>
              <w:t>Mở rộng Phần II thành 4 mục chi tiết bao phủ phân bố dữ liệu, phân tích nhóm tuổi/nghề nghiệp và chuỗi hoạt động.</w:t>
            </w:r>
          </w:p>
        </w:tc>
      </w:tr>
      <w:tr>
        <w:tc>
          <w:tcPr>
            <w:tcW w:type="dxa" w:w="3000"/>
            <w:shd w:fill="FFFFFF"/>
            <w:tcMar>
              <w:top w:w="100" w:type="dxa"/>
              <w:bottom w:w="100" w:type="dxa"/>
              <w:left w:w="150" w:type="dxa"/>
              <w:right w:w="150" w:type="dxa"/>
            </w:tcMar>
          </w:tcPr>
          <w:p>
            <w:r>
              <w:rPr>
                <w:rFonts w:ascii="Calibri" w:hAnsi="Calibri"/>
                <w:sz w:val="20"/>
              </w:rPr>
              <w:t>Phase 1 (Data Extraction) bị gộp chung vào Training</w:t>
            </w:r>
          </w:p>
        </w:tc>
        <w:tc>
          <w:tcPr>
            <w:tcW w:type="dxa" w:w="3600"/>
            <w:shd w:fill="FFFFFF"/>
            <w:tcMar>
              <w:top w:w="100" w:type="dxa"/>
              <w:bottom w:w="100" w:type="dxa"/>
              <w:left w:w="150" w:type="dxa"/>
              <w:right w:w="150" w:type="dxa"/>
            </w:tcMar>
          </w:tcPr>
          <w:p>
            <w:r>
              <w:rPr>
                <w:rFonts w:ascii="Calibri" w:hAnsi="Calibri"/>
                <w:sz w:val="20"/>
              </w:rPr>
              <w:t>Xem nhẹ các kỹ thuật kỹ thuật dữ liệu phức tạp (như Benford's Law, Markov Chain, Security Event proximity).</w:t>
            </w:r>
          </w:p>
        </w:tc>
        <w:tc>
          <w:tcPr>
            <w:tcW w:type="dxa" w:w="4000"/>
            <w:shd w:fill="FFFFFF"/>
            <w:tcMar>
              <w:top w:w="100" w:type="dxa"/>
              <w:bottom w:w="100" w:type="dxa"/>
              <w:left w:w="150" w:type="dxa"/>
              <w:right w:w="150" w:type="dxa"/>
            </w:tcMar>
          </w:tcPr>
          <w:p>
            <w:r>
              <w:rPr>
                <w:rFonts w:ascii="Calibri" w:hAnsi="Calibri"/>
                <w:sz w:val="20"/>
              </w:rPr>
              <w:t>Tách thành Phần III riêng, nêu rõ 9 bước trích xuất dữ liệu gốc và tính toán cửa sổ trượt.</w:t>
            </w:r>
          </w:p>
        </w:tc>
      </w:tr>
      <w:tr>
        <w:tc>
          <w:tcPr>
            <w:tcW w:type="dxa" w:w="3000"/>
            <w:shd w:fill="F4F6F9"/>
            <w:tcMar>
              <w:top w:w="100" w:type="dxa"/>
              <w:bottom w:w="100" w:type="dxa"/>
              <w:left w:w="150" w:type="dxa"/>
              <w:right w:w="150" w:type="dxa"/>
            </w:tcMar>
          </w:tcPr>
          <w:p>
            <w:r>
              <w:rPr>
                <w:rFonts w:ascii="Calibri" w:hAnsi="Calibri"/>
                <w:sz w:val="20"/>
              </w:rPr>
              <w:t>Feature Engineering chỉ có 1 dòng</w:t>
            </w:r>
          </w:p>
        </w:tc>
        <w:tc>
          <w:tcPr>
            <w:tcW w:type="dxa" w:w="3600"/>
            <w:shd w:fill="F4F6F9"/>
            <w:tcMar>
              <w:top w:w="100" w:type="dxa"/>
              <w:bottom w:w="100" w:type="dxa"/>
              <w:left w:w="150" w:type="dxa"/>
              <w:right w:w="150" w:type="dxa"/>
            </w:tcMar>
          </w:tcPr>
          <w:p>
            <w:r>
              <w:rPr>
                <w:rFonts w:ascii="Calibri" w:hAnsi="Calibri"/>
                <w:sz w:val="20"/>
              </w:rPr>
              <w:t>Không thể hiện được sự chặt chẽ của 46 đặc trưng nghiệp vụ ngân hàng.</w:t>
            </w:r>
          </w:p>
        </w:tc>
        <w:tc>
          <w:tcPr>
            <w:tcW w:type="dxa" w:w="4000"/>
            <w:shd w:fill="F4F6F9"/>
            <w:tcMar>
              <w:top w:w="100" w:type="dxa"/>
              <w:bottom w:w="100" w:type="dxa"/>
              <w:left w:w="150" w:type="dxa"/>
              <w:right w:w="150" w:type="dxa"/>
            </w:tcMar>
          </w:tcPr>
          <w:p>
            <w:r>
              <w:rPr>
                <w:rFonts w:ascii="Calibri" w:hAnsi="Calibri"/>
                <w:sz w:val="20"/>
              </w:rPr>
              <w:t>Chia chi tiết thành 6 nhóm đặc trưng cụ thể (Deviation, Velocity, Temporal, Security, Statistical, Categorical).</w:t>
            </w:r>
          </w:p>
        </w:tc>
      </w:tr>
      <w:tr>
        <w:tc>
          <w:tcPr>
            <w:tcW w:type="dxa" w:w="3000"/>
            <w:shd w:fill="FFFFFF"/>
            <w:tcMar>
              <w:top w:w="100" w:type="dxa"/>
              <w:bottom w:w="100" w:type="dxa"/>
              <w:left w:w="150" w:type="dxa"/>
              <w:right w:w="150" w:type="dxa"/>
            </w:tcMar>
          </w:tcPr>
          <w:p>
            <w:r>
              <w:rPr>
                <w:rFonts w:ascii="Calibri" w:hAnsi="Calibri"/>
                <w:sz w:val="20"/>
              </w:rPr>
              <w:t>Hoàn toàn thiếu Phase 4 (Tiered Inference)</w:t>
            </w:r>
          </w:p>
        </w:tc>
        <w:tc>
          <w:tcPr>
            <w:tcW w:type="dxa" w:w="3600"/>
            <w:shd w:fill="FFFFFF"/>
            <w:tcMar>
              <w:top w:w="100" w:type="dxa"/>
              <w:bottom w:w="100" w:type="dxa"/>
              <w:left w:w="150" w:type="dxa"/>
              <w:right w:w="150" w:type="dxa"/>
            </w:tcMar>
          </w:tcPr>
          <w:p>
            <w:r>
              <w:rPr>
                <w:rFonts w:ascii="Calibri" w:hAnsi="Calibri"/>
                <w:sz w:val="20"/>
              </w:rPr>
              <w:t>Bỏ qua kiến trúc 3 tầng - điểm sáng và là thế mạnh cạnh tranh lớn nhất của hệ thống.</w:t>
            </w:r>
          </w:p>
        </w:tc>
        <w:tc>
          <w:tcPr>
            <w:tcW w:type="dxa" w:w="4000"/>
            <w:shd w:fill="FFFFFF"/>
            <w:tcMar>
              <w:top w:w="100" w:type="dxa"/>
              <w:bottom w:w="100" w:type="dxa"/>
              <w:left w:w="150" w:type="dxa"/>
              <w:right w:w="150" w:type="dxa"/>
            </w:tcMar>
          </w:tcPr>
          <w:p>
            <w:r>
              <w:rPr>
                <w:rFonts w:ascii="Calibri" w:hAnsi="Calibri"/>
                <w:sz w:val="20"/>
              </w:rPr>
              <w:t>Xây dựng Phần V mô tả chi tiết 3 tầng: Rule Bypass, ML Classifier, và xAI Engine.</w:t>
            </w:r>
          </w:p>
        </w:tc>
      </w:tr>
      <w:tr>
        <w:tc>
          <w:tcPr>
            <w:tcW w:type="dxa" w:w="3000"/>
            <w:shd w:fill="F4F6F9"/>
            <w:tcMar>
              <w:top w:w="100" w:type="dxa"/>
              <w:bottom w:w="100" w:type="dxa"/>
              <w:left w:w="150" w:type="dxa"/>
              <w:right w:w="150" w:type="dxa"/>
            </w:tcMar>
          </w:tcPr>
          <w:p>
            <w:r>
              <w:rPr>
                <w:rFonts w:ascii="Calibri" w:hAnsi="Calibri"/>
                <w:sz w:val="20"/>
              </w:rPr>
              <w:t>xAI Engine &amp; EWC bị đặt sai vị trí hoặc đánh trùng số</w:t>
            </w:r>
          </w:p>
        </w:tc>
        <w:tc>
          <w:tcPr>
            <w:tcW w:type="dxa" w:w="3600"/>
            <w:shd w:fill="F4F6F9"/>
            <w:tcMar>
              <w:top w:w="100" w:type="dxa"/>
              <w:bottom w:w="100" w:type="dxa"/>
              <w:left w:w="150" w:type="dxa"/>
              <w:right w:w="150" w:type="dxa"/>
            </w:tcMar>
          </w:tcPr>
          <w:p>
            <w:r>
              <w:rPr>
                <w:rFonts w:ascii="Calibri" w:hAnsi="Calibri"/>
                <w:sz w:val="20"/>
              </w:rPr>
              <w:t>Đặt Tree SHAP vào phần Training là sai logic; EWC bị trùng số mục 3.4.7 và bị hạ thấp vai trò.</w:t>
            </w:r>
          </w:p>
        </w:tc>
        <w:tc>
          <w:tcPr>
            <w:tcW w:type="dxa" w:w="4000"/>
            <w:shd w:fill="F4F6F9"/>
            <w:tcMar>
              <w:top w:w="100" w:type="dxa"/>
              <w:bottom w:w="100" w:type="dxa"/>
              <w:left w:w="150" w:type="dxa"/>
              <w:right w:w="150" w:type="dxa"/>
            </w:tcMar>
          </w:tcPr>
          <w:p>
            <w:r>
              <w:rPr>
                <w:rFonts w:ascii="Calibri" w:hAnsi="Calibri"/>
                <w:sz w:val="20"/>
              </w:rPr>
              <w:t>Đưa SHAP và Counterfactual vào Phase 4 (Inference). Tách EWC thành Phần VI riêng biệt (Phase 5 - Continuous Learning).</w:t>
            </w:r>
          </w:p>
        </w:tc>
      </w:tr>
      <w:tr>
        <w:tc>
          <w:tcPr>
            <w:tcW w:type="dxa" w:w="3000"/>
            <w:shd w:fill="FFFFFF"/>
            <w:tcMar>
              <w:top w:w="100" w:type="dxa"/>
              <w:bottom w:w="100" w:type="dxa"/>
              <w:left w:w="150" w:type="dxa"/>
              <w:right w:w="150" w:type="dxa"/>
            </w:tcMar>
          </w:tcPr>
          <w:p>
            <w:r>
              <w:rPr>
                <w:rFonts w:ascii="Calibri" w:hAnsi="Calibri"/>
                <w:sz w:val="20"/>
              </w:rPr>
              <w:t>Phần kết quả &amp; Đề xuất chỉ có tiêu đề trống</w:t>
            </w:r>
          </w:p>
        </w:tc>
        <w:tc>
          <w:tcPr>
            <w:tcW w:type="dxa" w:w="3600"/>
            <w:shd w:fill="FFFFFF"/>
            <w:tcMar>
              <w:top w:w="100" w:type="dxa"/>
              <w:bottom w:w="100" w:type="dxa"/>
              <w:left w:w="150" w:type="dxa"/>
              <w:right w:w="150" w:type="dxa"/>
            </w:tcMar>
          </w:tcPr>
          <w:p>
            <w:r>
              <w:rPr>
                <w:rFonts w:ascii="Calibri" w:hAnsi="Calibri"/>
                <w:sz w:val="20"/>
              </w:rPr>
              <w:t>Thiếu bằng chứng chứng minh sự hiệu quả về mặt toán học và giá trị nghiệp vụ thực tế.</w:t>
            </w:r>
          </w:p>
        </w:tc>
        <w:tc>
          <w:tcPr>
            <w:tcW w:type="dxa" w:w="4000"/>
            <w:shd w:fill="FFFFFF"/>
            <w:tcMar>
              <w:top w:w="100" w:type="dxa"/>
              <w:bottom w:w="100" w:type="dxa"/>
              <w:left w:w="150" w:type="dxa"/>
              <w:right w:w="150" w:type="dxa"/>
            </w:tcMar>
          </w:tcPr>
          <w:p>
            <w:r>
              <w:rPr>
                <w:rFonts w:ascii="Calibri" w:hAnsi="Calibri"/>
                <w:sz w:val="20"/>
              </w:rPr>
              <w:t>Mở rộng Phần VII &amp; VIII để trình bày thống kê rủi ro, top SHAP, toxic interactions, hiệu suất xử lý thực tế và giá trị kinh doanh (Uy tín, CX, Compliance).</w:t>
            </w:r>
          </w:p>
        </w:tc>
      </w:tr>
    </w:tbl>
    <w:p>
      <w:pPr>
        <w:spacing w:after="120"/>
      </w:pPr>
    </w:p>
    <w:p>
      <w:pPr>
        <w:spacing w:before="320" w:after="160"/>
        <w:pBdr>
          <w:bottom w:val="single" w:sz="6" w:space="4" w:color="1B365D"/>
        </w:pBdr>
      </w:pPr>
      <w:r>
        <w:rPr>
          <w:rFonts w:ascii="Calibri" w:hAnsi="Calibri"/>
          <w:b/>
          <w:color w:val="1B365D"/>
          <w:sz w:val="32"/>
        </w:rPr>
        <w:t>Phần B: Outline Báo cáo Chi tiết (Revised)</w:t>
      </w:r>
    </w:p>
    <w:p>
      <w:pPr>
        <w:spacing w:before="240" w:after="120"/>
      </w:pPr>
      <w:r>
        <w:rPr>
          <w:rFonts w:ascii="Calibri" w:hAnsi="Calibri"/>
          <w:b/>
          <w:color w:val="4A777A"/>
          <w:sz w:val="26"/>
        </w:rPr>
        <w:t>Phần I: Mở đầu</w:t>
      </w:r>
    </w:p>
    <w:p>
      <w:pPr>
        <w:pStyle w:val="ListBullet"/>
        <w:spacing w:after="60"/>
        <w:ind w:left="360"/>
      </w:pPr>
      <w:r>
        <w:rPr>
          <w:rFonts w:ascii="Calibri" w:hAnsi="Calibri"/>
          <w:sz w:val="22"/>
        </w:rPr>
        <w:t>1.1. Bối cảnh dự án (Thực trạng gian lận tài chính tại Việt Nam và quốc tế; Hạn chế của rule-based truyền thống; Xu hướng ứng dụng ML + xAI).</w:t>
      </w:r>
    </w:p>
    <w:p>
      <w:pPr>
        <w:pStyle w:val="ListBullet"/>
        <w:spacing w:after="60"/>
        <w:ind w:left="360"/>
      </w:pPr>
      <w:r>
        <w:rPr>
          <w:rFonts w:ascii="Calibri" w:hAnsi="Calibri"/>
          <w:sz w:val="22"/>
        </w:rPr>
        <w:t>1.2. Mục tiêu dự án (Phát hiện giao dịch nghi vấn; Giảm False Positive; xAI; Counterfactual Recourse; Bảo vệ uy tín &amp; niềm tin khách hàng).</w:t>
      </w:r>
    </w:p>
    <w:p>
      <w:pPr>
        <w:pStyle w:val="ListBullet"/>
        <w:spacing w:after="60"/>
        <w:ind w:left="360"/>
      </w:pPr>
      <w:r>
        <w:rPr>
          <w:rFonts w:ascii="Calibri" w:hAnsi="Calibri"/>
          <w:sz w:val="22"/>
        </w:rPr>
        <w:t>1.3. Phạm vi &amp; Hướng tiếp cận (Lựa chọn Hướng 1: Fraud &amp; Anomaly Detection; Sơ đồ kiến trúc pipeline 5 phase).</w:t>
      </w:r>
    </w:p>
    <w:p>
      <w:pPr>
        <w:pStyle w:val="ListBullet"/>
        <w:spacing w:after="60"/>
        <w:ind w:left="360"/>
      </w:pPr>
      <w:r>
        <w:rPr>
          <w:rFonts w:ascii="Calibri" w:hAnsi="Calibri"/>
          <w:sz w:val="22"/>
        </w:rPr>
        <w:t>1.4. Dữ liệu sử dụng (Mô tả chi tiết 6 bảng dữ liệu liên kết: Customer, Transaction, Activity, Deposit, Lending, Card; Quy mô ~20 triệu bản ghi).</w:t>
      </w:r>
    </w:p>
    <w:p>
      <w:pPr>
        <w:spacing w:before="240" w:after="120"/>
      </w:pPr>
      <w:r>
        <w:rPr>
          <w:rFonts w:ascii="Calibri" w:hAnsi="Calibri"/>
          <w:b/>
          <w:color w:val="4A777A"/>
          <w:sz w:val="26"/>
        </w:rPr>
        <w:t>Phần II: Phân tích Khám phá Dữ liệu (EDA)</w:t>
      </w:r>
    </w:p>
    <w:p>
      <w:pPr>
        <w:pStyle w:val="ListBullet"/>
        <w:spacing w:after="60"/>
        <w:ind w:left="360"/>
      </w:pPr>
      <w:r>
        <w:rPr>
          <w:rFonts w:ascii="Calibri" w:hAnsi="Calibri"/>
          <w:sz w:val="22"/>
        </w:rPr>
        <w:t>2.1. Tổng quan quy mô &amp; cấu trúc dữ liệu (Số lượng bản ghi, phân bố giao dịch theo thời gian: ngày, giờ, ngày trong tuần).</w:t>
      </w:r>
    </w:p>
    <w:p>
      <w:pPr>
        <w:pStyle w:val="ListBullet"/>
        <w:spacing w:after="60"/>
        <w:ind w:left="360"/>
      </w:pPr>
      <w:r>
        <w:rPr>
          <w:rFonts w:ascii="Calibri" w:hAnsi="Calibri"/>
          <w:sz w:val="22"/>
        </w:rPr>
        <w:t>2.2. Phân tích phân bố giao dịch (Phân bố số tiền giao dịch skewness/heavy tail; Loại giao dịch; Phân bố theo thiết bị iOS/Android/Web).</w:t>
      </w:r>
    </w:p>
    <w:p>
      <w:pPr>
        <w:pStyle w:val="ListBullet"/>
        <w:spacing w:after="60"/>
        <w:ind w:left="360"/>
      </w:pPr>
      <w:r>
        <w:rPr>
          <w:rFonts w:ascii="Calibri" w:hAnsi="Calibri"/>
          <w:sz w:val="22"/>
        </w:rPr>
        <w:t>2.3. Phân tích hành vi theo nhóm khách hàng (Cohort) (Phân tích theo nhóm tuổi, nhóm nghề nghiệp, và thời gian hoạt động của tài khoản).</w:t>
      </w:r>
    </w:p>
    <w:p>
      <w:pPr>
        <w:pStyle w:val="ListBullet"/>
        <w:spacing w:after="60"/>
        <w:ind w:left="360"/>
      </w:pPr>
      <w:r>
        <w:rPr>
          <w:rFonts w:ascii="Calibri" w:hAnsi="Calibri"/>
          <w:sz w:val="22"/>
        </w:rPr>
        <w:t>2.4. Phân tích chuỗi hoạt động &amp; sự kiện bảo mật (Tần suất đổi pass/PIN; Phân bố hoạt động đăng nhập/chuyển tiền làm cơ sở thiết kế feature).</w:t>
      </w:r>
    </w:p>
    <w:p>
      <w:pPr>
        <w:spacing w:before="240" w:after="120"/>
      </w:pPr>
      <w:r>
        <w:rPr>
          <w:rFonts w:ascii="Calibri" w:hAnsi="Calibri"/>
          <w:b/>
          <w:color w:val="4A777A"/>
          <w:sz w:val="26"/>
        </w:rPr>
        <w:t>Phần III: Trích xuất &amp; Kỹ thuật Đặc trưng (Phase 1-2)</w:t>
      </w:r>
    </w:p>
    <w:p>
      <w:pPr>
        <w:pStyle w:val="ListBullet"/>
        <w:spacing w:after="60"/>
        <w:ind w:left="360"/>
      </w:pPr>
      <w:r>
        <w:rPr>
          <w:rFonts w:ascii="Calibri" w:hAnsi="Calibri"/>
          <w:sz w:val="22"/>
        </w:rPr>
        <w:t>3.1. Trích xuất dữ liệu thô (Phase 1 — Data Extraction)</w:t>
      </w:r>
    </w:p>
    <w:p>
      <w:pPr>
        <w:pStyle w:val="ListBullet"/>
        <w:spacing w:after="60"/>
        <w:ind w:left="720"/>
      </w:pPr>
      <w:r>
        <w:rPr>
          <w:rFonts w:ascii="Calibri" w:hAnsi="Calibri"/>
          <w:sz w:val="22"/>
        </w:rPr>
        <w:t>3.1.1. Nối các nguồn dữ liệu &amp; truy vấn giao dịch gốc</w:t>
      </w:r>
    </w:p>
    <w:p>
      <w:pPr>
        <w:pStyle w:val="ListBullet"/>
        <w:spacing w:after="60"/>
        <w:ind w:left="720"/>
      </w:pPr>
      <w:r>
        <w:rPr>
          <w:rFonts w:ascii="Calibri" w:hAnsi="Calibri"/>
          <w:sz w:val="22"/>
        </w:rPr>
        <w:t>3.1.2. Tổng hợp cửa sổ trượt thời gian (6 cửa sổ: 1h, 3h, 24h, 48h, 7d, 30d; tính SUM và COUNT)</w:t>
      </w:r>
    </w:p>
    <w:p>
      <w:pPr>
        <w:pStyle w:val="ListBullet"/>
        <w:spacing w:after="60"/>
        <w:ind w:left="720"/>
      </w:pPr>
      <w:r>
        <w:rPr>
          <w:rFonts w:ascii="Calibri" w:hAnsi="Calibri"/>
          <w:sz w:val="22"/>
        </w:rPr>
        <w:t>3.1.3. Thống kê lịch sử khách hàng (Số dư trung bình, số tiền giao dịch trung bình lịch sử)</w:t>
      </w:r>
    </w:p>
    <w:p>
      <w:pPr>
        <w:pStyle w:val="ListBullet"/>
        <w:spacing w:after="60"/>
        <w:ind w:left="720"/>
      </w:pPr>
      <w:r>
        <w:rPr>
          <w:rFonts w:ascii="Calibri" w:hAnsi="Calibri"/>
          <w:sz w:val="22"/>
        </w:rPr>
        <w:t>3.1.4. Khoảng cách thời gian giao dịch liền kề (DAYS_SINCE_LAST_TRANS)</w:t>
      </w:r>
    </w:p>
    <w:p>
      <w:pPr>
        <w:pStyle w:val="ListBullet"/>
        <w:spacing w:after="60"/>
        <w:ind w:left="720"/>
      </w:pPr>
      <w:r>
        <w:rPr>
          <w:rFonts w:ascii="Calibri" w:hAnsi="Calibri"/>
          <w:sz w:val="22"/>
        </w:rPr>
        <w:t>3.1.5. Người thụ hưởng duy nhất trong 24h (UNIQUE_BENEFICIARIES_24H)</w:t>
      </w:r>
    </w:p>
    <w:p>
      <w:pPr>
        <w:pStyle w:val="ListBullet"/>
        <w:spacing w:after="60"/>
        <w:ind w:left="720"/>
      </w:pPr>
      <w:r>
        <w:rPr>
          <w:rFonts w:ascii="Calibri" w:hAnsi="Calibri"/>
          <w:sz w:val="22"/>
        </w:rPr>
        <w:t>3.1.6. Khoảng cách thời gian tới sự kiện bảo mật (HOURS_SINCE_SEC_EVENT)</w:t>
      </w:r>
    </w:p>
    <w:p>
      <w:pPr>
        <w:pStyle w:val="ListBullet"/>
        <w:spacing w:after="60"/>
        <w:ind w:left="720"/>
      </w:pPr>
      <w:r>
        <w:rPr>
          <w:rFonts w:ascii="Calibri" w:hAnsi="Calibri"/>
          <w:sz w:val="22"/>
        </w:rPr>
        <w:t>3.1.7. Thống kê đăng nhập &amp; Sinh trắc học (HIST_BIOMETRIC_RATIO)</w:t>
      </w:r>
    </w:p>
    <w:p>
      <w:pPr>
        <w:pStyle w:val="ListBullet"/>
        <w:spacing w:after="60"/>
        <w:ind w:left="720"/>
      </w:pPr>
      <w:r>
        <w:rPr>
          <w:rFonts w:ascii="Calibri" w:hAnsi="Calibri"/>
          <w:sz w:val="22"/>
        </w:rPr>
        <w:t>3.1.8. Phân tích Benford's Law (Độ lệch KL-Divergence, ngưỡng N &gt;= 50)</w:t>
      </w:r>
    </w:p>
    <w:p>
      <w:pPr>
        <w:pStyle w:val="ListBullet"/>
        <w:spacing w:after="60"/>
        <w:ind w:left="720"/>
      </w:pPr>
      <w:r>
        <w:rPr>
          <w:rFonts w:ascii="Calibri" w:hAnsi="Calibri"/>
          <w:sz w:val="22"/>
        </w:rPr>
        <w:t>3.1.9. Chuỗi Markov bậc 2 (ACTIVITY_SEQ_RARITY)</w:t>
      </w:r>
    </w:p>
    <w:p>
      <w:pPr>
        <w:pStyle w:val="ListBullet"/>
        <w:spacing w:after="60"/>
        <w:ind w:left="360"/>
      </w:pPr>
      <w:r>
        <w:rPr>
          <w:rFonts w:ascii="Calibri" w:hAnsi="Calibri"/>
          <w:sz w:val="22"/>
        </w:rPr>
        <w:t>3.2. Kỹ thuật đặc trưng (Phase 2 — Feature Engineering)</w:t>
      </w:r>
    </w:p>
    <w:p>
      <w:pPr>
        <w:pStyle w:val="ListBullet"/>
        <w:spacing w:after="60"/>
        <w:ind w:left="720"/>
      </w:pPr>
      <w:r>
        <w:rPr>
          <w:rFonts w:ascii="Calibri" w:hAnsi="Calibri"/>
          <w:sz w:val="22"/>
        </w:rPr>
        <w:t>3.2.1. Nhóm 1: Lệch chuẩn Số tiền (Z-Score, Balance Coverage Ratio, 30-Day Average Ratio)</w:t>
      </w:r>
    </w:p>
    <w:p>
      <w:pPr>
        <w:pStyle w:val="ListBullet"/>
        <w:spacing w:after="60"/>
        <w:ind w:left="720"/>
      </w:pPr>
      <w:r>
        <w:rPr>
          <w:rFonts w:ascii="Calibri" w:hAnsi="Calibri"/>
          <w:sz w:val="22"/>
        </w:rPr>
        <w:t>3.2.2. Nhóm 2: Tốc độ &amp; Tần suất (Velocity Ratio Amount 1h/24h/7d/30d; Velocity Ratio Count)</w:t>
      </w:r>
    </w:p>
    <w:p>
      <w:pPr>
        <w:pStyle w:val="ListBullet"/>
        <w:spacing w:after="60"/>
        <w:ind w:left="720"/>
      </w:pPr>
      <w:r>
        <w:rPr>
          <w:rFonts w:ascii="Calibri" w:hAnsi="Calibri"/>
          <w:sz w:val="22"/>
        </w:rPr>
        <w:t>3.2.3. Nhóm 3: Hành vi Thời gian &amp; Ngủ đông (DAYS_AMOUNT_COMBINED, NIGHT_ANOMALY, HIST_NIGHT_RATIO)</w:t>
      </w:r>
    </w:p>
    <w:p>
      <w:pPr>
        <w:pStyle w:val="ListBullet"/>
        <w:spacing w:after="60"/>
        <w:ind w:left="720"/>
      </w:pPr>
      <w:r>
        <w:rPr>
          <w:rFonts w:ascii="Calibri" w:hAnsi="Calibri"/>
          <w:sz w:val="22"/>
        </w:rPr>
        <w:t>3.2.4. Nhóm 4: An ninh &amp; Xác thực (HOURS_SINCE_SEC_EVENT, HIST_BIOMETRIC_RATIO)</w:t>
      </w:r>
    </w:p>
    <w:p>
      <w:pPr>
        <w:pStyle w:val="ListBullet"/>
        <w:spacing w:after="60"/>
        <w:ind w:left="720"/>
      </w:pPr>
      <w:r>
        <w:rPr>
          <w:rFonts w:ascii="Calibri" w:hAnsi="Calibri"/>
          <w:sz w:val="22"/>
        </w:rPr>
        <w:t>3.2.5. Nhóm 5: Phân tích Thống kê &amp; Chuỗi (BENFORD_DEV, ACTIVITY_SEQ_RARITY)</w:t>
      </w:r>
    </w:p>
    <w:p>
      <w:pPr>
        <w:pStyle w:val="ListBullet"/>
        <w:spacing w:after="60"/>
        <w:ind w:left="720"/>
      </w:pPr>
      <w:r>
        <w:rPr>
          <w:rFonts w:ascii="Calibri" w:hAnsi="Calibri"/>
          <w:sz w:val="22"/>
        </w:rPr>
        <w:t>3.2.6. Nhóm 6: Phân loại &amp; Nhân khẩu (AGE_GROUP, Occupation_Group, TRANS_LV1, TRANS_LV2)</w:t>
      </w:r>
    </w:p>
    <w:p>
      <w:pPr>
        <w:pStyle w:val="ListBullet"/>
        <w:spacing w:after="60"/>
        <w:ind w:left="720"/>
      </w:pPr>
      <w:r>
        <w:rPr>
          <w:rFonts w:ascii="Calibri" w:hAnsi="Calibri"/>
          <w:sz w:val="22"/>
        </w:rPr>
        <w:t>3.2.7. Tổng kết: ~46 đặc trưng số hóa (Label encoding cho 7 trường categorical)</w:t>
      </w:r>
    </w:p>
    <w:p>
      <w:pPr>
        <w:spacing w:before="240" w:after="120"/>
      </w:pPr>
      <w:r>
        <w:rPr>
          <w:rFonts w:ascii="Calibri" w:hAnsi="Calibri"/>
          <w:b/>
          <w:color w:val="4A777A"/>
          <w:sz w:val="26"/>
        </w:rPr>
        <w:t>Phần IV: Huấn luyện Mô hình (Phase 3 — PU Learning)</w:t>
      </w:r>
    </w:p>
    <w:p>
      <w:pPr>
        <w:pStyle w:val="ListBullet"/>
        <w:spacing w:after="60"/>
        <w:ind w:left="360"/>
      </w:pPr>
      <w:r>
        <w:rPr>
          <w:rFonts w:ascii="Calibri" w:hAnsi="Calibri"/>
          <w:sz w:val="22"/>
        </w:rPr>
        <w:t>4.1. Vấn đề: Không có nhãn gian lận (Giải thích lý do lựa chọn Positive-Unlabeled Learning trong bài toán thực tế).</w:t>
      </w:r>
    </w:p>
    <w:p>
      <w:pPr>
        <w:pStyle w:val="ListBullet"/>
        <w:spacing w:after="60"/>
        <w:ind w:left="360"/>
      </w:pPr>
      <w:r>
        <w:rPr>
          <w:rFonts w:ascii="Calibri" w:hAnsi="Calibri"/>
          <w:sz w:val="22"/>
        </w:rPr>
        <w:t>4.2. Bước 1: Khởi tạo nhãn Proxy bằng Isolation Forest (Contamination rate c = 3%; tập P và U).</w:t>
      </w:r>
    </w:p>
    <w:p>
      <w:pPr>
        <w:pStyle w:val="ListBullet"/>
        <w:spacing w:after="60"/>
        <w:ind w:left="360"/>
      </w:pPr>
      <w:r>
        <w:rPr>
          <w:rFonts w:ascii="Calibri" w:hAnsi="Calibri"/>
          <w:sz w:val="22"/>
        </w:rPr>
        <w:t>4.3. Bước 2: Lọc dữ liệu gián điệp PAYN (Spy Filtering) (Cấy 10% positive vào unlabeled pool; xác định ngưỡng tau_spy; tập N_confirmed).</w:t>
      </w:r>
    </w:p>
    <w:p>
      <w:pPr>
        <w:pStyle w:val="ListBullet"/>
        <w:spacing w:after="60"/>
        <w:ind w:left="360"/>
      </w:pPr>
      <w:r>
        <w:rPr>
          <w:rFonts w:ascii="Calibri" w:hAnsi="Calibri"/>
          <w:sz w:val="22"/>
        </w:rPr>
        <w:t>4.4. Bước 3: Tối ưu hóa không gắn nhãn có kiểm chứng chéo (CVuO) (5-fold CV trên U_remaining; loại bỏ top 10% mẫu có log-loss cao nhất).</w:t>
      </w:r>
    </w:p>
    <w:p>
      <w:pPr>
        <w:pStyle w:val="ListBullet"/>
        <w:spacing w:after="60"/>
        <w:ind w:left="360"/>
      </w:pPr>
      <w:r>
        <w:rPr>
          <w:rFonts w:ascii="Calibri" w:hAnsi="Calibri"/>
          <w:sz w:val="22"/>
        </w:rPr>
        <w:t>4.5. Bước 4: Huấn luyện XGBoost cuối cùng (Hyperparameters: n_estimators=100, max_depth=3, L1=1.0, L2=2.0; Rademacher Complexity).</w:t>
      </w:r>
    </w:p>
    <w:p>
      <w:pPr>
        <w:pStyle w:val="ListBullet"/>
        <w:spacing w:after="60"/>
        <w:ind w:left="360"/>
      </w:pPr>
      <w:r>
        <w:rPr>
          <w:rFonts w:ascii="Calibri" w:hAnsi="Calibri"/>
          <w:sz w:val="22"/>
        </w:rPr>
        <w:t>4.6. Bước 5: Hiệu chỉnh xác suất Elkan-Noto (Công thức hiệu chỉnh P(fraud|x) = g(x) / c_hat).</w:t>
      </w:r>
    </w:p>
    <w:p>
      <w:pPr>
        <w:pStyle w:val="ListBullet"/>
        <w:spacing w:after="60"/>
        <w:ind w:left="360"/>
      </w:pPr>
      <w:r>
        <w:rPr>
          <w:rFonts w:ascii="Calibri" w:hAnsi="Calibri"/>
          <w:sz w:val="22"/>
        </w:rPr>
        <w:t>4.7. Ngưỡng quyết định (Xác định ngưỡng tau = Percentile_97 của xác suất hiệu chỉnh).</w:t>
      </w:r>
    </w:p>
    <w:p>
      <w:pPr>
        <w:spacing w:before="240" w:after="120"/>
      </w:pPr>
      <w:r>
        <w:rPr>
          <w:rFonts w:ascii="Calibri" w:hAnsi="Calibri"/>
          <w:b/>
          <w:color w:val="4A777A"/>
          <w:sz w:val="26"/>
        </w:rPr>
        <w:t>Phần V: Suy luận Phân tầng &amp; Giải thích (Phase 4 — Tiered Inference)</w:t>
      </w:r>
    </w:p>
    <w:p>
      <w:pPr>
        <w:pStyle w:val="ListBullet"/>
        <w:spacing w:after="60"/>
        <w:ind w:left="360"/>
      </w:pPr>
      <w:r>
        <w:rPr>
          <w:rFonts w:ascii="Calibri" w:hAnsi="Calibri"/>
          <w:sz w:val="22"/>
        </w:rPr>
        <w:t>5.1. Tổng quan kiến trúc 3 tầng (Mô tả luồng xử lý phân tầng giảm thiểu trễ và chi phí tính toán).</w:t>
      </w:r>
    </w:p>
    <w:p>
      <w:pPr>
        <w:pStyle w:val="ListBullet"/>
        <w:spacing w:after="60"/>
        <w:ind w:left="360"/>
      </w:pPr>
      <w:r>
        <w:rPr>
          <w:rFonts w:ascii="Calibri" w:hAnsi="Calibri"/>
          <w:sz w:val="22"/>
        </w:rPr>
        <w:t>5.2. Tầng 1: Bỏ qua Nhanh bằng Luật (High-Speed Rule Bypass) (Điều kiện A: Sequence + Amount; Điều kiện B: Velocity + Amount; Lọc ~95% traffic).</w:t>
      </w:r>
    </w:p>
    <w:p>
      <w:pPr>
        <w:pStyle w:val="ListBullet"/>
        <w:spacing w:after="60"/>
        <w:ind w:left="360"/>
      </w:pPr>
      <w:r>
        <w:rPr>
          <w:rFonts w:ascii="Calibri" w:hAnsi="Calibri"/>
          <w:sz w:val="22"/>
        </w:rPr>
        <w:t>5.3. Tầng 2: Phân loại ML (XGBoost + Elkan-Noto) (Chỉ áp dụng cho giao dịch không qua được Tầng 1; sinh Anomaly Score hiệu chỉnh).</w:t>
      </w:r>
    </w:p>
    <w:p>
      <w:pPr>
        <w:pStyle w:val="ListBullet"/>
        <w:spacing w:after="60"/>
        <w:ind w:left="360"/>
      </w:pPr>
      <w:r>
        <w:rPr>
          <w:rFonts w:ascii="Calibri" w:hAnsi="Calibri"/>
          <w:sz w:val="22"/>
        </w:rPr>
        <w:t>5.4. Tầng 3: Giải thích Nhân quả (xAI) (Áp dụng riêng cho các anomaly bị gắn cờ)</w:t>
      </w:r>
    </w:p>
    <w:p>
      <w:pPr>
        <w:pStyle w:val="ListBullet"/>
        <w:spacing w:after="60"/>
        <w:ind w:left="720"/>
      </w:pPr>
      <w:r>
        <w:rPr>
          <w:rFonts w:ascii="Calibri" w:hAnsi="Calibri"/>
          <w:sz w:val="22"/>
        </w:rPr>
        <w:t>5.4.1. SHAP Feature Contributions (TreeSHAP; tự động dịch top 3 contributors thành ngôn ngữ tự nhiên)</w:t>
      </w:r>
    </w:p>
    <w:p>
      <w:pPr>
        <w:pStyle w:val="ListBullet"/>
        <w:spacing w:after="60"/>
        <w:ind w:left="720"/>
      </w:pPr>
      <w:r>
        <w:rPr>
          <w:rFonts w:ascii="Calibri" w:hAnsi="Calibri"/>
          <w:sz w:val="22"/>
        </w:rPr>
        <w:t>5.4.2. SHAP Interaction Values (Ma trận tương tác FxF; phân tích các cặp tương tác mạnh |v| &gt; 0.01)</w:t>
      </w:r>
    </w:p>
    <w:p>
      <w:pPr>
        <w:pStyle w:val="ListBullet"/>
        <w:spacing w:after="60"/>
        <w:ind w:left="720"/>
      </w:pPr>
      <w:r>
        <w:rPr>
          <w:rFonts w:ascii="Calibri" w:hAnsi="Calibri"/>
          <w:sz w:val="22"/>
        </w:rPr>
        <w:t>5.4.3. Counterfactual Recourse (Tìm thay đổi tối thiểu qua binary search; cơ chế lan truyền nhân quả Causal Propagation; ràng buộc biến bất biến)</w:t>
      </w:r>
    </w:p>
    <w:p>
      <w:pPr>
        <w:spacing w:before="240" w:after="120"/>
      </w:pPr>
      <w:r>
        <w:rPr>
          <w:rFonts w:ascii="Calibri" w:hAnsi="Calibri"/>
          <w:b/>
          <w:color w:val="4A777A"/>
          <w:sz w:val="26"/>
        </w:rPr>
        <w:t>Phần VI: Học liên tục &amp; Chống Quên Thảm họa (Phase 5 — EWC)</w:t>
      </w:r>
    </w:p>
    <w:p>
      <w:pPr>
        <w:pStyle w:val="ListBullet"/>
        <w:spacing w:after="60"/>
        <w:ind w:left="360"/>
      </w:pPr>
      <w:r>
        <w:rPr>
          <w:rFonts w:ascii="Calibri" w:hAnsi="Calibri"/>
          <w:sz w:val="22"/>
        </w:rPr>
        <w:t>6.1. Vấn đề Distribution Drift trong hệ thống ngân hàng số.</w:t>
      </w:r>
    </w:p>
    <w:p>
      <w:pPr>
        <w:pStyle w:val="ListBullet"/>
        <w:spacing w:after="60"/>
        <w:ind w:left="360"/>
      </w:pPr>
      <w:r>
        <w:rPr>
          <w:rFonts w:ascii="Calibri" w:hAnsi="Calibri"/>
          <w:sz w:val="22"/>
        </w:rPr>
        <w:t>6.2. Kiến trúc Autoencoder (Cơ chế nén-giải nén D -&gt; 16 -&gt; 8 -&gt; 16 -&gt; D để biểu diễn baseline).</w:t>
      </w:r>
    </w:p>
    <w:p>
      <w:pPr>
        <w:pStyle w:val="ListBullet"/>
        <w:spacing w:after="60"/>
        <w:ind w:left="360"/>
      </w:pPr>
      <w:r>
        <w:rPr>
          <w:rFonts w:ascii="Calibri" w:hAnsi="Calibri"/>
          <w:sz w:val="22"/>
        </w:rPr>
        <w:t>6.3. Huấn luyện cơ sở &amp; Ngưỡng Anomaly (Xác định ngưỡng MSE dựa trên percentile 97).</w:t>
      </w:r>
    </w:p>
    <w:p>
      <w:pPr>
        <w:pStyle w:val="ListBullet"/>
        <w:spacing w:after="60"/>
        <w:ind w:left="360"/>
      </w:pPr>
      <w:r>
        <w:rPr>
          <w:rFonts w:ascii="Calibri" w:hAnsi="Calibri"/>
          <w:sz w:val="22"/>
        </w:rPr>
        <w:t>6.4. Ma trận Fisher Information (FIM) (Xác định trọng số quan trọng đối với dữ liệu baseline).</w:t>
      </w:r>
    </w:p>
    <w:p>
      <w:pPr>
        <w:pStyle w:val="ListBullet"/>
        <w:spacing w:after="60"/>
        <w:ind w:left="360"/>
      </w:pPr>
      <w:r>
        <w:rPr>
          <w:rFonts w:ascii="Calibri" w:hAnsi="Calibri"/>
          <w:sz w:val="22"/>
        </w:rPr>
        <w:t>6.5. Huấn luyện lại với penalty EWC (Điều khiển dịch chuyển trọng số thông qua tham số lambda = 50.0).</w:t>
      </w:r>
    </w:p>
    <w:p>
      <w:pPr>
        <w:pStyle w:val="ListBullet"/>
        <w:spacing w:after="60"/>
        <w:ind w:left="360"/>
      </w:pPr>
      <w:r>
        <w:rPr>
          <w:rFonts w:ascii="Calibri" w:hAnsi="Calibri"/>
          <w:sz w:val="22"/>
        </w:rPr>
        <w:t>6.6. Kết quả so sánh (So sánh MSE và điểm bất thường khi Có EWC vs Không EWC dưới tác động của drift x5 số tiền).</w:t>
      </w:r>
    </w:p>
    <w:p>
      <w:pPr>
        <w:spacing w:before="240" w:after="120"/>
      </w:pPr>
      <w:r>
        <w:rPr>
          <w:rFonts w:ascii="Calibri" w:hAnsi="Calibri"/>
          <w:b/>
          <w:color w:val="4A777A"/>
          <w:sz w:val="26"/>
        </w:rPr>
        <w:t>Phần VII: Kết quả &amp; Phân tích</w:t>
      </w:r>
    </w:p>
    <w:p>
      <w:pPr>
        <w:pStyle w:val="ListBullet"/>
        <w:spacing w:after="60"/>
        <w:ind w:left="360"/>
      </w:pPr>
      <w:r>
        <w:rPr>
          <w:rFonts w:ascii="Calibri" w:hAnsi="Calibri"/>
          <w:sz w:val="22"/>
        </w:rPr>
        <w:t>7.1. Thống kê tổng quan (Tổng giao dịch, số alerts, tỷ lệ gắn cờ 2.42%, giá trị trung bình/trung vị giao dịch bị cờ).</w:t>
      </w:r>
    </w:p>
    <w:p>
      <w:pPr>
        <w:pStyle w:val="ListBullet"/>
        <w:spacing w:after="60"/>
        <w:ind w:left="360"/>
      </w:pPr>
      <w:r>
        <w:rPr>
          <w:rFonts w:ascii="Calibri" w:hAnsi="Calibri"/>
          <w:sz w:val="22"/>
        </w:rPr>
        <w:t>7.2. Phân bố rủi ro (Theo thiết bị: iOS, Android, Web; Theo kênh giao dịch: Transfer Outside/Within, Credit Card, eWallet).</w:t>
      </w:r>
    </w:p>
    <w:p>
      <w:pPr>
        <w:pStyle w:val="ListBullet"/>
        <w:spacing w:after="60"/>
        <w:ind w:left="360"/>
      </w:pPr>
      <w:r>
        <w:rPr>
          <w:rFonts w:ascii="Calibri" w:hAnsi="Calibri"/>
          <w:sz w:val="22"/>
        </w:rPr>
        <w:t>7.3. Top SHAP Contributors (Bảng tần suất và tỷ lệ xuất hiện của các đặc trưng trong 121 alerts).</w:t>
      </w:r>
    </w:p>
    <w:p>
      <w:pPr>
        <w:pStyle w:val="ListBullet"/>
        <w:spacing w:after="60"/>
        <w:ind w:left="360"/>
      </w:pPr>
      <w:r>
        <w:rPr>
          <w:rFonts w:ascii="Calibri" w:hAnsi="Calibri"/>
          <w:sz w:val="22"/>
        </w:rPr>
        <w:t>7.4. Tương tác Đặc trưng Độc hại (Toxic Feature Interactions) (Phân tích các tổ hợp đặc trưng như Z_SCORE x BALANCE_COVERAGE).</w:t>
      </w:r>
    </w:p>
    <w:p>
      <w:pPr>
        <w:pStyle w:val="ListBullet"/>
        <w:spacing w:after="60"/>
        <w:ind w:left="360"/>
      </w:pPr>
      <w:r>
        <w:rPr>
          <w:rFonts w:ascii="Calibri" w:hAnsi="Calibri"/>
          <w:sz w:val="22"/>
        </w:rPr>
        <w:t>7.5. Ví dụ Counterfactual Recourse (Trình bày case study cụ thể: đề xuất mức giảm số tiền giao dịch để chuyển trạng thái an toàn).</w:t>
      </w:r>
    </w:p>
    <w:p>
      <w:pPr>
        <w:pStyle w:val="ListBullet"/>
        <w:spacing w:after="60"/>
        <w:ind w:left="360"/>
      </w:pPr>
      <w:r>
        <w:rPr>
          <w:rFonts w:ascii="Calibri" w:hAnsi="Calibri"/>
          <w:sz w:val="22"/>
        </w:rPr>
        <w:t>7.6. Hiệu suất xử lý thực tế (Thời gian xử lý từng tầng: Tier 1: 0.83ms, Tier 2: 39.86ms, Tier 3: 8.8s; ý nghĩa hệ thống real-time).</w:t>
      </w:r>
    </w:p>
    <w:p>
      <w:pPr>
        <w:spacing w:before="240" w:after="120"/>
      </w:pPr>
      <w:r>
        <w:rPr>
          <w:rFonts w:ascii="Calibri" w:hAnsi="Calibri"/>
          <w:b/>
          <w:color w:val="4A777A"/>
          <w:sz w:val="26"/>
        </w:rPr>
        <w:t>Phần VIII: Giá trị Kinh doanh &amp; Đề xuất</w:t>
      </w:r>
    </w:p>
    <w:p>
      <w:pPr>
        <w:pStyle w:val="ListBullet"/>
        <w:spacing w:after="60"/>
        <w:ind w:left="360"/>
      </w:pPr>
      <w:r>
        <w:rPr>
          <w:rFonts w:ascii="Calibri" w:hAnsi="Calibri"/>
          <w:sz w:val="22"/>
        </w:rPr>
        <w:t>8.1. Bảo vệ uy tín ngân hàng (Giảm thiểu False Positives xuống 2.42% so với 5-10% của rule-based; nhắm trúng giao dịch Transfer Outside).</w:t>
      </w:r>
    </w:p>
    <w:p>
      <w:pPr>
        <w:pStyle w:val="ListBullet"/>
        <w:spacing w:after="60"/>
        <w:ind w:left="360"/>
      </w:pPr>
      <w:r>
        <w:rPr>
          <w:rFonts w:ascii="Calibri" w:hAnsi="Calibri"/>
          <w:sz w:val="22"/>
        </w:rPr>
        <w:t>8.2. Nâng cao trải nghiệm khách hàng (Frictionless Security) (Không gây trễ cho 28% giao dịch lành tính nhờ Tier 1; đề xuất xác thực FaceID/OTP thay vì chặn cứng nhờ Counterfactual).</w:t>
      </w:r>
    </w:p>
    <w:p>
      <w:pPr>
        <w:pStyle w:val="ListBullet"/>
        <w:spacing w:after="60"/>
        <w:ind w:left="360"/>
      </w:pPr>
      <w:r>
        <w:rPr>
          <w:rFonts w:ascii="Calibri" w:hAnsi="Calibri"/>
          <w:sz w:val="22"/>
        </w:rPr>
        <w:t>8.3. Tăng hiệu suất Compliance (Dịch SHAP thành narrative tự nhiên giúp Analyst duyệt nhanh gấp 3-5 lần).</w:t>
      </w:r>
    </w:p>
    <w:p>
      <w:pPr>
        <w:pStyle w:val="ListBullet"/>
        <w:spacing w:after="60"/>
        <w:ind w:left="360"/>
      </w:pPr>
      <w:r>
        <w:rPr>
          <w:rFonts w:ascii="Calibri" w:hAnsi="Calibri"/>
          <w:sz w:val="22"/>
        </w:rPr>
        <w:t>8.4. Giới hạn hiện tại &amp; Hướng phát triển (Tích hợp feedback loop của analyst; nâng cấp lên pipeline streaming thời gian thực).</w:t>
      </w:r>
    </w:p>
    <w:p>
      <w:pPr>
        <w:spacing w:before="240" w:after="120"/>
      </w:pPr>
      <w:r>
        <w:rPr>
          <w:rFonts w:ascii="Calibri" w:hAnsi="Calibri"/>
          <w:b/>
          <w:color w:val="4A777A"/>
          <w:sz w:val="26"/>
        </w:rPr>
        <w:t>Phần IX: Tài liệu Tham khảo</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