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18" w:space="4" w:color="1F4E79"/>
        </w:pBdr>
      </w:pPr>
      <w:r>
        <w:rPr>
          <w:rFonts w:ascii="Times New Roman" w:hAnsi="Times New Roman"/>
          <w:b/>
          <w:i w:val="0"/>
          <w:color w:val="1F4E79"/>
          <w:sz w:val="36"/>
        </w:rPr>
        <w:t>Báo cáo Kết quả &amp; Hướng Xây dựng Feature Engineering</w:t>
      </w:r>
    </w:p>
    <w:p>
      <w:pPr>
        <w:keepNext/>
        <w:spacing w:before="280" w:after="120"/>
      </w:pPr>
      <w:r>
        <w:rPr>
          <w:rFonts w:ascii="Times New Roman" w:hAnsi="Times New Roman"/>
          <w:b/>
          <w:i w:val="0"/>
          <w:color w:val="2E75B5"/>
          <w:sz w:val="28"/>
        </w:rPr>
        <w:t>Hệ thống Phát hiện Giao dịch Bất thường — Banking Fraud &amp; xAI Pipeline</w:t>
      </w:r>
    </w:p>
    <w:p>
      <w:pPr>
        <w:spacing w:before="240" w:after="240"/>
        <w:pBdr>
          <w:bottom w:val="single" w:sz="8" w:space="4" w:color="D3D3D3"/>
        </w:pBdr>
      </w:pPr>
    </w:p>
    <w:p>
      <w:pPr>
        <w:keepNext/>
        <w:spacing w:before="280" w:after="120"/>
      </w:pPr>
      <w:r>
        <w:rPr>
          <w:rFonts w:ascii="Times New Roman" w:hAnsi="Times New Roman"/>
          <w:b/>
          <w:i w:val="0"/>
          <w:color w:val="2E75B5"/>
          <w:sz w:val="28"/>
        </w:rPr>
        <w:t>1. Tổng quan Dự án</w:t>
      </w:r>
    </w:p>
    <w:p>
      <w:pPr>
        <w:keepNext/>
        <w:spacing w:before="200" w:after="80"/>
      </w:pPr>
      <w:r>
        <w:rPr>
          <w:rFonts w:ascii="Times New Roman" w:hAnsi="Times New Roman"/>
          <w:b/>
          <w:i w:val="0"/>
          <w:color w:val="000000"/>
          <w:sz w:val="24"/>
        </w:rPr>
        <w:t>1.1 Bối cảnh</w:t>
      </w:r>
    </w:p>
    <w:p>
      <w:pPr>
        <w:spacing w:before="80" w:after="120" w:line="276" w:lineRule="auto"/>
      </w:pPr>
      <w:r>
        <w:rPr>
          <w:rFonts w:ascii="Times New Roman" w:hAnsi="Times New Roman"/>
          <w:b w:val="0"/>
          <w:i w:val="0"/>
          <w:sz w:val="22"/>
        </w:rPr>
        <w:t>Gian lận tài chính qua kênh ngân hàng số tại Việt Nam đang gia tăng với tốc độ đáng báo động. Theo Báo cáo của Ngân hàng Nhà nước Việt Nam (NHNN) và Bộ Công an năm 2024, số vụ lừa đảo tài chính tăng trung bình 65% mỗi năm, tổng thiệt hại ước tính vượt 8.000 tỷ VND. Con số này phản ánh một thực trạng không chỉ riêng Việt Nam — FATF (2023) ghi nhận sự bùng nổ giao dịch chuyển tiền nhanh qua kênh số trên toàn cầu đã khiến các hệ thống rule-based truyền thống ngày càng bất lực, trong khi ECB (2024) thống kê tỷ lệ False Positive trung bình của hệ thống AML dựa trên rule cứng tại châu Âu lên tới hơn 95%, gây lãng phí nhân lực Compliance và xói mòn trải nghiệm khách hàng.</w:t>
      </w:r>
    </w:p>
    <w:p>
      <w:pPr>
        <w:spacing w:before="80" w:after="120" w:line="276" w:lineRule="auto"/>
      </w:pPr>
      <w:r>
        <w:rPr>
          <w:rFonts w:ascii="Times New Roman" w:hAnsi="Times New Roman"/>
          <w:b w:val="0"/>
          <w:i w:val="0"/>
          <w:sz w:val="22"/>
        </w:rPr>
        <w:t>Tại Việt Nam, ba hình thức gian lận phổ biến nhất bao gồm:</w:t>
      </w:r>
    </w:p>
    <w:p>
      <w:pPr>
        <w:pStyle w:val="ListBullet"/>
        <w:spacing w:before="40" w:after="40" w:line="276" w:lineRule="auto"/>
        <w:ind w:left="360"/>
      </w:pPr>
      <w:r>
        <w:rPr>
          <w:rFonts w:ascii="Times New Roman" w:hAnsi="Times New Roman"/>
          <w:b/>
          <w:i w:val="0"/>
          <w:sz w:val="22"/>
        </w:rPr>
        <w:t>Chiếm đoạt tài khoản (Account Takeover — ATO):</w:t>
      </w:r>
      <w:r>
        <w:rPr>
          <w:rFonts w:ascii="Times New Roman" w:hAnsi="Times New Roman"/>
          <w:b w:val="0"/>
          <w:i w:val="0"/>
          <w:sz w:val="22"/>
        </w:rPr>
        <w:t xml:space="preserve"> Lừa đảo qua SMS OTP giả mạo, SIM Swap, đánh cắp thông tin đăng nhập qua website giả (Phishing). Đặc biệt trong bối cảnh Thông tư 17/2024/TT-NHNN yêu cầu bắt buộc xác thực sinh trắc học cho giao dịch trực tuyến, ATO đang chuyển hướng sang khai thác các lỗ hổng trước khi bước xác minh sinh trắc được kích hoạt.</w:t>
      </w:r>
    </w:p>
    <w:p>
      <w:pPr>
        <w:pStyle w:val="ListBullet"/>
        <w:spacing w:before="40" w:after="40" w:line="276" w:lineRule="auto"/>
        <w:ind w:left="360"/>
      </w:pPr>
      <w:r>
        <w:rPr>
          <w:rFonts w:ascii="Times New Roman" w:hAnsi="Times New Roman"/>
          <w:b/>
          <w:i w:val="0"/>
          <w:sz w:val="22"/>
        </w:rPr>
        <w:t>Rửa tiền và tài khoản trung chuyển (Money Mule):</w:t>
      </w:r>
      <w:r>
        <w:rPr>
          <w:rFonts w:ascii="Times New Roman" w:hAnsi="Times New Roman"/>
          <w:b w:val="0"/>
          <w:i w:val="0"/>
          <w:sz w:val="22"/>
        </w:rPr>
        <w:t xml:space="preserve"> Tội phạm mua/thuê tài khoản của sinh viên, người thất nghiệp để chuyển tiền bẩn nhanh qua nhiều lớp (Layering). NHNN qua Thông tư 09/2020 đã xác định nhóm dân số này là đối tượng rủi ro cao nhất cho hoạt động mule account.</w:t>
      </w:r>
    </w:p>
    <w:p>
      <w:pPr>
        <w:pStyle w:val="ListBullet"/>
        <w:spacing w:before="40" w:after="40" w:line="276" w:lineRule="auto"/>
        <w:ind w:left="360"/>
      </w:pPr>
      <w:r>
        <w:rPr>
          <w:rFonts w:ascii="Times New Roman" w:hAnsi="Times New Roman"/>
          <w:b/>
          <w:i w:val="0"/>
          <w:sz w:val="22"/>
        </w:rPr>
        <w:t>Chia nhỏ giao dịch (Structuring/Smurfing):</w:t>
      </w:r>
      <w:r>
        <w:rPr>
          <w:rFonts w:ascii="Times New Roman" w:hAnsi="Times New Roman"/>
          <w:b w:val="0"/>
          <w:i w:val="0"/>
          <w:sz w:val="22"/>
        </w:rPr>
        <w:t xml:space="preserve"> Cố tình chia giao dịch thành nhiều khoản nhỏ hơn ngưỡng kiểm soát để tránh bị báo cáo theo quy định phòng chống rửa tiền (AML).</w:t>
      </w:r>
    </w:p>
    <w:p>
      <w:pPr>
        <w:spacing w:before="80" w:after="120" w:line="276" w:lineRule="auto"/>
      </w:pPr>
      <w:r>
        <w:rPr>
          <w:rFonts w:ascii="Times New Roman" w:hAnsi="Times New Roman"/>
          <w:b w:val="0"/>
          <w:i w:val="0"/>
          <w:sz w:val="22"/>
        </w:rPr>
        <w:t>Trước bối cảnh này, Ủy ban Basel về Giám sát Ngân hàng (2022) khuyến nghị các ngân hàng sử dụng Machine Learning kết hợp Explainable AI (xAI) để giảm báo động giả và tăng khả năng giải trình trước Cơ quan quản lý — định hướng mà dự án này theo đuổi.</w:t>
      </w:r>
    </w:p>
    <w:p>
      <w:pPr>
        <w:keepNext/>
        <w:spacing w:before="200" w:after="80"/>
      </w:pPr>
      <w:r>
        <w:rPr>
          <w:rFonts w:ascii="Times New Roman" w:hAnsi="Times New Roman"/>
          <w:b/>
          <w:i w:val="0"/>
          <w:color w:val="000000"/>
          <w:sz w:val="24"/>
        </w:rPr>
        <w:t>1.2 Mục tiêu</w:t>
      </w:r>
    </w:p>
    <w:p>
      <w:pPr>
        <w:spacing w:before="80" w:after="120" w:line="276" w:lineRule="auto"/>
      </w:pPr>
      <w:r>
        <w:rPr>
          <w:rFonts w:ascii="Times New Roman" w:hAnsi="Times New Roman"/>
          <w:b w:val="0"/>
          <w:i w:val="0"/>
          <w:sz w:val="22"/>
        </w:rPr>
        <w:t xml:space="preserve">Dự án xây dựng </w:t>
      </w:r>
      <w:r>
        <w:rPr>
          <w:rFonts w:ascii="Times New Roman" w:hAnsi="Times New Roman"/>
          <w:b/>
          <w:i w:val="0"/>
          <w:sz w:val="22"/>
        </w:rPr>
        <w:t>hệ thống cảnh báo giao dịch bất thường (Anomaly Alert System)</w:t>
      </w:r>
      <w:r>
        <w:rPr>
          <w:rFonts w:ascii="Times New Roman" w:hAnsi="Times New Roman"/>
          <w:b w:val="0"/>
          <w:i w:val="0"/>
          <w:sz w:val="22"/>
        </w:rPr>
        <w:t xml:space="preserve"> phù hợp với bối cảnh vận hành của ngân hàng số tại Việt Nam hiện tại, hướng tới các mục tiêu cụ thể:</w:t>
      </w:r>
    </w:p>
    <w:p>
      <w:pPr>
        <w:pStyle w:val="ListNumber"/>
        <w:spacing w:before="40" w:after="40" w:line="276" w:lineRule="auto"/>
        <w:ind w:left="360"/>
      </w:pPr>
      <w:r>
        <w:rPr>
          <w:rFonts w:ascii="Times New Roman" w:hAnsi="Times New Roman"/>
          <w:b/>
          <w:i w:val="0"/>
          <w:sz w:val="22"/>
        </w:rPr>
        <w:t>Phát hiện giao dịch bất thường có dấu hiệu gian lận trong thời gian gần thực (near real-time):</w:t>
      </w:r>
    </w:p>
    <w:p>
      <w:pPr>
        <w:pStyle w:val="ListBullet"/>
        <w:spacing w:before="40" w:after="40" w:line="276" w:lineRule="auto"/>
        <w:ind w:left="720"/>
      </w:pPr>
      <w:r>
        <w:rPr>
          <w:rFonts w:ascii="Times New Roman" w:hAnsi="Times New Roman"/>
          <w:b w:val="0"/>
          <w:i w:val="0"/>
          <w:sz w:val="22"/>
        </w:rPr>
        <w:t>Bao phủ ba vectơ tấn công chính: chiếm đoạt tài khoản (ATO), rửa tiền qua tài khoản trung chuyển (Money Mule), và chia nhỏ giao dịch lách ngưỡng (Structuring).</w:t>
      </w:r>
    </w:p>
    <w:p>
      <w:pPr>
        <w:pStyle w:val="ListBullet"/>
        <w:spacing w:before="40" w:after="40" w:line="276" w:lineRule="auto"/>
        <w:ind w:left="720"/>
      </w:pPr>
      <w:r>
        <w:rPr>
          <w:rFonts w:ascii="Times New Roman" w:hAnsi="Times New Roman"/>
          <w:b w:val="0"/>
          <w:i w:val="0"/>
          <w:sz w:val="22"/>
        </w:rPr>
        <w:t>Hệ thống phải xử lý được khối lượng hơn 1,4 triệu giao dịch với thời gian phản hồi đủ thấp để tích hợp vào luồng phê duyệt giao dịch của ngân hàng.</w:t>
      </w:r>
    </w:p>
    <w:p>
      <w:pPr>
        <w:pStyle w:val="ListNumber"/>
        <w:spacing w:before="40" w:after="40" w:line="276" w:lineRule="auto"/>
        <w:ind w:left="360"/>
      </w:pPr>
      <w:r>
        <w:rPr>
          <w:rFonts w:ascii="Times New Roman" w:hAnsi="Times New Roman"/>
          <w:b/>
          <w:i w:val="0"/>
          <w:sz w:val="22"/>
        </w:rPr>
        <w:t>Giảm thiểu tỷ lệ Báo động giả (False Positive) xuống dưới ngưỡng 5%:</w:t>
      </w:r>
    </w:p>
    <w:p>
      <w:pPr>
        <w:pStyle w:val="ListBullet"/>
        <w:spacing w:before="40" w:after="40" w:line="276" w:lineRule="auto"/>
        <w:ind w:left="720"/>
      </w:pPr>
      <w:r>
        <w:rPr>
          <w:rFonts w:ascii="Times New Roman" w:hAnsi="Times New Roman"/>
          <w:b w:val="0"/>
          <w:i w:val="0"/>
          <w:sz w:val="22"/>
        </w:rPr>
        <w:t>Hệ thống rule-based truyền thống tại Việt Nam thường đạt tỷ lệ False Positive 5–10%, gây khóa nhầm tài khoản và làm giảm niềm tin khách hàng.</w:t>
      </w:r>
    </w:p>
    <w:p>
      <w:pPr>
        <w:pStyle w:val="ListBullet"/>
        <w:spacing w:before="40" w:after="40" w:line="276" w:lineRule="auto"/>
        <w:ind w:left="720"/>
      </w:pPr>
      <w:r>
        <w:rPr>
          <w:rFonts w:ascii="Times New Roman" w:hAnsi="Times New Roman"/>
          <w:b w:val="0"/>
          <w:i w:val="0"/>
          <w:sz w:val="22"/>
        </w:rPr>
        <w:t>Mục tiêu duy trì tỷ lệ cảnh báo ở mức ~2–3% tổng giao dịch, tập trung chính xác vào các giao dịch thực sự có dấu hiệu rủi ro cao.</w:t>
      </w:r>
    </w:p>
    <w:p>
      <w:pPr>
        <w:pStyle w:val="ListNumber"/>
        <w:spacing w:before="40" w:after="40" w:line="276" w:lineRule="auto"/>
        <w:ind w:left="360"/>
      </w:pPr>
      <w:r>
        <w:rPr>
          <w:rFonts w:ascii="Times New Roman" w:hAnsi="Times New Roman"/>
          <w:b/>
          <w:i w:val="0"/>
          <w:sz w:val="22"/>
        </w:rPr>
        <w:t>Cung cấp lý giải minh bạch cho từng cảnh báo (Explainable AI — xAI):</w:t>
      </w:r>
    </w:p>
    <w:p>
      <w:pPr>
        <w:pStyle w:val="ListBullet"/>
        <w:spacing w:before="40" w:after="40" w:line="276" w:lineRule="auto"/>
        <w:ind w:left="720"/>
      </w:pPr>
      <w:r>
        <w:rPr>
          <w:rFonts w:ascii="Times New Roman" w:hAnsi="Times New Roman"/>
          <w:b w:val="0"/>
          <w:i w:val="0"/>
          <w:sz w:val="22"/>
        </w:rPr>
        <w:t>Tuân thủ yêu cầu giải trình của NHNN và Basel III: mỗi cảnh báo phải đi kèm lý do cụ thể, có thể kiểm chứng, giúp Compliance Analyst xét duyệt nhanh hơn 3–5 lần so với đọc raw features.</w:t>
      </w:r>
    </w:p>
    <w:p>
      <w:pPr>
        <w:pStyle w:val="ListBullet"/>
        <w:spacing w:before="40" w:after="40" w:line="276" w:lineRule="auto"/>
        <w:ind w:left="720"/>
      </w:pPr>
      <w:r>
        <w:rPr>
          <w:rFonts w:ascii="Times New Roman" w:hAnsi="Times New Roman"/>
          <w:b w:val="0"/>
          <w:i w:val="0"/>
          <w:sz w:val="22"/>
        </w:rPr>
        <w:t>Cung cấp SHAP Feature Contributions (đóng góp từng đặc trưng), SHAP Interactions (tổ hợp yếu tố gây rủi ro), và narrative tự động bằng ngôn ngữ tự nhiên.</w:t>
      </w:r>
    </w:p>
    <w:p>
      <w:pPr>
        <w:pStyle w:val="ListNumber"/>
        <w:spacing w:before="40" w:after="40" w:line="276" w:lineRule="auto"/>
        <w:ind w:left="360"/>
      </w:pPr>
      <w:r>
        <w:rPr>
          <w:rFonts w:ascii="Times New Roman" w:hAnsi="Times New Roman"/>
          <w:b/>
          <w:i w:val="0"/>
          <w:sz w:val="22"/>
        </w:rPr>
        <w:t>Đề xuất hành động khắc phục tối thiểu (Counterfactual Recourse):</w:t>
      </w:r>
    </w:p>
    <w:p>
      <w:pPr>
        <w:pStyle w:val="ListBullet"/>
        <w:spacing w:before="40" w:after="40" w:line="276" w:lineRule="auto"/>
        <w:ind w:left="720"/>
      </w:pPr>
      <w:r>
        <w:rPr>
          <w:rFonts w:ascii="Times New Roman" w:hAnsi="Times New Roman"/>
          <w:b w:val="0"/>
          <w:i w:val="0"/>
          <w:sz w:val="22"/>
        </w:rPr>
        <w:t>Thay vì chặn giao dịch vô điều kiện (gây friction và mất khách), hệ thống đề xuất bước xác thực bổ sung nhỏ nhất cần thiết. Ví dụ: "Giảm số tiền từ 74 triệu xuống 45 triệu VND" hoặc "Xác minh bằng FaceID để tiếp tục."</w:t>
      </w:r>
    </w:p>
    <w:p>
      <w:pPr>
        <w:pStyle w:val="ListBullet"/>
        <w:spacing w:before="40" w:after="40" w:line="276" w:lineRule="auto"/>
        <w:ind w:left="720"/>
      </w:pPr>
      <w:r>
        <w:rPr>
          <w:rFonts w:ascii="Times New Roman" w:hAnsi="Times New Roman"/>
          <w:b w:val="0"/>
          <w:i w:val="0"/>
          <w:sz w:val="22"/>
        </w:rPr>
        <w:t>Phù hợp với định hướng "Frictionless Security" — bảo mật không gây ma sát — mà các ngân hàng số Việt Nam đang hướng tới để giữ chân khách hàng.</w:t>
      </w:r>
    </w:p>
    <w:p>
      <w:pPr>
        <w:pStyle w:val="ListNumber"/>
        <w:spacing w:before="40" w:after="40" w:line="276" w:lineRule="auto"/>
        <w:ind w:left="360"/>
      </w:pPr>
      <w:r>
        <w:rPr>
          <w:rFonts w:ascii="Times New Roman" w:hAnsi="Times New Roman"/>
          <w:b/>
          <w:i w:val="0"/>
          <w:sz w:val="22"/>
        </w:rPr>
        <w:t>Duy trì khả năng thích ứng khi hành vi giao dịch thay đổi theo thời gian (Continuous Learning):</w:t>
      </w:r>
    </w:p>
    <w:p>
      <w:pPr>
        <w:pStyle w:val="ListBullet"/>
        <w:spacing w:before="40" w:after="40" w:line="276" w:lineRule="auto"/>
        <w:ind w:left="720"/>
      </w:pPr>
      <w:r>
        <w:rPr>
          <w:rFonts w:ascii="Times New Roman" w:hAnsi="Times New Roman"/>
          <w:b w:val="0"/>
          <w:i w:val="0"/>
          <w:sz w:val="22"/>
        </w:rPr>
        <w:t>Hành vi khách hàng tại Việt Nam biến động mạnh theo chu kỳ lương, Tết, và các đợt khuyến mãi thương mại điện tử. Mô hình phải chống được hiện tượng Catastrophic Forgetting khi dữ liệu mới có phân phối khác biệt so với dữ liệu huấn luyện ban đầu.</w:t>
      </w:r>
    </w:p>
    <w:p>
      <w:pPr>
        <w:pStyle w:val="ListBullet"/>
        <w:spacing w:before="40" w:after="40" w:line="276" w:lineRule="auto"/>
        <w:ind w:left="720"/>
      </w:pPr>
      <w:r>
        <w:rPr>
          <w:rFonts w:ascii="Times New Roman" w:hAnsi="Times New Roman"/>
          <w:b w:val="0"/>
          <w:i w:val="0"/>
          <w:sz w:val="22"/>
        </w:rPr>
        <w:t>Sử dụng Elastic Weight Consolidation (EWC) để bảo vệ trọng số quan trọng đã học được từ dữ liệu gốc.</w:t>
      </w:r>
    </w:p>
    <w:p>
      <w:pPr>
        <w:keepNext/>
        <w:spacing w:before="200" w:after="80"/>
      </w:pPr>
      <w:r>
        <w:rPr>
          <w:rFonts w:ascii="Times New Roman" w:hAnsi="Times New Roman"/>
          <w:b/>
          <w:i w:val="0"/>
          <w:color w:val="000000"/>
          <w:sz w:val="24"/>
        </w:rPr>
        <w:t>1.3 Dữ liệu sử dụng</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3120"/>
        <w:gridCol w:w="3120"/>
        <w:gridCol w:w="3120"/>
      </w:tblGrid>
      <w:tr>
        <w:trPr>
          <w:tblHeader/>
          <w:cantSplit/>
        </w:trPr>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Bảng dữ liệu</w:t>
            </w:r>
          </w:p>
        </w:tc>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Số bản ghi</w:t>
            </w:r>
          </w:p>
        </w:tc>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Nội dung</w:t>
            </w:r>
          </w:p>
        </w:tc>
      </w:tr>
      <w:tr>
        <w:trPr>
          <w:cantSplit/>
        </w:trPr>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Customer</w:t>
            </w:r>
          </w:p>
        </w:tc>
        <w:tc>
          <w:tcPr>
            <w:tcW w:type="dxa" w:w="3120"/>
            <w:shd w:fill="FFFFFF"/>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290,223</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Hồ sơ nhân khẩu học khách hàng: giới tính, nghề nghiệp, ngày tạo tài khoản, phương thức xác thực</w:t>
            </w:r>
          </w:p>
        </w:tc>
      </w:tr>
      <w:tr>
        <w:trPr>
          <w:cantSplit/>
        </w:trPr>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Transaction</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1,418,030</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Nhật ký giao dịch tài chính: số tiền, thời gian, loại giao dịch, thiết bị, IP, người thụ hưởng</w:t>
            </w:r>
          </w:p>
        </w:tc>
      </w:tr>
      <w:tr>
        <w:trPr>
          <w:cantSplit/>
        </w:trPr>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Activity</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16,132,675</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Nhật ký hoạt động kỹ thuật số: đăng nhập, đổi mật khẩu, xem lãi suất, chuyển tiền</w:t>
            </w:r>
          </w:p>
        </w:tc>
      </w:tr>
      <w:tr>
        <w:trPr>
          <w:cantSplit/>
        </w:trPr>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Deposit</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1,258,424</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Ảnh chụp số dư tài khoản tiết kiệm/thanh toán hàng tháng</w:t>
            </w:r>
          </w:p>
        </w:tc>
      </w:tr>
      <w:tr>
        <w:trPr>
          <w:cantSplit/>
        </w:trPr>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Lending</w:t>
            </w:r>
          </w:p>
        </w:tc>
        <w:tc>
          <w:tcPr>
            <w:tcW w:type="dxa" w:w="3120"/>
            <w:shd w:fill="FFFFFF"/>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576,431</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Hồ sơ vay và nợ xấu</w:t>
            </w:r>
          </w:p>
        </w:tc>
      </w:tr>
      <w:tr>
        <w:trPr>
          <w:cantSplit/>
        </w:trPr>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Data</w:t>
            </w:r>
            <w:r>
              <w:rPr>
                <w:rFonts w:ascii="Times New Roman" w:hAnsi="Times New Roman"/>
                <w:b w:val="0"/>
                <w:i w:val="0"/>
                <w:sz w:val="20"/>
              </w:rPr>
              <w:t>Card</w:t>
            </w:r>
          </w:p>
        </w:tc>
        <w:tc>
          <w:tcPr>
            <w:tcW w:type="dxa" w:w="3120"/>
            <w:shd w:fill="F2F2F2"/>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871,589</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Hồ sơ thẻ tín dụng/ghi nợ, hạn mức và dư nợ</w:t>
            </w:r>
          </w:p>
        </w:tc>
      </w:tr>
    </w:tbl>
    <w:p>
      <w:pPr>
        <w:spacing w:before="120" w:after="120"/>
      </w:pPr>
    </w:p>
    <w:p>
      <w:pPr>
        <w:spacing w:before="240" w:after="240"/>
        <w:pBdr>
          <w:bottom w:val="single" w:sz="8" w:space="4" w:color="D3D3D3"/>
        </w:pBdr>
      </w:pPr>
    </w:p>
    <w:p>
      <w:pPr>
        <w:keepNext/>
        <w:spacing w:before="280" w:after="120"/>
      </w:pPr>
      <w:r>
        <w:rPr>
          <w:rFonts w:ascii="Times New Roman" w:hAnsi="Times New Roman"/>
          <w:b/>
          <w:i w:val="0"/>
          <w:color w:val="2E75B5"/>
          <w:sz w:val="28"/>
        </w:rPr>
        <w:t>2. Mô hình áp dụng (Model Architecture)</w:t>
      </w:r>
    </w:p>
    <w:p>
      <w:pPr>
        <w:spacing w:before="80" w:after="120" w:line="276" w:lineRule="auto"/>
      </w:pPr>
      <w:r>
        <w:rPr>
          <w:rFonts w:ascii="Times New Roman" w:hAnsi="Times New Roman"/>
          <w:b w:val="0"/>
          <w:i w:val="0"/>
          <w:sz w:val="22"/>
        </w:rPr>
        <w:t xml:space="preserve">Hệ thống sử dụng kiến trúc </w:t>
      </w:r>
      <w:r>
        <w:rPr>
          <w:rFonts w:ascii="Times New Roman" w:hAnsi="Times New Roman"/>
          <w:b/>
          <w:i w:val="0"/>
          <w:sz w:val="22"/>
        </w:rPr>
        <w:t>Pipeline 5 Phase</w:t>
      </w:r>
      <w:r>
        <w:rPr>
          <w:rFonts w:ascii="Times New Roman" w:hAnsi="Times New Roman"/>
          <w:b w:val="0"/>
          <w:i w:val="0"/>
          <w:sz w:val="22"/>
        </w:rPr>
        <w:t xml:space="preserve"> kết hợp nhiều kỹ thuật Machine Learning, được thiết kế để hoạt động trong điều kiện </w:t>
      </w:r>
      <w:r>
        <w:rPr>
          <w:rFonts w:ascii="Times New Roman" w:hAnsi="Times New Roman"/>
          <w:b/>
          <w:i w:val="0"/>
          <w:sz w:val="22"/>
        </w:rPr>
        <w:t>không có nhãn gian lận (fraud labels)</w:t>
      </w:r>
      <w:r>
        <w:rPr>
          <w:rFonts w:ascii="Times New Roman" w:hAnsi="Times New Roman"/>
          <w:b w:val="0"/>
          <w:i w:val="0"/>
          <w:sz w:val="22"/>
        </w:rPr>
        <w:t xml:space="preserve"> — phản ánh đúng thực tế dữ liệu ngân hàng Việt Nam, nơi việc gán nhãn giao dịch gian lận đòi hỏi chi phí điều tra cao và thường không sẵn có ở quy mô lớn.</w:t>
      </w:r>
    </w:p>
    <w:p>
      <w:pPr>
        <w:keepNext/>
        <w:spacing w:before="200" w:after="80"/>
      </w:pPr>
      <w:r>
        <w:rPr>
          <w:rFonts w:ascii="Times New Roman" w:hAnsi="Times New Roman"/>
          <w:b/>
          <w:i w:val="0"/>
          <w:color w:val="000000"/>
          <w:sz w:val="24"/>
        </w:rPr>
        <w:t>2.1 Phase 1 — Trích xuất Dữ liệu (Data Extraction)</w:t>
      </w:r>
    </w:p>
    <w:p>
      <w:pPr>
        <w:spacing w:before="80" w:after="120" w:line="276" w:lineRule="auto"/>
      </w:pPr>
      <w:r>
        <w:rPr>
          <w:rFonts w:ascii="Times New Roman" w:hAnsi="Times New Roman"/>
          <w:b w:val="0"/>
          <w:i w:val="0"/>
          <w:sz w:val="22"/>
        </w:rPr>
        <w:t>Dữ liệu thô từ 6 bảng được nối (JOIN) và làm giàu qua nhiều phép tính thống kê trên lịch sử giao dịch của từng khách hàng. Các phép tính chính bao gồm:</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680"/>
        <w:gridCol w:w="4680"/>
      </w:tblGrid>
      <w:tr>
        <w:trPr>
          <w:tblHeader/>
          <w:cantSplit/>
        </w:trPr>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Phép tính</w:t>
            </w:r>
          </w:p>
        </w:tc>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Chi tiết</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Rolling Window Aggregates</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Tổng số tiền và số lượng giao dịch trong 6 cửa sổ trượt thời gian: 1h, 3h, 24h, 48h, 7 ngày, 30 ngày. Mỗi cửa sổ bao gồm giao dịch hiện tại (inclusive).</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Customer-Level Aggregates</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Số dư trung bình lịch sử (</w:t>
            </w:r>
            <w:r>
              <w:rPr>
                <w:rFonts w:ascii="Times New Roman" w:hAnsi="Times New Roman"/>
                <w:b w:val="0"/>
                <w:i w:val="0"/>
                <w:color w:val="C7254E"/>
                <w:sz w:val="18"/>
              </w:rPr>
              <w:t>HIST_AVG_CA_BALANCE</w:t>
            </w:r>
            <w:r>
              <w:rPr>
                <w:rFonts w:ascii="Times New Roman" w:hAnsi="Times New Roman"/>
                <w:b w:val="0"/>
                <w:i w:val="0"/>
                <w:sz w:val="20"/>
              </w:rPr>
              <w:t>), số tiền giao dịch trung bình (</w:t>
            </w:r>
            <w:r>
              <w:rPr>
                <w:rFonts w:ascii="Times New Roman" w:hAnsi="Times New Roman"/>
                <w:b w:val="0"/>
                <w:i w:val="0"/>
                <w:color w:val="C7254E"/>
                <w:sz w:val="18"/>
              </w:rPr>
              <w:t>HIST_AVG_TRANS_AMOUNT</w:t>
            </w:r>
            <w:r>
              <w:rPr>
                <w:rFonts w:ascii="Times New Roman" w:hAnsi="Times New Roman"/>
                <w:b w:val="0"/>
                <w:i w:val="0"/>
                <w:sz w:val="20"/>
              </w:rPr>
              <w:t>), và tổng số giao dịch (</w:t>
            </w:r>
            <w:r>
              <w:rPr>
                <w:rFonts w:ascii="Times New Roman" w:hAnsi="Times New Roman"/>
                <w:b w:val="0"/>
                <w:i w:val="0"/>
                <w:color w:val="C7254E"/>
                <w:sz w:val="18"/>
              </w:rPr>
              <w:t>HIST_TRANS_COUNT</w:t>
            </w:r>
            <w:r>
              <w:rPr>
                <w:rFonts w:ascii="Times New Roman" w:hAnsi="Times New Roman"/>
                <w:b w:val="0"/>
                <w:i w:val="0"/>
                <w:sz w:val="20"/>
              </w:rPr>
              <w:t>) — tính trên toàn bộ lịch sử khách hàng.</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Time Gap</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color w:val="C7254E"/>
                <w:sz w:val="18"/>
              </w:rPr>
              <w:t>DAYS_SINCE_LAST_TRANS</w:t>
            </w:r>
            <w:r>
              <w:rPr>
                <w:rFonts w:ascii="Times New Roman" w:hAnsi="Times New Roman"/>
                <w:b w:val="0"/>
                <w:i w:val="0"/>
                <w:sz w:val="20"/>
              </w:rPr>
              <w:t>: Khoảng cách (ngày) giữa giao dịch hiện tại và giao dịch liền trước. Fallback về ngày đăng ký Internet Banking hoặc ngày tạo tài khoản nếu chưa có giao dịch nào. Mặc định 999 nếu không có dữ liệu.</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Unique Beneficiaries</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Đếm số người thụ hưởng duy nhất trong cửa sổ trượt 24h bằng thuật toán two-pointer sweep.</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Security Event Proximity</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color w:val="C7254E"/>
                <w:sz w:val="18"/>
              </w:rPr>
              <w:t>HOURS_SINCE_SEC_EVENT</w:t>
            </w:r>
            <w:r>
              <w:rPr>
                <w:rFonts w:ascii="Times New Roman" w:hAnsi="Times New Roman"/>
                <w:b w:val="0"/>
                <w:i w:val="0"/>
                <w:sz w:val="20"/>
              </w:rPr>
              <w:t>: Khoảng cách (giờ) đến sự kiện bảo mật gần nhất (đổi mật khẩu, PIN, cập nhật sổ địa chỉ). Mặc định 999.</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Login &amp; Biometric Stats</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Phương thức đăng nhập gần nhất, tỷ lệ sinh trắc học tích lũy (</w:t>
            </w:r>
            <w:r>
              <w:rPr>
                <w:rFonts w:ascii="Times New Roman" w:hAnsi="Times New Roman"/>
                <w:b w:val="0"/>
                <w:i w:val="0"/>
                <w:color w:val="C7254E"/>
                <w:sz w:val="18"/>
              </w:rPr>
              <w:t>HIST_BIOMETRIC_RATIO</w:t>
            </w:r>
            <w:r>
              <w:rPr>
                <w:rFonts w:ascii="Times New Roman" w:hAnsi="Times New Roman"/>
                <w:b w:val="0"/>
                <w:i w:val="0"/>
                <w:sz w:val="20"/>
              </w:rPr>
              <w:t>), và tổng số lần đăng nhập tích lũy.</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Benford's Law Deviation</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KL-Divergence giữa phân bố chữ số đầu tiên của số tiền giao dịch và phân bố lý thuyết Benford. Chỉ tính khi khách hàng có ≥ 5 giao dịch.</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Activity Sequence Rarity</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Điểm log-likelihood trung bình chuẩn hóa từ mô hình Chuỗi Markov bậc 2 (Second-Order Markov Chain) xây dựng trên toàn bộ activity log, sử dụng interpolated backoff với trọng số 0.7 / 0.2 / 0.1 cho trigram / bigram / unigram.</w:t>
            </w:r>
          </w:p>
        </w:tc>
      </w:tr>
    </w:tbl>
    <w:p>
      <w:pPr>
        <w:spacing w:before="120" w:after="120"/>
      </w:pPr>
    </w:p>
    <w:p>
      <w:pPr>
        <w:keepNext/>
        <w:spacing w:before="200" w:after="80"/>
      </w:pPr>
      <w:r>
        <w:rPr>
          <w:rFonts w:ascii="Times New Roman" w:hAnsi="Times New Roman"/>
          <w:b/>
          <w:i w:val="0"/>
          <w:color w:val="000000"/>
          <w:sz w:val="24"/>
        </w:rPr>
        <w:t>2.2 Phase 2 — Kỹ thuật Đặc trưng (Feature Engineering)</w:t>
      </w:r>
    </w:p>
    <w:p>
      <w:pPr>
        <w:spacing w:before="80" w:after="120" w:line="276" w:lineRule="auto"/>
      </w:pPr>
      <w:r>
        <w:rPr>
          <w:rFonts w:ascii="Times New Roman" w:hAnsi="Times New Roman"/>
          <w:b w:val="0"/>
          <w:i w:val="0"/>
          <w:sz w:val="22"/>
        </w:rPr>
        <w:t>Dữ liệu thô sau Phase 1 được biến đổi thành ma trận đặc trưng hoàn toàn số học bởi bộ tiền xử lý (Preprocessor). Các phép biến đổi chính:</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680"/>
        <w:gridCol w:w="4680"/>
      </w:tblGrid>
      <w:tr>
        <w:trPr>
          <w:tblHeader/>
          <w:cantSplit/>
        </w:trPr>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Nhóm</w:t>
            </w:r>
          </w:p>
        </w:tc>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Phép biến đổi</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Demographic Derivation</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 xml:space="preserve">Tính </w:t>
            </w:r>
            <w:r>
              <w:rPr>
                <w:rFonts w:ascii="Times New Roman" w:hAnsi="Times New Roman"/>
                <w:b w:val="0"/>
                <w:i w:val="0"/>
                <w:color w:val="C7254E"/>
                <w:sz w:val="18"/>
              </w:rPr>
              <w:t>CUSTOMER_AGE</w:t>
            </w:r>
            <w:r>
              <w:rPr>
                <w:rFonts w:ascii="Times New Roman" w:hAnsi="Times New Roman"/>
                <w:b w:val="0"/>
                <w:i w:val="0"/>
                <w:sz w:val="20"/>
              </w:rPr>
              <w:t xml:space="preserve"> từ ngày sinh, </w:t>
            </w:r>
            <w:r>
              <w:rPr>
                <w:rFonts w:ascii="Times New Roman" w:hAnsi="Times New Roman"/>
                <w:b w:val="0"/>
                <w:i w:val="0"/>
                <w:color w:val="C7254E"/>
                <w:sz w:val="18"/>
              </w:rPr>
              <w:t>TENURE_DAYS</w:t>
            </w:r>
            <w:r>
              <w:rPr>
                <w:rFonts w:ascii="Times New Roman" w:hAnsi="Times New Roman"/>
                <w:b w:val="0"/>
                <w:i w:val="0"/>
                <w:sz w:val="20"/>
              </w:rPr>
              <w:t xml:space="preserve"> từ ngày tạo tài khoản.</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Ratio &amp; Velocity Features</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 xml:space="preserve">Sinh 9 đặc trưng tỷ lệ: </w:t>
            </w:r>
            <w:r>
              <w:rPr>
                <w:rFonts w:ascii="Times New Roman" w:hAnsi="Times New Roman"/>
                <w:b w:val="0"/>
                <w:i w:val="0"/>
                <w:color w:val="C7254E"/>
                <w:sz w:val="18"/>
              </w:rPr>
              <w:t>TRANS_AMOUNT_Z_SCORE</w:t>
            </w:r>
            <w:r>
              <w:rPr>
                <w:rFonts w:ascii="Times New Roman" w:hAnsi="Times New Roman"/>
                <w:b w:val="0"/>
                <w:i w:val="0"/>
                <w:sz w:val="20"/>
              </w:rPr>
              <w:t xml:space="preserve">, </w:t>
            </w:r>
            <w:r>
              <w:rPr>
                <w:rFonts w:ascii="Times New Roman" w:hAnsi="Times New Roman"/>
                <w:b w:val="0"/>
                <w:i w:val="0"/>
                <w:color w:val="C7254E"/>
                <w:sz w:val="18"/>
              </w:rPr>
              <w:t>BALANCE_COVERAGE_RATIO</w:t>
            </w:r>
            <w:r>
              <w:rPr>
                <w:rFonts w:ascii="Times New Roman" w:hAnsi="Times New Roman"/>
                <w:b w:val="0"/>
                <w:i w:val="0"/>
                <w:sz w:val="20"/>
              </w:rPr>
              <w:t xml:space="preserve">, 6 Velocity Ratios (1H/24H, 24H/7D, 7D/30D cho cả Amount và Count), và </w:t>
            </w:r>
            <w:r>
              <w:rPr>
                <w:rFonts w:ascii="Times New Roman" w:hAnsi="Times New Roman"/>
                <w:b w:val="0"/>
                <w:i w:val="0"/>
                <w:color w:val="C7254E"/>
                <w:sz w:val="18"/>
              </w:rPr>
              <w:t>TRANS_AMOUNT_VS_30D_AVG_RATIO</w:t>
            </w:r>
            <w:r>
              <w:rPr>
                <w:rFonts w:ascii="Times New Roman" w:hAnsi="Times New Roman"/>
                <w:b w:val="0"/>
                <w:i w:val="0"/>
                <w:sz w:val="20"/>
              </w:rPr>
              <w:t>. Tất cả sử dụng ε = 10⁻⁵ để tránh chia cho 0.</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Night Transaction Ratio</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color w:val="C7254E"/>
                <w:sz w:val="18"/>
              </w:rPr>
              <w:t>HIST_NIGHT_RATIO</w:t>
            </w:r>
            <w:r>
              <w:rPr>
                <w:rFonts w:ascii="Times New Roman" w:hAnsi="Times New Roman"/>
                <w:b w:val="0"/>
                <w:i w:val="0"/>
                <w:sz w:val="20"/>
              </w:rPr>
              <w:t>: Tỷ lệ giao dịch đêm (0h–5h) tích lũy trên toàn bộ lịch sử khách hàng.</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Categorical Encoding</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7 biến phân loại (TRANS</w:t>
            </w:r>
            <w:r>
              <w:rPr>
                <w:rFonts w:ascii="Times New Roman" w:hAnsi="Times New Roman"/>
                <w:b w:val="0"/>
                <w:i w:val="0"/>
                <w:sz w:val="20"/>
              </w:rPr>
              <w:t>LV1, TRANS</w:t>
            </w:r>
            <w:r>
              <w:rPr>
                <w:rFonts w:ascii="Times New Roman" w:hAnsi="Times New Roman"/>
                <w:b w:val="0"/>
                <w:i w:val="0"/>
                <w:sz w:val="20"/>
              </w:rPr>
              <w:t>LV2, DAY</w:t>
            </w:r>
            <w:r>
              <w:rPr>
                <w:rFonts w:ascii="Times New Roman" w:hAnsi="Times New Roman"/>
                <w:b w:val="0"/>
                <w:i w:val="0"/>
                <w:sz w:val="20"/>
              </w:rPr>
              <w:t>OF</w:t>
            </w:r>
            <w:r>
              <w:rPr>
                <w:rFonts w:ascii="Times New Roman" w:hAnsi="Times New Roman"/>
                <w:b w:val="0"/>
                <w:i w:val="0"/>
                <w:sz w:val="20"/>
              </w:rPr>
              <w:t>WEEK, CLIENT</w:t>
            </w:r>
            <w:r>
              <w:rPr>
                <w:rFonts w:ascii="Times New Roman" w:hAnsi="Times New Roman"/>
                <w:b w:val="0"/>
                <w:i w:val="0"/>
                <w:sz w:val="20"/>
              </w:rPr>
              <w:t>SEX, EB</w:t>
            </w:r>
            <w:r>
              <w:rPr>
                <w:rFonts w:ascii="Times New Roman" w:hAnsi="Times New Roman"/>
                <w:b w:val="0"/>
                <w:i w:val="0"/>
                <w:sz w:val="20"/>
              </w:rPr>
              <w:t>REGISTER</w:t>
            </w:r>
            <w:r>
              <w:rPr>
                <w:rFonts w:ascii="Times New Roman" w:hAnsi="Times New Roman"/>
                <w:b w:val="0"/>
                <w:i w:val="0"/>
                <w:sz w:val="20"/>
              </w:rPr>
              <w:t>CHANNEL, VERIFY</w:t>
            </w:r>
            <w:r>
              <w:rPr>
                <w:rFonts w:ascii="Times New Roman" w:hAnsi="Times New Roman"/>
                <w:b w:val="0"/>
                <w:i w:val="0"/>
                <w:sz w:val="20"/>
              </w:rPr>
              <w:t>METHOD, Occupation</w:t>
            </w:r>
            <w:r>
              <w:rPr>
                <w:rFonts w:ascii="Times New Roman" w:hAnsi="Times New Roman"/>
                <w:b w:val="0"/>
                <w:i w:val="0"/>
                <w:sz w:val="20"/>
              </w:rPr>
              <w:t>Group) được integer-encoded.</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Pass-Through</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27 đặc trưng số thô từ Phase 1 được coerce sang float, NaN → 0.</w:t>
            </w:r>
          </w:p>
        </w:tc>
      </w:tr>
    </w:tbl>
    <w:p>
      <w:pPr>
        <w:spacing w:before="120" w:after="120"/>
      </w:pPr>
    </w:p>
    <w:p>
      <w:pPr>
        <w:spacing w:before="80" w:after="120" w:line="276" w:lineRule="auto"/>
      </w:pPr>
      <w:r>
        <w:rPr>
          <w:rFonts w:ascii="Times New Roman" w:hAnsi="Times New Roman"/>
          <w:b w:val="0"/>
          <w:i w:val="0"/>
          <w:sz w:val="22"/>
        </w:rPr>
        <w:t xml:space="preserve">Tổng số chiều đặc trưng: </w:t>
      </w:r>
      <w:r>
        <w:rPr>
          <w:rFonts w:ascii="Times New Roman" w:hAnsi="Times New Roman"/>
          <w:b/>
          <w:i w:val="0"/>
          <w:sz w:val="22"/>
        </w:rPr>
        <w:t>~46 features</w:t>
      </w:r>
      <w:r>
        <w:rPr>
          <w:rFonts w:ascii="Times New Roman" w:hAnsi="Times New Roman"/>
          <w:b w:val="0"/>
          <w:i w:val="0"/>
          <w:sz w:val="22"/>
        </w:rPr>
        <w:t>.</w:t>
      </w:r>
    </w:p>
    <w:p>
      <w:pPr>
        <w:keepNext/>
        <w:spacing w:before="200" w:after="80"/>
      </w:pPr>
      <w:r>
        <w:rPr>
          <w:rFonts w:ascii="Times New Roman" w:hAnsi="Times New Roman"/>
          <w:b/>
          <w:i w:val="0"/>
          <w:color w:val="000000"/>
          <w:sz w:val="24"/>
        </w:rPr>
        <w:t>2.3 Phase 3 — Huấn luyện: nnPU Learning với Spy Filtering &amp; CVuO</w:t>
      </w:r>
    </w:p>
    <w:p>
      <w:pPr>
        <w:spacing w:before="80" w:after="120" w:line="276" w:lineRule="auto"/>
      </w:pPr>
      <w:r>
        <w:rPr>
          <w:rFonts w:ascii="Times New Roman" w:hAnsi="Times New Roman"/>
          <w:b w:val="0"/>
          <w:i w:val="0"/>
          <w:sz w:val="22"/>
        </w:rPr>
        <w:t xml:space="preserve">Vì không có nhãn gian lận xác nhận, hệ thống áp dụng học bán giám sát kiểu </w:t>
      </w:r>
      <w:r>
        <w:rPr>
          <w:rFonts w:ascii="Times New Roman" w:hAnsi="Times New Roman"/>
          <w:b/>
          <w:i w:val="0"/>
          <w:sz w:val="22"/>
        </w:rPr>
        <w:t>Positive-Unlabeled (PU) Learning</w:t>
      </w:r>
      <w:r>
        <w:rPr>
          <w:rFonts w:ascii="Times New Roman" w:hAnsi="Times New Roman"/>
          <w:b w:val="0"/>
          <w:i w:val="0"/>
          <w:sz w:val="22"/>
        </w:rPr>
        <w:t xml:space="preserve"> — quy trình gồm 5 bước tuần tự để tạo nhãn proxy, lọc nhiễu, và huấn luyện bộ phân loại cuối cùng:</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3120"/>
        <w:gridCol w:w="3120"/>
        <w:gridCol w:w="3120"/>
      </w:tblGrid>
      <w:tr>
        <w:trPr>
          <w:tblHeader/>
          <w:cantSplit/>
        </w:trPr>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Bước</w:t>
            </w:r>
          </w:p>
        </w:tc>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Kỹ thuật</w:t>
            </w:r>
          </w:p>
        </w:tc>
        <w:tc>
          <w:tcPr>
            <w:tcW w:type="dxa" w:w="312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Chi tiết</w:t>
            </w:r>
          </w:p>
        </w:tc>
      </w:tr>
      <w:tr>
        <w:trPr>
          <w:cantSplit/>
        </w:trPr>
        <w:tc>
          <w:tcPr>
            <w:tcW w:type="dxa" w:w="3120"/>
            <w:shd w:fill="FFFFFF"/>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1</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Isolation Forest</w:t>
            </w:r>
            <w:r>
              <w:rPr>
                <w:rFonts w:ascii="Times New Roman" w:hAnsi="Times New Roman"/>
                <w:b w:val="0"/>
                <w:i w:val="0"/>
                <w:sz w:val="20"/>
              </w:rPr>
              <w:t xml:space="preserve"> (contamination = 3%)</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Tạo nhãn proxy ban đầu: mẫu bị cô lập sớm trong cây ngẫu nhiên → gán nhãn P (Positive/suspected anomaly); phần còn lại → U (Unlabeled).</w:t>
            </w:r>
          </w:p>
        </w:tc>
      </w:tr>
      <w:tr>
        <w:trPr>
          <w:cantSplit/>
        </w:trPr>
        <w:tc>
          <w:tcPr>
            <w:tcW w:type="dxa" w:w="3120"/>
            <w:shd w:fill="F2F2F2"/>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2</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PAYN Spy Filtering</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Rút 10% mẫu P làm "gián điệp" cài vào pool U. Huấn luyện XGBoost sơ bộ (P\Spies vs U∪Spies). Tính ngưỡng τ</w:t>
            </w:r>
            <w:r>
              <w:rPr>
                <w:rFonts w:ascii="Times New Roman" w:hAnsi="Times New Roman"/>
                <w:b w:val="0"/>
                <w:i w:val="0"/>
                <w:sz w:val="20"/>
              </w:rPr>
              <w:t>spy = Percentile₅ của score spy. Mẫu U có score &lt; τ</w:t>
            </w:r>
            <w:r>
              <w:rPr>
                <w:rFonts w:ascii="Times New Roman" w:hAnsi="Times New Roman"/>
                <w:b w:val="0"/>
                <w:i w:val="0"/>
                <w:sz w:val="20"/>
              </w:rPr>
              <w:t>spy → N</w:t>
            </w:r>
            <w:r>
              <w:rPr>
                <w:rFonts w:ascii="Times New Roman" w:hAnsi="Times New Roman"/>
                <w:b w:val="0"/>
                <w:i w:val="0"/>
                <w:sz w:val="20"/>
              </w:rPr>
              <w:t>confirmed (negative đáng tin cậy).</w:t>
            </w:r>
          </w:p>
        </w:tc>
      </w:tr>
      <w:tr>
        <w:trPr>
          <w:cantSplit/>
        </w:trPr>
        <w:tc>
          <w:tcPr>
            <w:tcW w:type="dxa" w:w="3120"/>
            <w:shd w:fill="FFFFFF"/>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3</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Cross-Validated Unlabeled Optimization (CVuO)</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5-fold CV trên U</w:t>
            </w:r>
            <w:r>
              <w:rPr>
                <w:rFonts w:ascii="Times New Roman" w:hAnsi="Times New Roman"/>
                <w:b w:val="0"/>
                <w:i w:val="0"/>
                <w:sz w:val="20"/>
              </w:rPr>
              <w:t>remaining. Mỗi fold huấn luyện XGBoost tạm trên P∪N</w:t>
            </w:r>
            <w:r>
              <w:rPr>
                <w:rFonts w:ascii="Times New Roman" w:hAnsi="Times New Roman"/>
                <w:b w:val="0"/>
                <w:i w:val="0"/>
                <w:sz w:val="20"/>
              </w:rPr>
              <w:t>confirmed, tính log-loss cho mẫu held-out. Loại bỏ 10% mẫu có loss cao nhất (nhiễu nhãn ẩn).</w:t>
            </w:r>
          </w:p>
        </w:tc>
      </w:tr>
      <w:tr>
        <w:trPr>
          <w:cantSplit/>
        </w:trPr>
        <w:tc>
          <w:tcPr>
            <w:tcW w:type="dxa" w:w="3120"/>
            <w:shd w:fill="F2F2F2"/>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4</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XGBoost Classifier</w:t>
            </w:r>
          </w:p>
        </w:tc>
        <w:tc>
          <w:tcPr>
            <w:tcW w:type="dxa" w:w="312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Huấn luyện bộ phân loại cuối cùng: P (positives) vs N</w:t>
            </w:r>
            <w:r>
              <w:rPr>
                <w:rFonts w:ascii="Times New Roman" w:hAnsi="Times New Roman"/>
                <w:b w:val="0"/>
                <w:i w:val="0"/>
                <w:sz w:val="20"/>
              </w:rPr>
              <w:t>confirmed∪U</w:t>
            </w:r>
            <w:r>
              <w:rPr>
                <w:rFonts w:ascii="Times New Roman" w:hAnsi="Times New Roman"/>
                <w:b w:val="0"/>
                <w:i w:val="0"/>
                <w:sz w:val="20"/>
              </w:rPr>
              <w:t>filtered (negatives đã lọc). Hyperparameters: 100 cây, max</w:t>
            </w:r>
            <w:r>
              <w:rPr>
                <w:rFonts w:ascii="Times New Roman" w:hAnsi="Times New Roman"/>
                <w:b w:val="0"/>
                <w:i w:val="0"/>
                <w:sz w:val="20"/>
              </w:rPr>
              <w:t>depth=3, L1 (α)=1.0, L2 (λ)=2.0, learning</w:t>
            </w:r>
            <w:r>
              <w:rPr>
                <w:rFonts w:ascii="Times New Roman" w:hAnsi="Times New Roman"/>
                <w:b w:val="0"/>
                <w:i w:val="0"/>
                <w:sz w:val="20"/>
              </w:rPr>
              <w:t>rate=0.05.</w:t>
            </w:r>
          </w:p>
        </w:tc>
      </w:tr>
      <w:tr>
        <w:trPr>
          <w:cantSplit/>
        </w:trPr>
        <w:tc>
          <w:tcPr>
            <w:tcW w:type="dxa" w:w="3120"/>
            <w:shd w:fill="FFFFFF"/>
            <w:tcMar>
              <w:top w:w="120" w:type="dxa"/>
              <w:bottom w:w="120" w:type="dxa"/>
              <w:left w:w="150" w:type="dxa"/>
              <w:right w:w="150" w:type="dxa"/>
            </w:tcMar>
          </w:tcPr>
          <w:p>
            <w:r/>
          </w:p>
          <w:p>
            <w:pPr>
              <w:spacing w:before="80" w:after="80" w:line="276" w:lineRule="auto"/>
              <w:jc w:val="right"/>
            </w:pPr>
            <w:r>
              <w:rPr>
                <w:rFonts w:ascii="Times New Roman" w:hAnsi="Times New Roman"/>
                <w:b w:val="0"/>
                <w:i w:val="0"/>
                <w:sz w:val="20"/>
              </w:rPr>
              <w:t>5</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Elkan-Noto Calibration</w:t>
            </w:r>
          </w:p>
        </w:tc>
        <w:tc>
          <w:tcPr>
            <w:tcW w:type="dxa" w:w="312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Hiệu chỉnh xác suất bị lệch do nhãn PU: ĉ = mean(g(x) trên P), P(fraud\</w:t>
            </w:r>
          </w:p>
        </w:tc>
      </w:tr>
    </w:tbl>
    <w:p>
      <w:pPr>
        <w:spacing w:before="120" w:after="120"/>
      </w:pPr>
    </w:p>
    <w:p>
      <w:pPr>
        <w:keepNext/>
        <w:spacing w:before="200" w:after="80"/>
      </w:pPr>
      <w:r>
        <w:rPr>
          <w:rFonts w:ascii="Times New Roman" w:hAnsi="Times New Roman"/>
          <w:b/>
          <w:i w:val="0"/>
          <w:color w:val="000000"/>
          <w:sz w:val="24"/>
        </w:rPr>
        <w:t>2.4 Phase 4 — Suy luận Phân tầng (Tiered Inference)</w:t>
      </w:r>
    </w:p>
    <w:p>
      <w:pPr>
        <w:spacing w:before="80" w:after="120" w:line="276" w:lineRule="auto"/>
      </w:pPr>
      <w:r>
        <w:rPr>
          <w:rFonts w:ascii="Times New Roman" w:hAnsi="Times New Roman"/>
          <w:b w:val="0"/>
          <w:i w:val="0"/>
          <w:sz w:val="22"/>
        </w:rPr>
        <w:t>Mỗi giao dịch mới đi qua 3 tầng xử lý tuần tự, chỉ leo thang khi tầng trước không thể ra quyết định:</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2340"/>
        <w:gridCol w:w="2340"/>
        <w:gridCol w:w="2340"/>
        <w:gridCol w:w="2340"/>
      </w:tblGrid>
      <w:tr>
        <w:trPr>
          <w:tblHeader/>
          <w:cantSplit/>
        </w:trPr>
        <w:tc>
          <w:tcPr>
            <w:tcW w:type="dxa" w:w="234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Tầng</w:t>
            </w:r>
          </w:p>
        </w:tc>
        <w:tc>
          <w:tcPr>
            <w:tcW w:type="dxa" w:w="234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Xử lý</w:t>
            </w:r>
          </w:p>
        </w:tc>
        <w:tc>
          <w:tcPr>
            <w:tcW w:type="dxa" w:w="234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Logic</w:t>
            </w:r>
          </w:p>
        </w:tc>
        <w:tc>
          <w:tcPr>
            <w:tcW w:type="dxa" w:w="234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Kết quả (trong lần chạy demo)</w:t>
            </w:r>
          </w:p>
        </w:tc>
      </w:tr>
      <w:tr>
        <w:trPr>
          <w:cantSplit/>
        </w:trPr>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Tier 1 — High-Speed Bypass</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Rule-based</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Bypass nếu: (a) ACTIVITY</w:t>
            </w:r>
            <w:r>
              <w:rPr>
                <w:rFonts w:ascii="Times New Roman" w:hAnsi="Times New Roman"/>
                <w:b w:val="0"/>
                <w:i w:val="0"/>
                <w:sz w:val="20"/>
              </w:rPr>
              <w:t>SEQ</w:t>
            </w:r>
            <w:r>
              <w:rPr>
                <w:rFonts w:ascii="Times New Roman" w:hAnsi="Times New Roman"/>
                <w:b w:val="0"/>
                <w:i w:val="0"/>
                <w:sz w:val="20"/>
              </w:rPr>
              <w:t>RARITY &gt; −1.0 AND TRANS</w:t>
            </w:r>
            <w:r>
              <w:rPr>
                <w:rFonts w:ascii="Times New Roman" w:hAnsi="Times New Roman"/>
                <w:b w:val="0"/>
                <w:i w:val="0"/>
                <w:sz w:val="20"/>
              </w:rPr>
              <w:t>AMOUNT &lt; 500K VND, hoặc (b) TRANS</w:t>
            </w:r>
            <w:r>
              <w:rPr>
                <w:rFonts w:ascii="Times New Roman" w:hAnsi="Times New Roman"/>
                <w:b w:val="0"/>
                <w:i w:val="0"/>
                <w:sz w:val="20"/>
              </w:rPr>
              <w:t>AMOUNT &lt; 500K AND COUNT</w:t>
            </w:r>
            <w:r>
              <w:rPr>
                <w:rFonts w:ascii="Times New Roman" w:hAnsi="Times New Roman"/>
                <w:b w:val="0"/>
                <w:i w:val="0"/>
                <w:sz w:val="20"/>
              </w:rPr>
              <w:t>1H ≤ 1 AND COUNT</w:t>
            </w:r>
            <w:r>
              <w:rPr>
                <w:rFonts w:ascii="Times New Roman" w:hAnsi="Times New Roman"/>
                <w:b w:val="0"/>
                <w:i w:val="0"/>
                <w:sz w:val="20"/>
              </w:rPr>
              <w:t>24H ≤ 2.</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1,400 / 5,000 (28%) bypass an toàn trong 0.83ms</w:t>
            </w:r>
          </w:p>
        </w:tc>
      </w:tr>
      <w:tr>
        <w:trPr>
          <w:cantSplit/>
        </w:trPr>
        <w:tc>
          <w:tcPr>
            <w:tcW w:type="dxa" w:w="234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Tier 2 — ML Classification</w:t>
            </w:r>
          </w:p>
        </w:tc>
        <w:tc>
          <w:tcPr>
            <w:tcW w:type="dxa" w:w="234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XGBoost + Elkan-Noto trên 46 features</w:t>
            </w:r>
          </w:p>
        </w:tc>
        <w:tc>
          <w:tcPr>
            <w:tcW w:type="dxa" w:w="234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Giao dịch không bypass được đánh giá bởi mô hình ML. Gắn cờ nếu P(fraud\</w:t>
            </w:r>
          </w:p>
        </w:tc>
        <w:tc>
          <w:tcPr>
            <w:tcW w:type="dxa" w:w="234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x) ≥ τ.</w:t>
            </w:r>
          </w:p>
        </w:tc>
      </w:tr>
      <w:tr>
        <w:trPr>
          <w:cantSplit/>
        </w:trPr>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Tier 3 — xAI Explanation</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TreeSHAP + Interactions + Counterfactual</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Chỉ chạy cho giao dịch bị gắn cờ: sinh SHAP contributions, top 3 interaction pairs (</w:t>
            </w:r>
          </w:p>
        </w:tc>
        <w:tc>
          <w:tcPr>
            <w:tcW w:type="dxa" w:w="234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v</w:t>
            </w:r>
          </w:p>
        </w:tc>
      </w:tr>
    </w:tbl>
    <w:p>
      <w:pPr>
        <w:spacing w:before="120" w:after="120"/>
      </w:pPr>
    </w:p>
    <w:p>
      <w:pPr>
        <w:keepNext/>
        <w:spacing w:before="200" w:after="80"/>
      </w:pPr>
      <w:r>
        <w:rPr>
          <w:rFonts w:ascii="Times New Roman" w:hAnsi="Times New Roman"/>
          <w:b/>
          <w:i w:val="0"/>
          <w:color w:val="000000"/>
          <w:sz w:val="24"/>
        </w:rPr>
        <w:t>2.5 Phase 5 — Học liên tục: Elastic Weight Consolidation (EWC)</w:t>
      </w:r>
    </w:p>
    <w:p>
      <w:pPr>
        <w:spacing w:before="80" w:after="120" w:line="276" w:lineRule="auto"/>
      </w:pPr>
      <w:r>
        <w:rPr>
          <w:rFonts w:ascii="Times New Roman" w:hAnsi="Times New Roman"/>
          <w:b w:val="0"/>
          <w:i w:val="0"/>
          <w:sz w:val="22"/>
        </w:rPr>
        <w:t xml:space="preserve">Sử dụng </w:t>
      </w:r>
      <w:r>
        <w:rPr>
          <w:rFonts w:ascii="Times New Roman" w:hAnsi="Times New Roman"/>
          <w:b/>
          <w:i w:val="0"/>
          <w:sz w:val="22"/>
        </w:rPr>
        <w:t>Deep Autoencoder</w:t>
      </w:r>
      <w:r>
        <w:rPr>
          <w:rFonts w:ascii="Times New Roman" w:hAnsi="Times New Roman"/>
          <w:b w:val="0"/>
          <w:i w:val="0"/>
          <w:sz w:val="22"/>
        </w:rPr>
        <w:t xml:space="preserve"> (D→16→8→16→D) kết hợp ma trận Fisher Information để bảo vệ trọng số quan trọng khi phân phối dữ liệu thay đổi theo thời gian:</w:t>
      </w:r>
    </w:p>
    <w:tbl>
      <w:tblPr>
        <w:tblW w:type="auto" w:w="0"/>
        <w:tblLayout w:type="autofit"/>
        <w:tblLook w:firstColumn="1" w:firstRow="1" w:lastColumn="0" w:lastRow="0" w:noHBand="0" w:noVBand="1" w:val="04A0"/>
        <w:tblBorders>
          <w:top w:val="single" w:sz="4" w:space="0" w:color="CCCCCC"/>
          <w:left w:val="none"/>
          <w:bottom w:val="single" w:sz="6" w:space="0" w:color="888888"/>
          <w:right w:val="none"/>
          <w:insideH w:val="single" w:sz="4" w:space="0" w:color="E0E0E0"/>
          <w:insideV w:val="none"/>
        </w:tblBorders>
      </w:tblPr>
      <w:tblGrid>
        <w:gridCol w:w="4680"/>
        <w:gridCol w:w="4680"/>
      </w:tblGrid>
      <w:tr>
        <w:trPr>
          <w:tblHeader/>
          <w:cantSplit/>
        </w:trPr>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Thành phần</w:t>
            </w:r>
          </w:p>
        </w:tc>
        <w:tc>
          <w:tcPr>
            <w:tcW w:type="dxa" w:w="4680"/>
            <w:shd w:fill="333333"/>
            <w:tcMar>
              <w:top w:w="120" w:type="dxa"/>
              <w:bottom w:w="120" w:type="dxa"/>
              <w:left w:w="150" w:type="dxa"/>
              <w:right w:w="150" w:type="dxa"/>
            </w:tcMar>
          </w:tcPr>
          <w:p>
            <w:r/>
          </w:p>
          <w:p>
            <w:pPr>
              <w:spacing w:before="80" w:after="80" w:line="276" w:lineRule="auto"/>
              <w:jc w:val="center"/>
            </w:pPr>
            <w:r>
              <w:rPr>
                <w:rFonts w:ascii="Times New Roman" w:hAnsi="Times New Roman"/>
                <w:b w:val="0"/>
                <w:i w:val="0"/>
                <w:color w:val="FFFFFF"/>
                <w:sz w:val="20"/>
              </w:rPr>
              <w:t>Chi tiết</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Kiến trúc</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Symmetric Autoencoder: Encoder (D→16→8, ReLU) + Decoder (8→16→D). Input z-standardized.</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Base Training</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MSE loss, Adam optimizer, lr=0.01, 5 epochs, batch</w:t>
            </w:r>
            <w:r>
              <w:rPr>
                <w:rFonts w:ascii="Times New Roman" w:hAnsi="Times New Roman"/>
                <w:b w:val="0"/>
                <w:i w:val="0"/>
                <w:sz w:val="20"/>
              </w:rPr>
              <w:t>size=256. Ngưỡng anomaly: Percentile₉₇ của MSE trên tập train.</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Fisher Information Matrix</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Tính diagonal FIM: F</w:t>
            </w:r>
            <w:r>
              <w:rPr>
                <w:rFonts w:ascii="Times New Roman" w:hAnsi="Times New Roman"/>
                <w:b w:val="0"/>
                <w:i w:val="0"/>
                <w:sz w:val="20"/>
              </w:rPr>
              <w:t>k = (1/N) × Σ(∂L/∂θ</w:t>
            </w:r>
            <w:r>
              <w:rPr>
                <w:rFonts w:ascii="Times New Roman" w:hAnsi="Times New Roman"/>
                <w:b w:val="0"/>
                <w:i w:val="0"/>
                <w:sz w:val="20"/>
              </w:rPr>
              <w:t>k)². Lưu trữ θ</w:t>
            </w:r>
            <w:r>
              <w:rPr>
                <w:rFonts w:ascii="Times New Roman" w:hAnsi="Times New Roman"/>
                <w:b w:val="0"/>
                <w:i w:val="0"/>
                <w:sz w:val="20"/>
              </w:rPr>
              <w:t xml:space="preserve"> (trọng số gốc).</w:t>
            </w:r>
          </w:p>
        </w:tc>
      </w:tr>
      <w:tr>
        <w:trPr>
          <w:cantSplit/>
        </w:trPr>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EWC Penalty khi Retrain</w:t>
            </w:r>
          </w:p>
        </w:tc>
        <w:tc>
          <w:tcPr>
            <w:tcW w:type="dxa" w:w="4680"/>
            <w:shd w:fill="F2F2F2"/>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L</w:t>
            </w:r>
            <w:r>
              <w:rPr>
                <w:rFonts w:ascii="Times New Roman" w:hAnsi="Times New Roman"/>
                <w:b w:val="0"/>
                <w:i w:val="0"/>
                <w:sz w:val="20"/>
              </w:rPr>
              <w:t>total = L</w:t>
            </w:r>
            <w:r>
              <w:rPr>
                <w:rFonts w:ascii="Times New Roman" w:hAnsi="Times New Roman"/>
                <w:b w:val="0"/>
                <w:i w:val="0"/>
                <w:sz w:val="20"/>
              </w:rPr>
              <w:t>recon</w:t>
            </w:r>
            <w:r>
              <w:rPr>
                <w:rFonts w:ascii="Times New Roman" w:hAnsi="Times New Roman"/>
                <w:b w:val="0"/>
                <w:i w:val="0"/>
                <w:sz w:val="20"/>
              </w:rPr>
              <w:t>new + (λ</w:t>
            </w:r>
            <w:r>
              <w:rPr>
                <w:rFonts w:ascii="Times New Roman" w:hAnsi="Times New Roman"/>
                <w:b w:val="0"/>
                <w:i w:val="0"/>
                <w:sz w:val="20"/>
              </w:rPr>
              <w:t>EWC/2) × Σ F</w:t>
            </w:r>
            <w:r>
              <w:rPr>
                <w:rFonts w:ascii="Times New Roman" w:hAnsi="Times New Roman"/>
                <w:b w:val="0"/>
                <w:i w:val="0"/>
                <w:sz w:val="20"/>
              </w:rPr>
              <w:t>k × (θ</w:t>
            </w:r>
            <w:r>
              <w:rPr>
                <w:rFonts w:ascii="Times New Roman" w:hAnsi="Times New Roman"/>
                <w:b w:val="0"/>
                <w:i w:val="0"/>
                <w:sz w:val="20"/>
              </w:rPr>
              <w:t>k − θ</w:t>
            </w:r>
            <w:r>
              <w:rPr>
                <w:rFonts w:ascii="Times New Roman" w:hAnsi="Times New Roman"/>
                <w:b w:val="0"/>
                <w:i w:val="0"/>
                <w:sz w:val="20"/>
              </w:rPr>
              <w:t>k)². Với λ</w:t>
            </w:r>
            <w:r>
              <w:rPr>
                <w:rFonts w:ascii="Times New Roman" w:hAnsi="Times New Roman"/>
                <w:b w:val="0"/>
                <w:i w:val="0"/>
                <w:sz w:val="20"/>
              </w:rPr>
              <w:t>EWC = 50.0.</w:t>
            </w:r>
          </w:p>
        </w:tc>
      </w:tr>
      <w:tr>
        <w:trPr>
          <w:cantSplit/>
        </w:trPr>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i w:val="0"/>
                <w:sz w:val="20"/>
              </w:rPr>
              <w:t>Kết quả</w:t>
            </w:r>
          </w:p>
        </w:tc>
        <w:tc>
          <w:tcPr>
            <w:tcW w:type="dxa" w:w="4680"/>
            <w:shd w:fill="FFFFFF"/>
            <w:tcMar>
              <w:top w:w="120" w:type="dxa"/>
              <w:bottom w:w="120" w:type="dxa"/>
              <w:left w:w="150" w:type="dxa"/>
              <w:right w:w="150" w:type="dxa"/>
            </w:tcMar>
          </w:tcPr>
          <w:p>
            <w:r/>
          </w:p>
          <w:p>
            <w:pPr>
              <w:spacing w:before="80" w:after="80" w:line="276" w:lineRule="auto"/>
              <w:jc w:val="left"/>
            </w:pPr>
            <w:r>
              <w:rPr>
                <w:rFonts w:ascii="Times New Roman" w:hAnsi="Times New Roman"/>
                <w:b w:val="0"/>
                <w:i w:val="0"/>
                <w:sz w:val="20"/>
              </w:rPr>
              <w:t xml:space="preserve">Sau drift (×5 amount): Mean Anomaly Score baseline </w:t>
            </w:r>
            <w:r>
              <w:rPr>
                <w:rFonts w:ascii="Times New Roman" w:hAnsi="Times New Roman"/>
                <w:b/>
                <w:i w:val="0"/>
                <w:sz w:val="20"/>
              </w:rPr>
              <w:t>CÓ</w:t>
            </w:r>
            <w:r>
              <w:rPr>
                <w:rFonts w:ascii="Times New Roman" w:hAnsi="Times New Roman"/>
                <w:b w:val="0"/>
                <w:i w:val="0"/>
                <w:sz w:val="20"/>
              </w:rPr>
              <w:t xml:space="preserve"> EWC = 0.1667, </w:t>
            </w:r>
            <w:r>
              <w:rPr>
                <w:rFonts w:ascii="Times New Roman" w:hAnsi="Times New Roman"/>
                <w:b/>
                <w:i w:val="0"/>
                <w:sz w:val="20"/>
              </w:rPr>
              <w:t>KHÔNG</w:t>
            </w:r>
            <w:r>
              <w:rPr>
                <w:rFonts w:ascii="Times New Roman" w:hAnsi="Times New Roman"/>
                <w:b w:val="0"/>
                <w:i w:val="0"/>
                <w:sz w:val="20"/>
              </w:rPr>
              <w:t xml:space="preserve"> EWC = 0.1585. EWC giữ cho mô hình không quên dữ liệu gốc.</w:t>
            </w:r>
          </w:p>
        </w:tc>
      </w:tr>
    </w:tbl>
    <w:p>
      <w:pPr>
        <w:spacing w:before="120" w:after="120"/>
      </w:pPr>
    </w:p>
    <w:p>
      <w:pPr>
        <w:spacing w:before="240" w:after="240"/>
        <w:pBdr>
          <w:bottom w:val="single" w:sz="8" w:space="4" w:color="D3D3D3"/>
        </w:pBdr>
      </w:pPr>
    </w:p>
    <w:p>
      <w:pPr>
        <w:keepNext/>
        <w:spacing w:before="280" w:after="120"/>
      </w:pPr>
      <w:r>
        <w:rPr>
          <w:rFonts w:ascii="Times New Roman" w:hAnsi="Times New Roman"/>
          <w:b/>
          <w:i w:val="0"/>
          <w:color w:val="2E75B5"/>
          <w:sz w:val="28"/>
        </w:rPr>
        <w:t>3. Mô tả Đặc trưng (Feature Description)</w:t>
      </w:r>
    </w:p>
    <w:p>
      <w:pPr>
        <w:spacing w:before="80" w:after="120" w:line="276" w:lineRule="auto"/>
      </w:pPr>
      <w:r>
        <w:rPr>
          <w:rFonts w:ascii="Times New Roman" w:hAnsi="Times New Roman"/>
          <w:b w:val="0"/>
          <w:i w:val="0"/>
          <w:sz w:val="22"/>
        </w:rPr>
        <w:t xml:space="preserve">Hệ thống sử dụng tổng cộng </w:t>
      </w:r>
      <w:r>
        <w:rPr>
          <w:rFonts w:ascii="Times New Roman" w:hAnsi="Times New Roman"/>
          <w:b/>
          <w:i w:val="0"/>
          <w:sz w:val="22"/>
        </w:rPr>
        <w:t>~46 đặc trưng</w:t>
      </w:r>
      <w:r>
        <w:rPr>
          <w:rFonts w:ascii="Times New Roman" w:hAnsi="Times New Roman"/>
          <w:b w:val="0"/>
          <w:i w:val="0"/>
          <w:sz w:val="22"/>
        </w:rPr>
        <w:t xml:space="preserve">, chia thành 2 lớp: </w:t>
      </w:r>
      <w:r>
        <w:rPr>
          <w:rFonts w:ascii="Times New Roman" w:hAnsi="Times New Roman"/>
          <w:b/>
          <w:i w:val="0"/>
          <w:sz w:val="22"/>
        </w:rPr>
        <w:t>Absolute Features</w:t>
      </w:r>
      <w:r>
        <w:rPr>
          <w:rFonts w:ascii="Times New Roman" w:hAnsi="Times New Roman"/>
          <w:b w:val="0"/>
          <w:i w:val="0"/>
          <w:sz w:val="22"/>
        </w:rPr>
        <w:t xml:space="preserve"> (giá trị tuyệt đối, đếm, nhân khẩu) và </w:t>
      </w:r>
      <w:r>
        <w:rPr>
          <w:rFonts w:ascii="Times New Roman" w:hAnsi="Times New Roman"/>
          <w:b/>
          <w:i w:val="0"/>
          <w:sz w:val="22"/>
        </w:rPr>
        <w:t>Relative Features</w:t>
      </w:r>
      <w:r>
        <w:rPr>
          <w:rFonts w:ascii="Times New Roman" w:hAnsi="Times New Roman"/>
          <w:b w:val="0"/>
          <w:i w:val="0"/>
          <w:sz w:val="22"/>
        </w:rPr>
        <w:t xml:space="preserve"> (tỷ lệ, so sánh, lệch chuẩn). Trong đó, </w:t>
      </w:r>
      <w:r>
        <w:rPr>
          <w:rFonts w:ascii="Times New Roman" w:hAnsi="Times New Roman"/>
          <w:b/>
          <w:i w:val="0"/>
          <w:sz w:val="22"/>
        </w:rPr>
        <w:t>21 đặc trưng cốt lõi</w:t>
      </w:r>
      <w:r>
        <w:rPr>
          <w:rFonts w:ascii="Times New Roman" w:hAnsi="Times New Roman"/>
          <w:b w:val="0"/>
          <w:i w:val="0"/>
          <w:sz w:val="22"/>
        </w:rPr>
        <w:t xml:space="preserve"> đóng vai trò tín hiệu gian lận trực tiếp được chia thành 6 nhóm chức năng. Mỗi feature được mô tả theo flow: </w:t>
      </w:r>
      <w:r>
        <w:rPr>
          <w:rFonts w:ascii="Times New Roman" w:hAnsi="Times New Roman"/>
          <w:b/>
          <w:i w:val="0"/>
          <w:sz w:val="22"/>
        </w:rPr>
        <w:t>Concept</w:t>
      </w:r>
      <w:r>
        <w:rPr>
          <w:rFonts w:ascii="Times New Roman" w:hAnsi="Times New Roman"/>
          <w:b w:val="0"/>
          <w:i w:val="0"/>
          <w:sz w:val="22"/>
        </w:rPr>
        <w:t xml:space="preserve"> (ý tưởng đo lường) → </w:t>
      </w:r>
      <w:r>
        <w:rPr>
          <w:rFonts w:ascii="Times New Roman" w:hAnsi="Times New Roman"/>
          <w:b/>
          <w:i w:val="0"/>
          <w:sz w:val="22"/>
        </w:rPr>
        <w:t>Công thức</w:t>
      </w:r>
      <w:r>
        <w:rPr>
          <w:rFonts w:ascii="Times New Roman" w:hAnsi="Times New Roman"/>
          <w:b w:val="0"/>
          <w:i w:val="0"/>
          <w:sz w:val="22"/>
        </w:rPr>
        <w:t xml:space="preserve"> (measurement) → </w:t>
      </w:r>
      <w:r>
        <w:rPr>
          <w:rFonts w:ascii="Times New Roman" w:hAnsi="Times New Roman"/>
          <w:b/>
          <w:i w:val="0"/>
          <w:sz w:val="22"/>
        </w:rPr>
        <w:t>Lý do chọn</w:t>
      </w:r>
      <w:r>
        <w:rPr>
          <w:rFonts w:ascii="Times New Roman" w:hAnsi="Times New Roman"/>
          <w:b w:val="0"/>
          <w:i w:val="0"/>
          <w:sz w:val="22"/>
        </w:rPr>
        <w:t xml:space="preserve"> (logic thực tế, quy định, nghiên cứu).</w:t>
      </w:r>
    </w:p>
    <w:p>
      <w:pPr>
        <w:spacing w:before="240" w:after="240"/>
        <w:pBdr>
          <w:bottom w:val="single" w:sz="8" w:space="4" w:color="D3D3D3"/>
        </w:pBdr>
      </w:pPr>
    </w:p>
    <w:p>
      <w:pPr>
        <w:keepNext/>
        <w:spacing w:before="200" w:after="80"/>
      </w:pPr>
      <w:r>
        <w:rPr>
          <w:rFonts w:ascii="Times New Roman" w:hAnsi="Times New Roman"/>
          <w:b/>
          <w:i w:val="0"/>
          <w:color w:val="000000"/>
          <w:sz w:val="24"/>
        </w:rPr>
        <w:t>3.1 Nhóm 1: Lệch chuẩn Số tiền (Amount Deviation)</w:t>
      </w:r>
    </w:p>
    <w:p>
      <w:pPr>
        <w:keepNext/>
        <w:spacing w:before="160" w:after="80"/>
      </w:pPr>
      <w:r>
        <w:rPr>
          <w:rFonts w:ascii="Times New Roman" w:hAnsi="Times New Roman"/>
          <w:b/>
          <w:i w:val="0"/>
          <w:color w:val="2C3E50"/>
          <w:sz w:val="22"/>
        </w:rPr>
        <w:t>TRANS_AMOUNT_Z_SCORE</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mức độ bất thường của số tiền giao dịch hiện tại so với chính lịch sử chi tiêu của khách hàng đó. Thay vì đặt một ngưỡng tuyệt đối cứng nhắc (ví dụ: &gt;50 triệu VND = đáng ngờ), feature này cá nhân hóa rủi ro: giao dịch 20 triệu của một sinh viên có Z-Score rất cao, nhưng giao dịch 20 triệu của một doanh nhân có thể bình thường.</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\text{TRANS\_AMOUNT\_Z\_SCORE} = \frac{\text{TRANS\_AMOUNT}}{\text{HIST\_AVG\_TRANS\_AMOUNT} + \epsilon}</w:t>
      </w:r>
    </w:p>
    <w:p>
      <w:pPr>
        <w:spacing w:before="80" w:after="120" w:line="276" w:lineRule="auto"/>
      </w:pPr>
      <w:r>
        <w:rPr>
          <w:rFonts w:ascii="Times New Roman" w:hAnsi="Times New Roman"/>
          <w:b w:val="0"/>
          <w:i w:val="0"/>
          <w:sz w:val="22"/>
        </w:rPr>
        <w:t xml:space="preserve">Với </w:t>
      </w:r>
      <w:r>
        <w:rPr>
          <w:rFonts w:ascii="Times New Roman" w:hAnsi="Times New Roman"/>
          <w:b w:val="0"/>
          <w:i w:val="0"/>
          <w:color w:val="C7254E"/>
          <w:sz w:val="20"/>
        </w:rPr>
        <w:t>HIST_AVG_TRANS_AMOUNT</w:t>
      </w:r>
      <w:r>
        <w:rPr>
          <w:rFonts w:ascii="Times New Roman" w:hAnsi="Times New Roman"/>
          <w:b w:val="0"/>
          <w:i w:val="0"/>
          <w:sz w:val="22"/>
        </w:rPr>
        <w:t xml:space="preserve"> là trung bình toàn bộ giao dịch trước đó của khách hàng; ε = 10⁻⁵.</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Akoglu et al. (2015) chứng minh rằng kẻ chiếm đoạt tài khoản (ATO) luôn muốn rút tối đa tiền trong khoảng thời gian ngắn nhất, tạo ra Z-Score đột biến. Feature này bắt chính xác tín hiệu đó.</w:t>
      </w:r>
    </w:p>
    <w:p>
      <w:pPr>
        <w:pStyle w:val="ListBullet"/>
        <w:spacing w:before="40" w:after="40" w:line="276" w:lineRule="auto"/>
        <w:ind w:left="720"/>
      </w:pPr>
      <w:r>
        <w:rPr>
          <w:rFonts w:ascii="Times New Roman" w:hAnsi="Times New Roman"/>
          <w:b w:val="0"/>
          <w:i w:val="0"/>
          <w:sz w:val="22"/>
        </w:rPr>
        <w:t>Tại Việt Nam, chênh lệch thu nhập giữa các nhóm khách hàng rất lớn (sinh viên vs CEO). Ngưỡng cứng sẽ hoặc bỏ lọt gian lận ở nhóm thu nhập cao, hoặc tạo False Positive hàng loạt ở nhóm thu nhập thấp. Z-Score theo cá nhân giải quyết cả hai vấn đề.</w:t>
      </w:r>
    </w:p>
    <w:p>
      <w:pPr>
        <w:pStyle w:val="ListBullet"/>
        <w:spacing w:before="40" w:after="40" w:line="276" w:lineRule="auto"/>
        <w:ind w:left="720"/>
      </w:pPr>
      <w:r>
        <w:rPr>
          <w:rFonts w:ascii="Times New Roman" w:hAnsi="Times New Roman"/>
          <w:b/>
          <w:i w:val="0"/>
          <w:sz w:val="22"/>
        </w:rPr>
        <w:t>Kết quả SHAP:</w:t>
      </w:r>
      <w:r>
        <w:rPr>
          <w:rFonts w:ascii="Times New Roman" w:hAnsi="Times New Roman"/>
          <w:b w:val="0"/>
          <w:i w:val="0"/>
          <w:sz w:val="22"/>
        </w:rPr>
        <w:t xml:space="preserve"> Xuất hiện trong </w:t>
      </w:r>
      <w:r>
        <w:rPr>
          <w:rFonts w:ascii="Times New Roman" w:hAnsi="Times New Roman"/>
          <w:b/>
          <w:i w:val="0"/>
          <w:sz w:val="22"/>
        </w:rPr>
        <w:t>54.55%</w:t>
      </w:r>
      <w:r>
        <w:rPr>
          <w:rFonts w:ascii="Times New Roman" w:hAnsi="Times New Roman"/>
          <w:b w:val="0"/>
          <w:i w:val="0"/>
          <w:sz w:val="22"/>
        </w:rPr>
        <w:t xml:space="preserve"> cảnh báo (66/121), xác nhận vai trò tín hiệu gian lận chủ lực.</w:t>
      </w:r>
    </w:p>
    <w:p>
      <w:pPr>
        <w:keepNext/>
        <w:spacing w:before="160" w:after="80"/>
      </w:pPr>
      <w:r>
        <w:rPr>
          <w:rFonts w:ascii="Times New Roman" w:hAnsi="Times New Roman"/>
          <w:b/>
          <w:i w:val="0"/>
          <w:color w:val="2C3E50"/>
          <w:sz w:val="22"/>
        </w:rPr>
        <w:t>BALANCE_COVERAGE_RATIO</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tỷ lệ giữa số tiền giao dịch và số dư trung bình lịch sử của tài khoản. Nếu tài khoản chỉ có số dư trung bình 1 triệu nhưng đột ngột chuyển đi 50 triệu — số tiền này gần như chắc chắn vừa được nạp vào từ nguồn bên ngoài.</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\text{BALANCE\_COVERAGE\_RATIO} = \frac{\text{TRANS\_AMOUNT}}{\text{HIST\_AVG\_CA\_BALANCE} + \epsilon}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FATF (2021) xác định đây là dấu hiệu kinh điển của Money Mule — tài khoản trung chuyển tiền bẩn: dòng tiền vừa vào lập tức bị chuyển đi, khiến số tiền giao dịch vượt xa số dư bình quân lịch sử.</w:t>
      </w:r>
    </w:p>
    <w:p>
      <w:pPr>
        <w:pStyle w:val="ListBullet"/>
        <w:spacing w:before="40" w:after="40" w:line="276" w:lineRule="auto"/>
        <w:ind w:left="720"/>
      </w:pPr>
      <w:r>
        <w:rPr>
          <w:rFonts w:ascii="Times New Roman" w:hAnsi="Times New Roman"/>
          <w:b w:val="0"/>
          <w:i w:val="0"/>
          <w:sz w:val="22"/>
        </w:rPr>
        <w:t>Tại Việt Nam, Bộ Công an đã cảnh báo nạn mua/thuê tài khoản sinh viên có số dư rất thấp để sử dụng làm tài khoản trung chuyển. Feature này phát hiện chính xác khi dòng tiền bất thường đổ vào các tài khoản kiểu này.</w:t>
      </w:r>
    </w:p>
    <w:p>
      <w:pPr>
        <w:pStyle w:val="ListBullet"/>
        <w:spacing w:before="40" w:after="40" w:line="276" w:lineRule="auto"/>
        <w:ind w:left="720"/>
      </w:pPr>
      <w:r>
        <w:rPr>
          <w:rFonts w:ascii="Times New Roman" w:hAnsi="Times New Roman"/>
          <w:b/>
          <w:i w:val="0"/>
          <w:sz w:val="22"/>
        </w:rPr>
        <w:t>Kết quả SHAP:</w:t>
      </w:r>
      <w:r>
        <w:rPr>
          <w:rFonts w:ascii="Times New Roman" w:hAnsi="Times New Roman"/>
          <w:b w:val="0"/>
          <w:i w:val="0"/>
          <w:sz w:val="22"/>
        </w:rPr>
        <w:t xml:space="preserve"> Đặc trưng thống trị, xuất hiện trong </w:t>
      </w:r>
      <w:r>
        <w:rPr>
          <w:rFonts w:ascii="Times New Roman" w:hAnsi="Times New Roman"/>
          <w:b/>
          <w:i w:val="0"/>
          <w:sz w:val="22"/>
        </w:rPr>
        <w:t>80.17%</w:t>
      </w:r>
      <w:r>
        <w:rPr>
          <w:rFonts w:ascii="Times New Roman" w:hAnsi="Times New Roman"/>
          <w:b w:val="0"/>
          <w:i w:val="0"/>
          <w:sz w:val="22"/>
        </w:rPr>
        <w:t xml:space="preserve"> cảnh báo (97/121) — feature có tần suất xuất hiện cao nhất trong toàn bộ hệ thống.</w:t>
      </w:r>
    </w:p>
    <w:p>
      <w:pPr>
        <w:keepNext/>
        <w:spacing w:before="160" w:after="80"/>
      </w:pPr>
      <w:r>
        <w:rPr>
          <w:rFonts w:ascii="Times New Roman" w:hAnsi="Times New Roman"/>
          <w:b/>
          <w:i w:val="0"/>
          <w:color w:val="2C3E50"/>
          <w:sz w:val="22"/>
        </w:rPr>
        <w:t>TRANS_AMOUNT_VS_30D_AVG_RATIO</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So sánh số tiền giao dịch hiện tại với mức chi tiêu trung bình chỉ trong 30 ngày gần nhất (baseline ngắn hạn), thay vì toàn bộ lịch sử.</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\text{TRANS\_AMOUNT\_VS\_30D\_AVG\_RATIO} = \frac{\text{TRANS\_AMOUNT}}{\text{SUM\_AMOUNT\_30D} / (\text{COUNT\_30D} + \epsilon) + \epsilon}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Z-Score dài hạn (TRANS</w:t>
      </w:r>
      <w:r>
        <w:rPr>
          <w:rFonts w:ascii="Times New Roman" w:hAnsi="Times New Roman"/>
          <w:b w:val="0"/>
          <w:i w:val="0"/>
          <w:sz w:val="22"/>
        </w:rPr>
        <w:t>AMOUNT</w:t>
      </w:r>
      <w:r>
        <w:rPr>
          <w:rFonts w:ascii="Times New Roman" w:hAnsi="Times New Roman"/>
          <w:b w:val="0"/>
          <w:i w:val="0"/>
          <w:sz w:val="22"/>
        </w:rPr>
        <w:t>Z</w:t>
      </w:r>
      <w:r>
        <w:rPr>
          <w:rFonts w:ascii="Times New Roman" w:hAnsi="Times New Roman"/>
          <w:b w:val="0"/>
          <w:i w:val="0"/>
          <w:sz w:val="22"/>
        </w:rPr>
        <w:t>SCORE) có nhược điểm: bị "pha loãng" bởi các giao dịch cũ. Khi khách hàng được tăng lương hoặc thay đổi thu nhập, baseline dài hạn chưa kịp cập nhật → sinh False Positive.</w:t>
      </w:r>
    </w:p>
    <w:p>
      <w:pPr>
        <w:pStyle w:val="ListBullet"/>
        <w:spacing w:before="40" w:after="40" w:line="276" w:lineRule="auto"/>
        <w:ind w:left="720"/>
      </w:pPr>
      <w:r>
        <w:rPr>
          <w:rFonts w:ascii="Times New Roman" w:hAnsi="Times New Roman"/>
          <w:b w:val="0"/>
          <w:i w:val="0"/>
          <w:sz w:val="22"/>
        </w:rPr>
        <w:t>Bolton &amp; Hand (2002) khuyến nghị kết hợp baseline ngắn hạn và dài hạn để phát hiện thay đổi hành vi mà vẫn kiểm soát được nhiễu. Feature 30 ngày hoạt động như một "bộ lọc thích ứng" — nếu khách hàng thực sự đã chi tiêu cao trong 30 ngày qua (do tăng lương), tỷ lệ này sẽ thấp, tránh cảnh báo sai.</w:t>
      </w:r>
    </w:p>
    <w:p>
      <w:pPr>
        <w:spacing w:before="240" w:after="240"/>
        <w:pBdr>
          <w:bottom w:val="single" w:sz="8" w:space="4" w:color="D3D3D3"/>
        </w:pBdr>
      </w:pPr>
    </w:p>
    <w:p>
      <w:pPr>
        <w:keepNext/>
        <w:spacing w:before="200" w:after="80"/>
      </w:pPr>
      <w:r>
        <w:rPr>
          <w:rFonts w:ascii="Times New Roman" w:hAnsi="Times New Roman"/>
          <w:b/>
          <w:i w:val="0"/>
          <w:color w:val="000000"/>
          <w:sz w:val="24"/>
        </w:rPr>
        <w:t>3.2 Nhóm 2: Tốc độ &amp; Tần suất (Velocity)</w:t>
      </w:r>
    </w:p>
    <w:p>
      <w:pPr>
        <w:keepNext/>
        <w:spacing w:before="160" w:after="80"/>
      </w:pPr>
      <w:r>
        <w:rPr>
          <w:rFonts w:ascii="Times New Roman" w:hAnsi="Times New Roman"/>
          <w:b/>
          <w:i w:val="0"/>
          <w:color w:val="2C3E50"/>
          <w:sz w:val="22"/>
        </w:rPr>
        <w:t>VELOCITY_RATIO_AMOUNT — 1H/24H, 24H/7D, 7D/30D</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mức độ tập trung dòng tiền vào khoảng thời gian ngắn gần nhất. Nếu tỷ lệ tiến gần về 1.0, nghĩa là toàn bộ lượng tiền giao dịch trong 30 ngày đổ dồn hết vào 7 ngày gần nhất — hoặc toàn bộ 7 ngày dồn vào 24 giờ gần nhất.</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\text{VELOCITY\_RATIO\_AMOUNT\_1H\_VS\_24H} = \frac{\text{SUM\_AMOUNT\_1H}}{\text{SUM\_AMOUNT\_24H} + \epsilon}</w:t>
      </w:r>
    </w:p>
    <w:p>
      <w:pPr>
        <w:spacing w:before="120" w:after="120"/>
        <w:jc w:val="center"/>
      </w:pPr>
      <w:r>
        <w:rPr>
          <w:rFonts w:ascii="Times New Roman" w:hAnsi="Times New Roman"/>
          <w:b w:val="0"/>
          <w:i/>
          <w:color w:val="2C3E50"/>
          <w:sz w:val="22"/>
        </w:rPr>
        <w:t>\text{VELOCITY\_RATIO\_AMOUNT\_24H\_VS\_7D} = \frac{\text{SUM\_AMOUNT\_24H}}{\text{SUM\_AMOUNT\_7D} + \epsilon}</w:t>
      </w:r>
    </w:p>
    <w:p>
      <w:pPr>
        <w:spacing w:before="120" w:after="120"/>
        <w:jc w:val="center"/>
      </w:pPr>
      <w:r>
        <w:rPr>
          <w:rFonts w:ascii="Times New Roman" w:hAnsi="Times New Roman"/>
          <w:b w:val="0"/>
          <w:i/>
          <w:color w:val="2C3E50"/>
          <w:sz w:val="22"/>
        </w:rPr>
        <w:t>\text{VELOCITY\_RATIO\_AMOUNT\_7D\_VS\_30D} = \frac{\text{SUM\_AMOUNT\_7D}}{\text{SUM\_AMOUNT\_30D} + \epsilon}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Trong chống rửa tiền, hành vi "Cash-out" (rút hết) hoặc "Bust-out" (dùng hết hạn mức rồi bỏ trốn) buộc tội phạm phải hành động cực nhanh trước khi ngân hàng đóng băng tài khoản. Chuỗi velocity ratios 3 tầng (1H→24H→7D→30D) bắt được cả hành vi rút tiền cấp tốc (1H/24H cao) lẫn hành vi rút dần trong tuần (7D/30D cao).</w:t>
      </w:r>
    </w:p>
    <w:p>
      <w:pPr>
        <w:pStyle w:val="ListBullet"/>
        <w:spacing w:before="40" w:after="40" w:line="276" w:lineRule="auto"/>
        <w:ind w:left="720"/>
      </w:pPr>
      <w:r>
        <w:rPr>
          <w:rFonts w:ascii="Times New Roman" w:hAnsi="Times New Roman"/>
          <w:b w:val="0"/>
          <w:i w:val="0"/>
          <w:sz w:val="22"/>
        </w:rPr>
        <w:t>Hệ thống sử dụng 3 tầng thay vì 1 tầng duy nhất để chống evasion: nếu tội phạm biết ngân hàng giám sát 24h, chúng có thể dàn giao dịch ra 7 ngày — nhưng velocity 7D/30D vẫn bắt được.</w:t>
      </w:r>
    </w:p>
    <w:p>
      <w:pPr>
        <w:keepNext/>
        <w:spacing w:before="160" w:after="80"/>
      </w:pPr>
      <w:r>
        <w:rPr>
          <w:rFonts w:ascii="Times New Roman" w:hAnsi="Times New Roman"/>
          <w:b/>
          <w:i w:val="0"/>
          <w:color w:val="2C3E50"/>
          <w:sz w:val="22"/>
        </w:rPr>
        <w:t>VELOCITY_RATIO_COUNT — 1H/24H, 24H/7D, 7D/30D</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Tương tự velocity amount, nhưng đo trên </w:t>
      </w:r>
      <w:r>
        <w:rPr>
          <w:rFonts w:ascii="Times New Roman" w:hAnsi="Times New Roman"/>
          <w:b/>
          <w:i w:val="0"/>
          <w:sz w:val="22"/>
        </w:rPr>
        <w:t>số lượng</w:t>
      </w:r>
      <w:r>
        <w:rPr>
          <w:rFonts w:ascii="Times New Roman" w:hAnsi="Times New Roman"/>
          <w:b w:val="0"/>
          <w:i w:val="0"/>
          <w:sz w:val="22"/>
        </w:rPr>
        <w:t xml:space="preserve"> giao dịch thay vì số tiền. Bắt hành vi thăm dò (card testing) hoặc chia nhỏ giao dịch (structuring).</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\text{VELOCITY\_RATIO\_COUNT\_1H\_VS\_24H} = \frac{\text{COUNT\_1H}}{\text{COUNT\_24H} + \epsilon}</w:t>
      </w:r>
    </w:p>
    <w:p>
      <w:pPr>
        <w:spacing w:before="120" w:after="120"/>
        <w:jc w:val="center"/>
      </w:pPr>
      <w:r>
        <w:rPr>
          <w:rFonts w:ascii="Times New Roman" w:hAnsi="Times New Roman"/>
          <w:b w:val="0"/>
          <w:i/>
          <w:color w:val="2C3E50"/>
          <w:sz w:val="22"/>
        </w:rPr>
        <w:t>\text{VELOCITY\_RATIO\_COUNT\_24H\_VS\_7D} = \frac{\text{COUNT\_24H}}{\text{COUNT\_7D} + \epsilon}</w:t>
      </w:r>
    </w:p>
    <w:p>
      <w:pPr>
        <w:spacing w:before="120" w:after="120"/>
        <w:jc w:val="center"/>
      </w:pPr>
      <w:r>
        <w:rPr>
          <w:rFonts w:ascii="Times New Roman" w:hAnsi="Times New Roman"/>
          <w:b w:val="0"/>
          <w:i/>
          <w:color w:val="2C3E50"/>
          <w:sz w:val="22"/>
        </w:rPr>
        <w:t>\text{VELOCITY\_RATIO\_COUNT\_7D\_VS\_30D} = \frac{\text{COUNT\_7D}}{\text{COUNT\_30D} + \epsilon}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PwC (2024) xác nhận 34% gian lận bắt đầu bằng các giao dịch thăm dò (micro-transaction testing): tội phạm chạy bot chuyển thử các khoản 10.000 VND liên tục để kiểm tra tài khoản còn hoạt động. Số tiền nhỏ → velocity amount không phản ứng, nhưng velocity count sẽ đột biến.</w:t>
      </w:r>
    </w:p>
    <w:p>
      <w:pPr>
        <w:pStyle w:val="ListBullet"/>
        <w:spacing w:before="40" w:after="40" w:line="276" w:lineRule="auto"/>
        <w:ind w:left="720"/>
      </w:pPr>
      <w:r>
        <w:rPr>
          <w:rFonts w:ascii="Times New Roman" w:hAnsi="Times New Roman"/>
          <w:b w:val="0"/>
          <w:i w:val="0"/>
          <w:sz w:val="22"/>
        </w:rPr>
        <w:t>Với Structuring: khi chia một giao dịch 100 triệu thành 20 khoản 5 triệu, velocity amount có thể không thay đổi nhiều (tổng vẫn vậy), nhưng velocity count tăng mạnh. Hai nhóm velocity bổ trợ lẫn nhau.</w:t>
      </w:r>
    </w:p>
    <w:p>
      <w:pPr>
        <w:spacing w:before="240" w:after="240"/>
        <w:pBdr>
          <w:bottom w:val="single" w:sz="8" w:space="4" w:color="D3D3D3"/>
        </w:pBdr>
      </w:pPr>
    </w:p>
    <w:p>
      <w:pPr>
        <w:keepNext/>
        <w:spacing w:before="200" w:after="80"/>
      </w:pPr>
      <w:r>
        <w:rPr>
          <w:rFonts w:ascii="Times New Roman" w:hAnsi="Times New Roman"/>
          <w:b/>
          <w:i w:val="0"/>
          <w:color w:val="000000"/>
          <w:sz w:val="24"/>
        </w:rPr>
        <w:t>3.3 Nhóm 3: Hành vi Thời gian &amp; Ngủ đông (Temporal &amp; Dormancy)</w:t>
      </w:r>
    </w:p>
    <w:p>
      <w:pPr>
        <w:keepNext/>
        <w:spacing w:before="160" w:after="80"/>
      </w:pPr>
      <w:r>
        <w:rPr>
          <w:rFonts w:ascii="Times New Roman" w:hAnsi="Times New Roman"/>
          <w:b/>
          <w:i w:val="0"/>
          <w:color w:val="2C3E50"/>
          <w:sz w:val="22"/>
        </w:rPr>
        <w:t>DAYS_SINCE_LAST_TRANS</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khoảng thời gian im lặng (ngày) giữa giao dịch hiện tại và giao dịch liền trước của cùng khách hàng. Phát hiện tài khoản "ngủ đông" bất ngờ thức giấc.</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\text{DAYS\_SINCE\_LAST\_TRANS}_i = \frac{t_i - t_{i-1}}{86400} \quad \text{(seconds → days)}</w:t>
      </w:r>
    </w:p>
    <w:p>
      <w:pPr>
        <w:spacing w:before="80" w:after="120" w:line="276" w:lineRule="auto"/>
      </w:pPr>
      <w:r>
        <w:rPr>
          <w:rFonts w:ascii="Times New Roman" w:hAnsi="Times New Roman"/>
          <w:b w:val="0"/>
          <w:i w:val="0"/>
          <w:sz w:val="22"/>
        </w:rPr>
        <w:t>Fallback: ngày đăng ký Internet Banking hoặc ngày tạo tài khoản; mặc định 999 nếu không có dữ liệu.</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Europol (2023) ghi nhận tội phạm thường thu mua tài khoản sinh viên Việt Nam và để "ngủ đông" 3–6 tháng nhằm lọt qua bộ lọc giám sát ban đầu của ngân hàng (các hệ thống rule-based thường tập trung giám sát tài khoản mới mở). Feature này "đón đầu" khoảnh khắc tài khoản thức giấc — khi giá trị cao (hàng trăm ngày) và xuất hiện cùng giao dịch lớn, xác suất mule account rất cao.</w:t>
      </w:r>
    </w:p>
    <w:p>
      <w:pPr>
        <w:pStyle w:val="ListBullet"/>
        <w:spacing w:before="40" w:after="40" w:line="276" w:lineRule="auto"/>
        <w:ind w:left="720"/>
      </w:pPr>
      <w:r>
        <w:rPr>
          <w:rFonts w:ascii="Times New Roman" w:hAnsi="Times New Roman"/>
          <w:b w:val="0"/>
          <w:i w:val="0"/>
          <w:sz w:val="22"/>
        </w:rPr>
        <w:t>Phù hợp đặc thù Việt Nam: nhiều sinh viên mở tài khoản nhận học bổng/tiền bố mẹ, sau đó bỏ không dùng → bán tài khoản cho tội phạm.</w:t>
      </w:r>
    </w:p>
    <w:p>
      <w:pPr>
        <w:keepNext/>
        <w:spacing w:before="160" w:after="80"/>
      </w:pPr>
      <w:r>
        <w:rPr>
          <w:rFonts w:ascii="Times New Roman" w:hAnsi="Times New Roman"/>
          <w:b/>
          <w:i w:val="0"/>
          <w:color w:val="2C3E50"/>
          <w:sz w:val="22"/>
        </w:rPr>
        <w:t>DAYS_AMOUNT_COMBINED</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Interaction feature kết hợp hai tín hiệu: thời gian im lặng VÀ số tiền giao dịch. Mô hình hóa logic: "Im lặng càng lâu + Chuyển đi càng nhiều = Rủi ro càng cao." Một tài khoản im lặng 6 tháng rồi nạp thẻ điện thoại 50.000 VND là bình thường; nhưng im lặng 6 tháng rồi chuyển 500 triệu VND là cờ đỏ.</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\text{DAYS\_AMOUNT\_COMBINED} = \log_e(1 + \text{DAYS\_SINCE\_LAST\_TRANS}) \times \log_e(1 + \text{TRANS\_AMOUNT})</w:t>
      </w:r>
    </w:p>
    <w:p>
      <w:pPr>
        <w:spacing w:before="80" w:after="120" w:line="276" w:lineRule="auto"/>
      </w:pPr>
      <w:r>
        <w:rPr>
          <w:rFonts w:ascii="Times New Roman" w:hAnsi="Times New Roman"/>
          <w:b w:val="0"/>
          <w:i w:val="0"/>
          <w:sz w:val="22"/>
        </w:rPr>
        <w:t>Log-transform (log1p) nén khoảng giá trị cực lớn, giúp mô hình cây (XGBoost) tách biệt tốt hơn trên các split phi tuyến.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 xml:space="preserve">Riêng feature </w:t>
      </w:r>
      <w:r>
        <w:rPr>
          <w:rFonts w:ascii="Times New Roman" w:hAnsi="Times New Roman"/>
          <w:b w:val="0"/>
          <w:i w:val="0"/>
          <w:color w:val="C7254E"/>
          <w:sz w:val="20"/>
        </w:rPr>
        <w:t>DAYS_SINCE_LAST_TRANS</w:t>
      </w:r>
      <w:r>
        <w:rPr>
          <w:rFonts w:ascii="Times New Roman" w:hAnsi="Times New Roman"/>
          <w:b w:val="0"/>
          <w:i w:val="0"/>
          <w:sz w:val="22"/>
        </w:rPr>
        <w:t xml:space="preserve"> hoặc </w:t>
      </w:r>
      <w:r>
        <w:rPr>
          <w:rFonts w:ascii="Times New Roman" w:hAnsi="Times New Roman"/>
          <w:b w:val="0"/>
          <w:i w:val="0"/>
          <w:color w:val="C7254E"/>
          <w:sz w:val="20"/>
        </w:rPr>
        <w:t>TRANS_AMOUNT</w:t>
      </w:r>
      <w:r>
        <w:rPr>
          <w:rFonts w:ascii="Times New Roman" w:hAnsi="Times New Roman"/>
          <w:b w:val="0"/>
          <w:i w:val="0"/>
          <w:sz w:val="22"/>
        </w:rPr>
        <w:t xml:space="preserve"> đơn lẻ đều sinh False Positive cao: tài khoản im lặng lâu không có nghĩa gian lận, giao dịch lớn cũng không có nghĩa gian lận. Nhưng TỔ HỢP cả hai → tín hiệu cực mạnh. Phép nhân trên thang log biến tổ hợp này thành tín hiệu rủi ro phi tuyến mà XGBoost khai thác hiệu quả.</w:t>
      </w:r>
    </w:p>
    <w:p>
      <w:pPr>
        <w:pStyle w:val="ListBullet"/>
        <w:spacing w:before="40" w:after="40" w:line="276" w:lineRule="auto"/>
        <w:ind w:left="720"/>
      </w:pPr>
      <w:r>
        <w:rPr>
          <w:rFonts w:ascii="Times New Roman" w:hAnsi="Times New Roman"/>
          <w:b/>
          <w:i w:val="0"/>
          <w:sz w:val="22"/>
        </w:rPr>
        <w:t>Kết quả SHAP:</w:t>
      </w:r>
      <w:r>
        <w:rPr>
          <w:rFonts w:ascii="Times New Roman" w:hAnsi="Times New Roman"/>
          <w:b w:val="0"/>
          <w:i w:val="0"/>
          <w:sz w:val="22"/>
        </w:rPr>
        <w:t xml:space="preserve"> Xuất hiện trong </w:t>
      </w:r>
      <w:r>
        <w:rPr>
          <w:rFonts w:ascii="Times New Roman" w:hAnsi="Times New Roman"/>
          <w:b/>
          <w:i w:val="0"/>
          <w:sz w:val="22"/>
        </w:rPr>
        <w:t>38.02%</w:t>
      </w:r>
      <w:r>
        <w:rPr>
          <w:rFonts w:ascii="Times New Roman" w:hAnsi="Times New Roman"/>
          <w:b w:val="0"/>
          <w:i w:val="0"/>
          <w:sz w:val="22"/>
        </w:rPr>
        <w:t xml:space="preserve"> cảnh báo (46/121) và là thành phần của cặp tương tác toxic thứ 3 (</w:t>
      </w:r>
      <w:r>
        <w:rPr>
          <w:rFonts w:ascii="Times New Roman" w:hAnsi="Times New Roman"/>
          <w:b w:val="0"/>
          <w:i w:val="0"/>
          <w:color w:val="C7254E"/>
          <w:sz w:val="20"/>
        </w:rPr>
        <w:t>Z_SCORE × DAYS_AMOUNT</w:t>
      </w:r>
      <w:r>
        <w:rPr>
          <w:rFonts w:ascii="Times New Roman" w:hAnsi="Times New Roman"/>
          <w:b w:val="0"/>
          <w:i w:val="0"/>
          <w:sz w:val="22"/>
        </w:rPr>
        <w:t>, 41.32%).</w:t>
      </w:r>
    </w:p>
    <w:p>
      <w:pPr>
        <w:keepNext/>
        <w:spacing w:before="160" w:after="80"/>
      </w:pPr>
      <w:r>
        <w:rPr>
          <w:rFonts w:ascii="Times New Roman" w:hAnsi="Times New Roman"/>
          <w:b/>
          <w:i w:val="0"/>
          <w:color w:val="2C3E50"/>
          <w:sz w:val="22"/>
        </w:rPr>
        <w:t>TRANS_HOUR &amp; NIGHT_ANOMALY</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w:t>
      </w:r>
      <w:r>
        <w:rPr>
          <w:rFonts w:ascii="Times New Roman" w:hAnsi="Times New Roman"/>
          <w:b w:val="0"/>
          <w:i w:val="0"/>
          <w:color w:val="C7254E"/>
          <w:sz w:val="20"/>
        </w:rPr>
        <w:t>TRANS_HOUR</w:t>
      </w:r>
      <w:r>
        <w:rPr>
          <w:rFonts w:ascii="Times New Roman" w:hAnsi="Times New Roman"/>
          <w:b w:val="0"/>
          <w:i w:val="0"/>
          <w:sz w:val="22"/>
        </w:rPr>
        <w:t xml:space="preserve"> ghi nhận giờ giao dịch (0–23) như biến kiểm soát. </w:t>
      </w:r>
      <w:r>
        <w:rPr>
          <w:rFonts w:ascii="Times New Roman" w:hAnsi="Times New Roman"/>
          <w:b w:val="0"/>
          <w:i w:val="0"/>
          <w:color w:val="C7254E"/>
          <w:sz w:val="20"/>
        </w:rPr>
        <w:t>NIGHT_ANOMALY</w:t>
      </w:r>
      <w:r>
        <w:rPr>
          <w:rFonts w:ascii="Times New Roman" w:hAnsi="Times New Roman"/>
          <w:b w:val="0"/>
          <w:i w:val="0"/>
          <w:sz w:val="22"/>
        </w:rPr>
        <w:t xml:space="preserve"> đo mức độ bất thường khi giao dịch xảy ra ban đêm (0h–5h) so với thói quen đêm lịch sử của chính khách hàng đó.</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\text{TRANS\_HOUR} = \text{hour}(\text{TRANS\_DATE}) \quad \text{(0-23)}</w:t>
      </w:r>
    </w:p>
    <w:p>
      <w:pPr>
        <w:spacing w:before="120" w:after="120"/>
        <w:jc w:val="center"/>
      </w:pPr>
      <w:r>
        <w:rPr>
          <w:rFonts w:ascii="Times New Roman" w:hAnsi="Times New Roman"/>
          <w:b w:val="0"/>
          <w:i/>
          <w:color w:val="2C3E50"/>
          <w:sz w:val="22"/>
        </w:rPr>
        <w:t>\text{NIGHT\_ANOMALY} = \text{IS\_NIGHT} \times (1 - \text{HIST\_NIGHT\_RATIO})</w:t>
      </w:r>
    </w:p>
    <w:p>
      <w:pPr>
        <w:spacing w:before="80" w:after="120" w:line="276" w:lineRule="auto"/>
      </w:pPr>
      <w:r>
        <w:rPr>
          <w:rFonts w:ascii="Times New Roman" w:hAnsi="Times New Roman"/>
          <w:b w:val="0"/>
          <w:i w:val="0"/>
          <w:sz w:val="22"/>
        </w:rPr>
        <w:t xml:space="preserve">Trong đó: </w:t>
      </w:r>
      <w:r>
        <w:rPr>
          <w:rFonts w:ascii="Times New Roman" w:hAnsi="Times New Roman"/>
          <w:b w:val="0"/>
          <w:i w:val="0"/>
          <w:color w:val="C7254E"/>
          <w:sz w:val="20"/>
        </w:rPr>
        <w:t>IS_NIGHT = 1</w:t>
      </w:r>
      <w:r>
        <w:rPr>
          <w:rFonts w:ascii="Times New Roman" w:hAnsi="Times New Roman"/>
          <w:b w:val="0"/>
          <w:i w:val="0"/>
          <w:sz w:val="22"/>
        </w:rPr>
        <w:t xml:space="preserve"> nếu TRANS</w:t>
      </w:r>
      <w:r>
        <w:rPr>
          <w:rFonts w:ascii="Times New Roman" w:hAnsi="Times New Roman"/>
          <w:b w:val="0"/>
          <w:i w:val="0"/>
          <w:sz w:val="22"/>
        </w:rPr>
        <w:t xml:space="preserve">HOUR ∈ [0, 5]; </w:t>
      </w:r>
      <w:r>
        <w:rPr>
          <w:rFonts w:ascii="Times New Roman" w:hAnsi="Times New Roman"/>
          <w:b w:val="0"/>
          <w:i w:val="0"/>
          <w:color w:val="C7254E"/>
          <w:sz w:val="20"/>
        </w:rPr>
        <w:t>HIST_NIGHT_RATIO</w:t>
      </w:r>
      <w:r>
        <w:rPr>
          <w:rFonts w:ascii="Times New Roman" w:hAnsi="Times New Roman"/>
          <w:b w:val="0"/>
          <w:i w:val="0"/>
          <w:sz w:val="22"/>
        </w:rPr>
        <w:t xml:space="preserve"> = tỷ lệ giao dịch đêm tích lũy trong quá khứ.</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 xml:space="preserve">NHNN khuyến cáo rủi ro cao với giao dịch ban đêm. Tuy nhiên, chặn mọi giao dịch đêm sẽ gây phiền toái cho người làm ca đêm (bác sĩ, tài xế, bảo vệ — nhóm lao động phổ biến tại Việt Nam). </w:t>
      </w:r>
      <w:r>
        <w:rPr>
          <w:rFonts w:ascii="Times New Roman" w:hAnsi="Times New Roman"/>
          <w:b w:val="0"/>
          <w:i w:val="0"/>
          <w:color w:val="C7254E"/>
          <w:sz w:val="20"/>
        </w:rPr>
        <w:t>NIGHT_ANOMALY</w:t>
      </w:r>
      <w:r>
        <w:rPr>
          <w:rFonts w:ascii="Times New Roman" w:hAnsi="Times New Roman"/>
          <w:b w:val="0"/>
          <w:i w:val="0"/>
          <w:sz w:val="22"/>
        </w:rPr>
        <w:t xml:space="preserve"> giải quyết bằng cơ chế: nếu khách hàng quen giao dịch đêm (HIST</w:t>
      </w:r>
      <w:r>
        <w:rPr>
          <w:rFonts w:ascii="Times New Roman" w:hAnsi="Times New Roman"/>
          <w:b w:val="0"/>
          <w:i w:val="0"/>
          <w:sz w:val="22"/>
        </w:rPr>
        <w:t>NIGHT</w:t>
      </w:r>
      <w:r>
        <w:rPr>
          <w:rFonts w:ascii="Times New Roman" w:hAnsi="Times New Roman"/>
          <w:b w:val="0"/>
          <w:i w:val="0"/>
          <w:sz w:val="22"/>
        </w:rPr>
        <w:t xml:space="preserve">RATIO cao), thì </w:t>
      </w:r>
      <w:r>
        <w:rPr>
          <w:rFonts w:ascii="Times New Roman" w:hAnsi="Times New Roman"/>
          <w:b w:val="0"/>
          <w:i w:val="0"/>
          <w:color w:val="C7254E"/>
          <w:sz w:val="20"/>
        </w:rPr>
        <w:t>(1 − HIST_NIGHT_RATIO)</w:t>
      </w:r>
      <w:r>
        <w:rPr>
          <w:rFonts w:ascii="Times New Roman" w:hAnsi="Times New Roman"/>
          <w:b w:val="0"/>
          <w:i w:val="0"/>
          <w:sz w:val="22"/>
        </w:rPr>
        <w:t xml:space="preserve"> tiến về 0, vô hiệu hóa rủi ro đêm → bảo vệ trải nghiệm khách hàng hợp lệ.</w:t>
      </w:r>
    </w:p>
    <w:p>
      <w:pPr>
        <w:pStyle w:val="ListBullet"/>
        <w:spacing w:before="40" w:after="40" w:line="276" w:lineRule="auto"/>
        <w:ind w:left="720"/>
      </w:pPr>
      <w:r>
        <w:rPr>
          <w:rFonts w:ascii="Times New Roman" w:hAnsi="Times New Roman"/>
          <w:b w:val="0"/>
          <w:i w:val="0"/>
          <w:sz w:val="22"/>
        </w:rPr>
        <w:t>Đây là ứng dụng nguyên tắc "Frictionless Security" — chỉ siết chặt giám sát khi hành vi ban đêm KHÔNG phù hợp với lịch sử, giảm friction cho khách hàng có pattern đêm hợp lệ.</w:t>
      </w:r>
    </w:p>
    <w:p>
      <w:pPr>
        <w:spacing w:before="240" w:after="240"/>
        <w:pBdr>
          <w:bottom w:val="single" w:sz="8" w:space="4" w:color="D3D3D3"/>
        </w:pBdr>
      </w:pPr>
    </w:p>
    <w:p>
      <w:pPr>
        <w:keepNext/>
        <w:spacing w:before="200" w:after="80"/>
      </w:pPr>
      <w:r>
        <w:rPr>
          <w:rFonts w:ascii="Times New Roman" w:hAnsi="Times New Roman"/>
          <w:b/>
          <w:i w:val="0"/>
          <w:color w:val="000000"/>
          <w:sz w:val="24"/>
        </w:rPr>
        <w:t>3.4 Nhóm 4: An ninh &amp; Xác thực (Security &amp; Authentication)</w:t>
      </w:r>
    </w:p>
    <w:p>
      <w:pPr>
        <w:keepNext/>
        <w:spacing w:before="160" w:after="80"/>
      </w:pPr>
      <w:r>
        <w:rPr>
          <w:rFonts w:ascii="Times New Roman" w:hAnsi="Times New Roman"/>
          <w:b/>
          <w:i w:val="0"/>
          <w:color w:val="2C3E50"/>
          <w:sz w:val="22"/>
        </w:rPr>
        <w:t>HOURS_SINCE_SEC_EVENT</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khoảng cách thời gian (giờ) giữa giao dịch hiện tại và sự kiện bảo mật gần nhất (đổi mật khẩu, đổi PIN, cập nhật sổ địa chỉ). Giá trị càng gần 0, xác suất giao dịch này là hành vi chiếm đoạt tài khoản (ATO) càng cao.</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\text{HOURS\_SINCE\_SEC\_EVENT}_i = \frac{t_{\text{tx},i} - t_{\text{last\_sec},i}}{3600}</w:t>
      </w:r>
    </w:p>
    <w:p>
      <w:pPr>
        <w:spacing w:before="80" w:after="120" w:line="276" w:lineRule="auto"/>
      </w:pPr>
      <w:r>
        <w:rPr>
          <w:rFonts w:ascii="Times New Roman" w:hAnsi="Times New Roman"/>
          <w:b w:val="0"/>
          <w:i w:val="0"/>
          <w:sz w:val="22"/>
        </w:rPr>
        <w:t>Mặc định 999 nếu không có sự kiện bảo mật nào trước đó. Các sự kiện bảo mật bao gồm: PASSWORD</w:t>
      </w:r>
      <w:r>
        <w:rPr>
          <w:rFonts w:ascii="Times New Roman" w:hAnsi="Times New Roman"/>
          <w:b w:val="0"/>
          <w:i w:val="0"/>
          <w:sz w:val="22"/>
        </w:rPr>
        <w:t>CHANGE, PASSWORD</w:t>
      </w:r>
      <w:r>
        <w:rPr>
          <w:rFonts w:ascii="Times New Roman" w:hAnsi="Times New Roman"/>
          <w:b w:val="0"/>
          <w:i w:val="0"/>
          <w:sz w:val="22"/>
        </w:rPr>
        <w:t>SET, PIN</w:t>
      </w:r>
      <w:r>
        <w:rPr>
          <w:rFonts w:ascii="Times New Roman" w:hAnsi="Times New Roman"/>
          <w:b w:val="0"/>
          <w:i w:val="0"/>
          <w:sz w:val="22"/>
        </w:rPr>
        <w:t>SET, PIN</w:t>
      </w:r>
      <w:r>
        <w:rPr>
          <w:rFonts w:ascii="Times New Roman" w:hAnsi="Times New Roman"/>
          <w:b w:val="0"/>
          <w:i w:val="0"/>
          <w:sz w:val="22"/>
        </w:rPr>
        <w:t>CHANGE, PIN</w:t>
      </w:r>
      <w:r>
        <w:rPr>
          <w:rFonts w:ascii="Times New Roman" w:hAnsi="Times New Roman"/>
          <w:b w:val="0"/>
          <w:i w:val="0"/>
          <w:sz w:val="22"/>
        </w:rPr>
        <w:t>RESET, ADDRESS</w:t>
      </w:r>
      <w:r>
        <w:rPr>
          <w:rFonts w:ascii="Times New Roman" w:hAnsi="Times New Roman"/>
          <w:b w:val="0"/>
          <w:i w:val="0"/>
          <w:sz w:val="22"/>
        </w:rPr>
        <w:t>BOOK</w:t>
      </w:r>
      <w:r>
        <w:rPr>
          <w:rFonts w:ascii="Times New Roman" w:hAnsi="Times New Roman"/>
          <w:b w:val="0"/>
          <w:i w:val="0"/>
          <w:sz w:val="22"/>
        </w:rPr>
        <w:t>UPDATE.</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Javelin Strategy (2023) thống kê: &gt;70% các vụ ATO kết thúc bằng lệnh chuyển tiền tẩu tán trong vòng 60 phút sau khi kẻ gian đổi mật khẩu/PIN thành công. Chuỗi hành vi "đổi mật khẩu → chuyển tiền lớn ngay" là dấu vân tay kinh điển của ATO.</w:t>
      </w:r>
    </w:p>
    <w:p>
      <w:pPr>
        <w:pStyle w:val="ListBullet"/>
        <w:spacing w:before="40" w:after="40" w:line="276" w:lineRule="auto"/>
        <w:ind w:left="720"/>
      </w:pPr>
      <w:r>
        <w:rPr>
          <w:rFonts w:ascii="Times New Roman" w:hAnsi="Times New Roman"/>
          <w:b w:val="0"/>
          <w:i w:val="0"/>
          <w:sz w:val="22"/>
        </w:rPr>
        <w:t>Tại Việt Nam, với quy định sinh trắc học bắt buộc (Thông tư 17/2024), kẻ gian thường phải thao tác nhanh: chiếm quyền truy cập → đổi xác thực → rút tiền — tất cả trong cửa sổ vài giờ trước khi nạn nhân phát hiện. Feature này bắt chính xác chuỗi hành vi này.</w:t>
      </w:r>
    </w:p>
    <w:p>
      <w:pPr>
        <w:keepNext/>
        <w:spacing w:before="160" w:after="80"/>
      </w:pPr>
      <w:r>
        <w:rPr>
          <w:rFonts w:ascii="Times New Roman" w:hAnsi="Times New Roman"/>
          <w:b/>
          <w:i w:val="0"/>
          <w:color w:val="2C3E50"/>
          <w:sz w:val="22"/>
        </w:rPr>
        <w:t>HIST_BIOMETRIC_RATIO</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tỷ lệ đăng nhập bằng sinh trắc học (FaceID, vân tay) trong toàn bộ lịch sử đăng nhập của khách hàng. Đóng vai trò </w:t>
      </w:r>
      <w:r>
        <w:rPr>
          <w:rFonts w:ascii="Times New Roman" w:hAnsi="Times New Roman"/>
          <w:b/>
          <w:i w:val="0"/>
          <w:sz w:val="22"/>
        </w:rPr>
        <w:t>biến kiểm soát</w:t>
      </w:r>
      <w:r>
        <w:rPr>
          <w:rFonts w:ascii="Times New Roman" w:hAnsi="Times New Roman"/>
          <w:b w:val="0"/>
          <w:i w:val="0"/>
          <w:sz w:val="22"/>
        </w:rPr>
        <w:t xml:space="preserve"> — thiết lập baseline xác thực cá nhân.</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\text{HIST\_BIOMETRIC\_RATIO}_i = \frac{\sum_{j&lt;i} \mathbb{1}[\text{login}_j \in \{\text{FINGER}, \text{FACEID}\}]}{\text{total\_logins\_before\_}i + \epsilon}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Thông tư 17/2024/TT-NHNN yêu cầu xác thực sinh trắc học bắt buộc cho giao dịch trực tuyến. Feature này thiết lập baseline: nếu khách hàng có lịch sử 99% dùng FaceID (HIST</w:t>
      </w:r>
      <w:r>
        <w:rPr>
          <w:rFonts w:ascii="Times New Roman" w:hAnsi="Times New Roman"/>
          <w:b w:val="0"/>
          <w:i w:val="0"/>
          <w:sz w:val="22"/>
        </w:rPr>
        <w:t>BIOMETRIC</w:t>
      </w:r>
      <w:r>
        <w:rPr>
          <w:rFonts w:ascii="Times New Roman" w:hAnsi="Times New Roman"/>
          <w:b w:val="0"/>
          <w:i w:val="0"/>
          <w:sz w:val="22"/>
        </w:rPr>
        <w:t>RATIO ~1.0), nhưng hôm nay đột nhiên đăng nhập bằng Password tĩnh trên thiết bị lạ → mô hình nhận diện đây là sự bất thường tột độ (ATO indicator).</w:t>
      </w:r>
    </w:p>
    <w:p>
      <w:pPr>
        <w:pStyle w:val="ListBullet"/>
        <w:spacing w:before="40" w:after="40" w:line="276" w:lineRule="auto"/>
        <w:ind w:left="720"/>
      </w:pPr>
      <w:r>
        <w:rPr>
          <w:rFonts w:ascii="Times New Roman" w:hAnsi="Times New Roman"/>
          <w:b w:val="0"/>
          <w:i w:val="0"/>
          <w:sz w:val="22"/>
        </w:rPr>
        <w:t>Vai trò kiểm soát: feature này không tự mình gây cảnh báo, mà cung cấp bối cảnh cho các feature khác (ví dụ: HOURS</w:t>
      </w:r>
      <w:r>
        <w:rPr>
          <w:rFonts w:ascii="Times New Roman" w:hAnsi="Times New Roman"/>
          <w:b w:val="0"/>
          <w:i w:val="0"/>
          <w:sz w:val="22"/>
        </w:rPr>
        <w:t>SINCE</w:t>
      </w:r>
      <w:r>
        <w:rPr>
          <w:rFonts w:ascii="Times New Roman" w:hAnsi="Times New Roman"/>
          <w:b w:val="0"/>
          <w:i w:val="0"/>
          <w:sz w:val="22"/>
        </w:rPr>
        <w:t>SEC</w:t>
      </w:r>
      <w:r>
        <w:rPr>
          <w:rFonts w:ascii="Times New Roman" w:hAnsi="Times New Roman"/>
          <w:b w:val="0"/>
          <w:i w:val="0"/>
          <w:sz w:val="22"/>
        </w:rPr>
        <w:t>EVENT thấp + HIST</w:t>
      </w:r>
      <w:r>
        <w:rPr>
          <w:rFonts w:ascii="Times New Roman" w:hAnsi="Times New Roman"/>
          <w:b w:val="0"/>
          <w:i w:val="0"/>
          <w:sz w:val="22"/>
        </w:rPr>
        <w:t>BIOMETRIC</w:t>
      </w:r>
      <w:r>
        <w:rPr>
          <w:rFonts w:ascii="Times New Roman" w:hAnsi="Times New Roman"/>
          <w:b w:val="0"/>
          <w:i w:val="0"/>
          <w:sz w:val="22"/>
        </w:rPr>
        <w:t>RATIO cao + giao dịch lớn = cờ đỏ ATO rõ ràng).</w:t>
      </w:r>
    </w:p>
    <w:p>
      <w:pPr>
        <w:spacing w:before="240" w:after="240"/>
        <w:pBdr>
          <w:bottom w:val="single" w:sz="8" w:space="4" w:color="D3D3D3"/>
        </w:pBdr>
      </w:pPr>
    </w:p>
    <w:p>
      <w:pPr>
        <w:keepNext/>
        <w:spacing w:before="200" w:after="80"/>
      </w:pPr>
      <w:r>
        <w:rPr>
          <w:rFonts w:ascii="Times New Roman" w:hAnsi="Times New Roman"/>
          <w:b/>
          <w:i w:val="0"/>
          <w:color w:val="000000"/>
          <w:sz w:val="24"/>
        </w:rPr>
        <w:t>3.5 Nhóm 5: Phân tích Thống kê &amp; Chuỗi (Statistical &amp; Sequence)</w:t>
      </w:r>
    </w:p>
    <w:p>
      <w:pPr>
        <w:keepNext/>
        <w:spacing w:before="160" w:after="80"/>
      </w:pPr>
      <w:r>
        <w:rPr>
          <w:rFonts w:ascii="Times New Roman" w:hAnsi="Times New Roman"/>
          <w:b/>
          <w:i w:val="0"/>
          <w:color w:val="2C3E50"/>
          <w:sz w:val="22"/>
        </w:rPr>
        <w:t>BENFORD_DEV</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độ lệch giữa phân bố chữ số đầu tiên (1–9) của tất cả số tiền giao dịch của một khách hàng so với phân bố lý thuyết của Định luật Benford. Dữ liệu tài chính tự nhiên tuân theo Benford — khi tội phạm cố tình tạo số tiền (structuring), sự sai lệch này sẽ xuất hiện.</w:t>
      </w:r>
    </w:p>
    <w:p>
      <w:pPr>
        <w:pStyle w:val="ListBullet"/>
        <w:spacing w:before="40" w:after="40" w:line="276" w:lineRule="auto"/>
        <w:ind w:left="360"/>
      </w:pPr>
      <w:r>
        <w:rPr>
          <w:rFonts w:ascii="Times New Roman" w:hAnsi="Times New Roman"/>
          <w:b/>
          <w:i w:val="0"/>
          <w:sz w:val="22"/>
        </w:rPr>
        <w:t>Công thức đo lường:</w:t>
      </w:r>
    </w:p>
    <w:p>
      <w:pPr>
        <w:spacing w:before="80" w:after="120" w:line="276" w:lineRule="auto"/>
      </w:pPr>
      <w:r>
        <w:rPr>
          <w:rFonts w:ascii="Times New Roman" w:hAnsi="Times New Roman"/>
          <w:b w:val="0"/>
          <w:i w:val="0"/>
          <w:sz w:val="22"/>
        </w:rPr>
        <w:t>Phân bố lý thuyết Benford cho chữ số d ∈ {1, ..., 9}:</w:t>
      </w:r>
    </w:p>
    <w:p>
      <w:pPr>
        <w:spacing w:before="120" w:after="120"/>
        <w:jc w:val="center"/>
      </w:pPr>
      <w:r>
        <w:rPr>
          <w:rFonts w:ascii="Times New Roman" w:hAnsi="Times New Roman"/>
          <w:b w:val="0"/>
          <w:i/>
          <w:color w:val="2C3E50"/>
          <w:sz w:val="22"/>
        </w:rPr>
        <w:t>q_d = \log_{10}\!\left(1 + \frac{1}{d}\right)</w:t>
      </w:r>
    </w:p>
    <w:p>
      <w:pPr>
        <w:spacing w:before="80" w:after="120" w:line="276" w:lineRule="auto"/>
      </w:pPr>
      <w:r>
        <w:rPr>
          <w:rFonts w:ascii="Times New Roman" w:hAnsi="Times New Roman"/>
          <w:b w:val="0"/>
          <w:i w:val="0"/>
          <w:sz w:val="22"/>
        </w:rPr>
        <w:t>KL-Divergence giữa phân bố thực tế và lý thuyết:</w:t>
      </w:r>
    </w:p>
    <w:p>
      <w:pPr>
        <w:spacing w:before="120" w:after="120"/>
        <w:jc w:val="center"/>
      </w:pPr>
      <w:r>
        <w:rPr>
          <w:rFonts w:ascii="Times New Roman" w:hAnsi="Times New Roman"/>
          <w:b w:val="0"/>
          <w:i/>
          <w:color w:val="2C3E50"/>
          <w:sz w:val="22"/>
        </w:rPr>
        <w:t>\text{BENFORD\_DEV} = D_{\text{KL}}(P \| Q) = \sum_{d=1}^{9} p_d \cdot \ln\!\left(\frac{p_d}{q_d}\right)</w:t>
      </w:r>
    </w:p>
    <w:p>
      <w:pPr>
        <w:spacing w:before="80" w:after="120" w:line="276" w:lineRule="auto"/>
      </w:pPr>
      <w:r>
        <w:rPr>
          <w:rFonts w:ascii="Times New Roman" w:hAnsi="Times New Roman"/>
          <w:b w:val="0"/>
          <w:i w:val="0"/>
          <w:sz w:val="22"/>
        </w:rPr>
        <w:t>Chỉ tính khi khách hàng có ≥ 50 giao dịch (pipeline hiện tại sử dụng ngưỡng ≥ 5 cho Phase 1, sau đó áp dụng logic phân tích ý nghĩa thống kê ở mức ≥ 50 mẫu).</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Nigrini (2012) chứng minh Định luật Benford là công cụ kiểm toán pháp y mạnh: khi tội phạm lách AML bằng cách chia nhỏ tiền có chủ đích (ví dụ: tất cả giao dịch đều bắt đầu bằng số 9 — tức 9.9 triệu, 9.8 triệu — để né ngưỡng 10 triệu), phân bố chữ số đầu tiên sẽ lệch nghiêm trọng so với Benford.</w:t>
      </w:r>
    </w:p>
    <w:p>
      <w:pPr>
        <w:pStyle w:val="ListBullet"/>
        <w:spacing w:before="40" w:after="40" w:line="276" w:lineRule="auto"/>
        <w:ind w:left="720"/>
      </w:pPr>
      <w:r>
        <w:rPr>
          <w:rFonts w:ascii="Times New Roman" w:hAnsi="Times New Roman"/>
          <w:b w:val="0"/>
          <w:i w:val="0"/>
          <w:sz w:val="22"/>
        </w:rPr>
        <w:t>Định luật Benford rất nhạy cảm với kích thước mẫu nhỏ. Việc tính toán trên &lt;50 giao dịch tạo nhiễu (noise) và False Positive cao. Ngưỡng N ≥ 50 là phương pháp luận chuẩn theo nghiên cứu kiểm toán hiện đại.</w:t>
      </w:r>
    </w:p>
    <w:p>
      <w:pPr>
        <w:pStyle w:val="ListBullet"/>
        <w:spacing w:before="40" w:after="40" w:line="276" w:lineRule="auto"/>
        <w:ind w:left="720"/>
      </w:pPr>
      <w:r>
        <w:rPr>
          <w:rFonts w:ascii="Times New Roman" w:hAnsi="Times New Roman"/>
          <w:b/>
          <w:i w:val="0"/>
          <w:sz w:val="22"/>
        </w:rPr>
        <w:t>Kết quả SHAP:</w:t>
      </w:r>
      <w:r>
        <w:rPr>
          <w:rFonts w:ascii="Times New Roman" w:hAnsi="Times New Roman"/>
          <w:b w:val="0"/>
          <w:i w:val="0"/>
          <w:sz w:val="22"/>
        </w:rPr>
        <w:t xml:space="preserve"> Xuất hiện trong </w:t>
      </w:r>
      <w:r>
        <w:rPr>
          <w:rFonts w:ascii="Times New Roman" w:hAnsi="Times New Roman"/>
          <w:b/>
          <w:i w:val="0"/>
          <w:sz w:val="22"/>
        </w:rPr>
        <w:t>16.53%</w:t>
      </w:r>
      <w:r>
        <w:rPr>
          <w:rFonts w:ascii="Times New Roman" w:hAnsi="Times New Roman"/>
          <w:b w:val="0"/>
          <w:i w:val="0"/>
          <w:sz w:val="22"/>
        </w:rPr>
        <w:t xml:space="preserve"> cảnh báo (20/121) — tần suất thấp nhưng chính xác cao, đặc biệt hiệu quả với structuring.</w:t>
      </w:r>
    </w:p>
    <w:p>
      <w:pPr>
        <w:keepNext/>
        <w:spacing w:before="160" w:after="80"/>
      </w:pPr>
      <w:r>
        <w:rPr>
          <w:rFonts w:ascii="Times New Roman" w:hAnsi="Times New Roman"/>
          <w:b/>
          <w:i w:val="0"/>
          <w:color w:val="2C3E50"/>
          <w:sz w:val="22"/>
        </w:rPr>
        <w:t>ACTIVITY_SEQ_RARITY</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Đo mức độ hiếm (rarity) của chuỗi hoạt động kỹ thuật số (activity sequence) của khách hàng. Sử dụng mô hình Chuỗi Markov bậc 2 để tính xác suất chuyển tiếp giữa các bước hoạt động. Chuỗi càng hiếm (log-probability càng âm) → càng bất thường.</w:t>
      </w:r>
    </w:p>
    <w:p>
      <w:pPr>
        <w:pStyle w:val="ListBullet"/>
        <w:spacing w:before="40" w:after="40" w:line="276" w:lineRule="auto"/>
        <w:ind w:left="360"/>
      </w:pPr>
      <w:r>
        <w:rPr>
          <w:rFonts w:ascii="Times New Roman" w:hAnsi="Times New Roman"/>
          <w:b/>
          <w:i w:val="0"/>
          <w:sz w:val="22"/>
        </w:rPr>
        <w:t>Công thức đo lường:</w:t>
      </w:r>
    </w:p>
    <w:p>
      <w:pPr>
        <w:spacing w:before="80" w:after="120" w:line="276" w:lineRule="auto"/>
      </w:pPr>
      <w:r>
        <w:rPr>
          <w:rFonts w:ascii="Times New Roman" w:hAnsi="Times New Roman"/>
          <w:b w:val="0"/>
          <w:i w:val="0"/>
          <w:sz w:val="22"/>
        </w:rPr>
        <w:t>Xác suất chuyển tiếp nội suy (interpolated backoff):</w:t>
      </w:r>
    </w:p>
    <w:p>
      <w:pPr>
        <w:spacing w:before="120" w:after="120"/>
        <w:jc w:val="center"/>
      </w:pPr>
      <w:r>
        <w:rPr>
          <w:rFonts w:ascii="Times New Roman" w:hAnsi="Times New Roman"/>
          <w:b w:val="0"/>
          <w:i/>
          <w:color w:val="2C3E50"/>
          <w:sz w:val="22"/>
        </w:rPr>
        <w:t>P_{\text{interp}}(a_3 | a_1, a_2) = 0.7 \cdot P_{\text{2nd}}(a_3 | a_1, a_2) + 0.2 \cdot P_{\text{1st}}(a_3 | a_2) + 0.1 \cdot P_{\text{global}}(a_3)</w:t>
      </w:r>
    </w:p>
    <w:p>
      <w:pPr>
        <w:spacing w:before="80" w:after="120" w:line="276" w:lineRule="auto"/>
      </w:pPr>
      <w:r>
        <w:rPr>
          <w:rFonts w:ascii="Times New Roman" w:hAnsi="Times New Roman"/>
          <w:b w:val="0"/>
          <w:i w:val="0"/>
          <w:sz w:val="22"/>
        </w:rPr>
        <w:t>Điểm rarity chuẩn hóa theo chiều dài chuỗi:</w:t>
      </w:r>
    </w:p>
    <w:p>
      <w:pPr>
        <w:spacing w:before="120" w:after="120"/>
        <w:jc w:val="center"/>
      </w:pPr>
      <w:r>
        <w:rPr>
          <w:rFonts w:ascii="Times New Roman" w:hAnsi="Times New Roman"/>
          <w:b w:val="0"/>
          <w:i/>
          <w:color w:val="2C3E50"/>
          <w:sz w:val="22"/>
        </w:rPr>
        <w:t>\text{ACTIVITY\_SEQ\_RARITY}_c = \frac{1}{|\text{seq}_c| - 1}\left[\ln P_{\text{1st}}(a_2|a_1) + \sum_{i=1}^{|\text{seq}_c|-2} \ln P_{\text{interp}}(a_{i+2}|a_i, a_{i+1})\right]</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Chandola et al. (2009) xác nhận phân tích chuỗi hành vi là cách tốt nhất bắt botnet/script tự động. Phiên bình thường: LOGIN → QUERY</w:t>
      </w:r>
      <w:r>
        <w:rPr>
          <w:rFonts w:ascii="Times New Roman" w:hAnsi="Times New Roman"/>
          <w:b w:val="0"/>
          <w:i w:val="0"/>
          <w:sz w:val="22"/>
        </w:rPr>
        <w:t>ACCOUNT → TRANSFER → LOGOUT. Phiên bất thường: LOGIN → PASSWORD</w:t>
      </w:r>
      <w:r>
        <w:rPr>
          <w:rFonts w:ascii="Times New Roman" w:hAnsi="Times New Roman"/>
          <w:b w:val="0"/>
          <w:i w:val="0"/>
          <w:sz w:val="22"/>
        </w:rPr>
        <w:t>CHANGE → TRANSFER</w:t>
      </w:r>
      <w:r>
        <w:rPr>
          <w:rFonts w:ascii="Times New Roman" w:hAnsi="Times New Roman"/>
          <w:b w:val="0"/>
          <w:i w:val="0"/>
          <w:sz w:val="22"/>
        </w:rPr>
        <w:t>OUTSIDE → LOGOUT.</w:t>
      </w:r>
    </w:p>
    <w:p>
      <w:pPr>
        <w:pStyle w:val="ListBullet"/>
        <w:spacing w:before="40" w:after="40" w:line="276" w:lineRule="auto"/>
        <w:ind w:left="720"/>
      </w:pPr>
      <w:r>
        <w:rPr>
          <w:rFonts w:ascii="Times New Roman" w:hAnsi="Times New Roman"/>
          <w:b w:val="0"/>
          <w:i w:val="0"/>
          <w:sz w:val="22"/>
        </w:rPr>
        <w:t>Feature này có vai trò kép: (1) biến độc lập cho mô hình ML tại Tier 2, và (2) quy tắc bypass tại Tier 1 — nếu ACTIVITY</w:t>
      </w:r>
      <w:r>
        <w:rPr>
          <w:rFonts w:ascii="Times New Roman" w:hAnsi="Times New Roman"/>
          <w:b w:val="0"/>
          <w:i w:val="0"/>
          <w:sz w:val="22"/>
        </w:rPr>
        <w:t>SEQ</w:t>
      </w:r>
      <w:r>
        <w:rPr>
          <w:rFonts w:ascii="Times New Roman" w:hAnsi="Times New Roman"/>
          <w:b w:val="0"/>
          <w:i w:val="0"/>
          <w:sz w:val="22"/>
        </w:rPr>
        <w:t>RARITY &gt; −1.0 (chuỗi bình thường) VÀ số tiền &lt; 500K VND → bypass an toàn.</w:t>
      </w:r>
    </w:p>
    <w:p>
      <w:pPr>
        <w:pStyle w:val="ListBullet"/>
        <w:spacing w:before="40" w:after="40" w:line="276" w:lineRule="auto"/>
        <w:ind w:left="720"/>
      </w:pPr>
      <w:r>
        <w:rPr>
          <w:rFonts w:ascii="Times New Roman" w:hAnsi="Times New Roman"/>
          <w:b w:val="0"/>
          <w:i w:val="0"/>
          <w:sz w:val="22"/>
        </w:rPr>
        <w:t>Markov bậc 2 (thay vì bậc 1) cho phép bắt pattern 3 bước — đủ ngữ cảnh để phân biệt "LOGIN → PASSWORD</w:t>
      </w:r>
      <w:r>
        <w:rPr>
          <w:rFonts w:ascii="Times New Roman" w:hAnsi="Times New Roman"/>
          <w:b w:val="0"/>
          <w:i w:val="0"/>
          <w:sz w:val="22"/>
        </w:rPr>
        <w:t>CHANGE" (có thể bình thường) với "LOGIN → PASSWORD</w:t>
      </w:r>
      <w:r>
        <w:rPr>
          <w:rFonts w:ascii="Times New Roman" w:hAnsi="Times New Roman"/>
          <w:b w:val="0"/>
          <w:i w:val="0"/>
          <w:sz w:val="22"/>
        </w:rPr>
        <w:t>CHANGE → TRANSFER</w:t>
      </w:r>
      <w:r>
        <w:rPr>
          <w:rFonts w:ascii="Times New Roman" w:hAnsi="Times New Roman"/>
          <w:b w:val="0"/>
          <w:i w:val="0"/>
          <w:sz w:val="22"/>
        </w:rPr>
        <w:t>OUTSIDE" (cờ đỏ rõ ràng).</w:t>
      </w:r>
    </w:p>
    <w:p>
      <w:pPr>
        <w:spacing w:before="240" w:after="240"/>
        <w:pBdr>
          <w:bottom w:val="single" w:sz="8" w:space="4" w:color="D3D3D3"/>
        </w:pBdr>
      </w:pPr>
    </w:p>
    <w:p>
      <w:pPr>
        <w:keepNext/>
        <w:spacing w:before="200" w:after="80"/>
      </w:pPr>
      <w:r>
        <w:rPr>
          <w:rFonts w:ascii="Times New Roman" w:hAnsi="Times New Roman"/>
          <w:b/>
          <w:i w:val="0"/>
          <w:color w:val="000000"/>
          <w:sz w:val="24"/>
        </w:rPr>
        <w:t>3.6 Nhóm 6: Phân loại &amp; Nhân khẩu (Categorical &amp; Demographic)</w:t>
      </w:r>
    </w:p>
    <w:p>
      <w:pPr>
        <w:keepNext/>
        <w:spacing w:before="160" w:after="80"/>
      </w:pPr>
      <w:r>
        <w:rPr>
          <w:rFonts w:ascii="Times New Roman" w:hAnsi="Times New Roman"/>
          <w:b/>
          <w:i w:val="0"/>
          <w:color w:val="2C3E50"/>
          <w:sz w:val="22"/>
        </w:rPr>
        <w:t>AGE_GROUP &amp; Occupation_Group</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Phân nhóm khách hàng theo tuổi (Young, Middle, Old) và nghề nghiệp để thiết lập Cohort Baseline — mức rủi ro nền cho từng phân khúc dân số. Đóng vai trò </w:t>
      </w:r>
      <w:r>
        <w:rPr>
          <w:rFonts w:ascii="Times New Roman" w:hAnsi="Times New Roman"/>
          <w:b/>
          <w:i w:val="0"/>
          <w:sz w:val="22"/>
        </w:rPr>
        <w:t>biến kiểm soát</w:t>
      </w:r>
      <w:r>
        <w:rPr>
          <w:rFonts w:ascii="Times New Roman" w:hAnsi="Times New Roman"/>
          <w:b w:val="0"/>
          <w:i w:val="0"/>
          <w:sz w:val="22"/>
        </w:rPr>
        <w:t>.</w:t>
      </w:r>
    </w:p>
    <w:p>
      <w:pPr>
        <w:pStyle w:val="ListBullet"/>
        <w:spacing w:before="40" w:after="40" w:line="276" w:lineRule="auto"/>
        <w:ind w:left="360"/>
      </w:pPr>
      <w:r>
        <w:rPr>
          <w:rFonts w:ascii="Times New Roman" w:hAnsi="Times New Roman"/>
          <w:b/>
          <w:i w:val="0"/>
          <w:sz w:val="22"/>
        </w:rPr>
        <w:t>Công thức đo lường:</w:t>
      </w:r>
      <w:r>
        <w:rPr>
          <w:rFonts w:ascii="Times New Roman" w:hAnsi="Times New Roman"/>
          <w:b w:val="0"/>
          <w:i w:val="0"/>
          <w:sz w:val="22"/>
        </w:rPr>
        <w:t xml:space="preserve"> </w:t>
      </w:r>
      <w:r>
        <w:rPr>
          <w:rFonts w:ascii="Times New Roman" w:hAnsi="Times New Roman"/>
          <w:b w:val="0"/>
          <w:i w:val="0"/>
          <w:color w:val="C7254E"/>
          <w:sz w:val="20"/>
        </w:rPr>
        <w:t>AGE_GROUP</w:t>
      </w:r>
      <w:r>
        <w:rPr>
          <w:rFonts w:ascii="Times New Roman" w:hAnsi="Times New Roman"/>
          <w:b w:val="0"/>
          <w:i w:val="0"/>
          <w:sz w:val="22"/>
        </w:rPr>
        <w:t xml:space="preserve"> ánh xạ năm sinh thành 3 nhóm tuổi. </w:t>
      </w:r>
      <w:r>
        <w:rPr>
          <w:rFonts w:ascii="Times New Roman" w:hAnsi="Times New Roman"/>
          <w:b w:val="0"/>
          <w:i w:val="0"/>
          <w:color w:val="C7254E"/>
          <w:sz w:val="20"/>
        </w:rPr>
        <w:t>Occupation_Group</w:t>
      </w:r>
      <w:r>
        <w:rPr>
          <w:rFonts w:ascii="Times New Roman" w:hAnsi="Times New Roman"/>
          <w:b w:val="0"/>
          <w:i w:val="0"/>
          <w:sz w:val="22"/>
        </w:rPr>
        <w:t xml:space="preserve"> giữ nguyên label nghề nghiệp. Cả hai được label-encoded thành số nguyên.</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NHNN (Thông tư 09/2020) xác định sinh viên và người già là nhóm dễ bị lừa bán tài khoản làm Mule Account nhất tại Việt Nam. Việc đưa biến nhân khẩu vào giúp mô hình phân tầng rủi ro theo bối cảnh: giao dịch 100 triệu của sinh viên thất nghiệp được XGBoost xếp rủi ro cao hơn rất nhiều so với giao dịch 100 triệu của doanh nhân — vì cây quyết định sử dụng AGE</w:t>
      </w:r>
      <w:r>
        <w:rPr>
          <w:rFonts w:ascii="Times New Roman" w:hAnsi="Times New Roman"/>
          <w:b w:val="0"/>
          <w:i w:val="0"/>
          <w:sz w:val="22"/>
        </w:rPr>
        <w:t>GROUP và Occupation</w:t>
      </w:r>
      <w:r>
        <w:rPr>
          <w:rFonts w:ascii="Times New Roman" w:hAnsi="Times New Roman"/>
          <w:b w:val="0"/>
          <w:i w:val="0"/>
          <w:sz w:val="22"/>
        </w:rPr>
        <w:t>Group làm tiêu chí phân nhánh.</w:t>
      </w:r>
    </w:p>
    <w:p>
      <w:pPr>
        <w:pStyle w:val="ListBullet"/>
        <w:spacing w:before="40" w:after="40" w:line="276" w:lineRule="auto"/>
        <w:ind w:left="720"/>
      </w:pPr>
      <w:r>
        <w:rPr>
          <w:rFonts w:ascii="Times New Roman" w:hAnsi="Times New Roman"/>
          <w:b w:val="0"/>
          <w:i w:val="0"/>
          <w:sz w:val="22"/>
        </w:rPr>
        <w:t>Deloitte (2023) khuyến nghị segment-aware fraud detection: mô hình phải hiểu bối cảnh khách hàng thay vì đánh giá cào bằng.</w:t>
      </w:r>
    </w:p>
    <w:p>
      <w:pPr>
        <w:keepNext/>
        <w:spacing w:before="160" w:after="80"/>
      </w:pPr>
      <w:r>
        <w:rPr>
          <w:rFonts w:ascii="Times New Roman" w:hAnsi="Times New Roman"/>
          <w:b/>
          <w:i w:val="0"/>
          <w:color w:val="2C3E50"/>
          <w:sz w:val="22"/>
        </w:rPr>
        <w:t>TRANS_LV1 &amp; TRANS_LV2</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Phân loại loại hình giao dịch theo hệ thống phân cấp 2 tầng. </w:t>
      </w:r>
      <w:r>
        <w:rPr>
          <w:rFonts w:ascii="Times New Roman" w:hAnsi="Times New Roman"/>
          <w:b w:val="0"/>
          <w:i w:val="0"/>
          <w:color w:val="C7254E"/>
          <w:sz w:val="20"/>
        </w:rPr>
        <w:t>TRANS_LV1</w:t>
      </w:r>
      <w:r>
        <w:rPr>
          <w:rFonts w:ascii="Times New Roman" w:hAnsi="Times New Roman"/>
          <w:b w:val="0"/>
          <w:i w:val="0"/>
          <w:sz w:val="22"/>
        </w:rPr>
        <w:t xml:space="preserve"> là nhóm lớn (Transfer, Payment, ...), </w:t>
      </w:r>
      <w:r>
        <w:rPr>
          <w:rFonts w:ascii="Times New Roman" w:hAnsi="Times New Roman"/>
          <w:b w:val="0"/>
          <w:i w:val="0"/>
          <w:color w:val="C7254E"/>
          <w:sz w:val="20"/>
        </w:rPr>
        <w:t>TRANS_LV2</w:t>
      </w:r>
      <w:r>
        <w:rPr>
          <w:rFonts w:ascii="Times New Roman" w:hAnsi="Times New Roman"/>
          <w:b w:val="0"/>
          <w:i w:val="0"/>
          <w:sz w:val="22"/>
        </w:rPr>
        <w:t xml:space="preserve"> là chi tiết (Within Bank, Outside Bank, ...). Đóng vai trò </w:t>
      </w:r>
      <w:r>
        <w:rPr>
          <w:rFonts w:ascii="Times New Roman" w:hAnsi="Times New Roman"/>
          <w:b/>
          <w:i w:val="0"/>
          <w:sz w:val="22"/>
        </w:rPr>
        <w:t>biến kiểm soát</w:t>
      </w:r>
      <w:r>
        <w:rPr>
          <w:rFonts w:ascii="Times New Roman" w:hAnsi="Times New Roman"/>
          <w:b w:val="0"/>
          <w:i w:val="0"/>
          <w:sz w:val="22"/>
        </w:rPr>
        <w:t xml:space="preserve"> — xác định mức rủi ro nền theo kênh giao dịch.</w:t>
      </w:r>
    </w:p>
    <w:p>
      <w:pPr>
        <w:pStyle w:val="ListBullet"/>
        <w:spacing w:before="40" w:after="40" w:line="276" w:lineRule="auto"/>
        <w:ind w:left="360"/>
      </w:pPr>
      <w:r>
        <w:rPr>
          <w:rFonts w:ascii="Times New Roman" w:hAnsi="Times New Roman"/>
          <w:b/>
          <w:i w:val="0"/>
          <w:sz w:val="22"/>
        </w:rPr>
        <w:t>Công thức đo lường:</w:t>
      </w:r>
      <w:r>
        <w:rPr>
          <w:rFonts w:ascii="Times New Roman" w:hAnsi="Times New Roman"/>
          <w:b w:val="0"/>
          <w:i w:val="0"/>
          <w:sz w:val="22"/>
        </w:rPr>
        <w:t xml:space="preserve"> Target encoding / Label encoding.</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 xml:space="preserve">Giao dịch "Transfer Outside Bank" luôn rủi ro hơn vì tiền bẩn khi đã rời khỏi hệ thống ngân hàng gốc là cực kỳ khó thu hồi (irreversible). Kết quả thực tế xác nhận: </w:t>
      </w:r>
      <w:r>
        <w:rPr>
          <w:rFonts w:ascii="Times New Roman" w:hAnsi="Times New Roman"/>
          <w:b/>
          <w:i w:val="0"/>
          <w:sz w:val="22"/>
        </w:rPr>
        <w:t>57.85%</w:t>
      </w:r>
      <w:r>
        <w:rPr>
          <w:rFonts w:ascii="Times New Roman" w:hAnsi="Times New Roman"/>
          <w:b w:val="0"/>
          <w:i w:val="0"/>
          <w:sz w:val="22"/>
        </w:rPr>
        <w:t xml:space="preserve"> cảnh báo là Transfer Outside Bank — đúng nhóm giao dịch rủi ro cao nhất.</w:t>
      </w:r>
    </w:p>
    <w:p>
      <w:pPr>
        <w:pStyle w:val="ListBullet"/>
        <w:spacing w:before="40" w:after="40" w:line="276" w:lineRule="auto"/>
        <w:ind w:left="720"/>
      </w:pPr>
      <w:r>
        <w:rPr>
          <w:rFonts w:ascii="Times New Roman" w:hAnsi="Times New Roman"/>
          <w:b w:val="0"/>
          <w:i w:val="0"/>
          <w:sz w:val="22"/>
        </w:rPr>
        <w:t>Mô hình sử dụng TRANS</w:t>
      </w:r>
      <w:r>
        <w:rPr>
          <w:rFonts w:ascii="Times New Roman" w:hAnsi="Times New Roman"/>
          <w:b w:val="0"/>
          <w:i w:val="0"/>
          <w:sz w:val="22"/>
        </w:rPr>
        <w:t>LV1 và TRANS</w:t>
      </w:r>
      <w:r>
        <w:rPr>
          <w:rFonts w:ascii="Times New Roman" w:hAnsi="Times New Roman"/>
          <w:b w:val="0"/>
          <w:i w:val="0"/>
          <w:sz w:val="22"/>
        </w:rPr>
        <w:t>LV2 để tự động siết chặt ngưỡng cảnh báo cho các kênh giao dịch rủi ro cao, đồng thời nới lỏng cho các kênh rủi ro thấp (ví dụ: nạp tiền điện thoại).</w:t>
      </w:r>
    </w:p>
    <w:p>
      <w:pPr>
        <w:keepNext/>
        <w:spacing w:before="160" w:after="80"/>
      </w:pPr>
      <w:r>
        <w:rPr>
          <w:rFonts w:ascii="Times New Roman" w:hAnsi="Times New Roman"/>
          <w:b/>
          <w:i w:val="0"/>
          <w:color w:val="2C3E50"/>
          <w:sz w:val="22"/>
        </w:rPr>
        <w:t>CUSTOMER_AGE &amp; TENURE_DAYS</w:t>
      </w:r>
    </w:p>
    <w:p>
      <w:pPr>
        <w:pStyle w:val="ListBullet"/>
        <w:spacing w:before="40" w:after="40" w:line="276" w:lineRule="auto"/>
        <w:ind w:left="360"/>
      </w:pPr>
      <w:r>
        <w:rPr>
          <w:rFonts w:ascii="Times New Roman" w:hAnsi="Times New Roman"/>
          <w:b/>
          <w:i w:val="0"/>
          <w:sz w:val="22"/>
        </w:rPr>
        <w:t>Concept:</w:t>
      </w:r>
      <w:r>
        <w:rPr>
          <w:rFonts w:ascii="Times New Roman" w:hAnsi="Times New Roman"/>
          <w:b w:val="0"/>
          <w:i w:val="0"/>
          <w:sz w:val="22"/>
        </w:rPr>
        <w:t xml:space="preserve"> </w:t>
      </w:r>
      <w:r>
        <w:rPr>
          <w:rFonts w:ascii="Times New Roman" w:hAnsi="Times New Roman"/>
          <w:b w:val="0"/>
          <w:i w:val="0"/>
          <w:color w:val="C7254E"/>
          <w:sz w:val="20"/>
        </w:rPr>
        <w:t>CUSTOMER_AGE</w:t>
      </w:r>
      <w:r>
        <w:rPr>
          <w:rFonts w:ascii="Times New Roman" w:hAnsi="Times New Roman"/>
          <w:b w:val="0"/>
          <w:i w:val="0"/>
          <w:sz w:val="22"/>
        </w:rPr>
        <w:t xml:space="preserve"> là tuổi của khách hàng tại thời điểm giao dịch. </w:t>
      </w:r>
      <w:r>
        <w:rPr>
          <w:rFonts w:ascii="Times New Roman" w:hAnsi="Times New Roman"/>
          <w:b w:val="0"/>
          <w:i w:val="0"/>
          <w:color w:val="C7254E"/>
          <w:sz w:val="20"/>
        </w:rPr>
        <w:t>TENURE_DAYS</w:t>
      </w:r>
      <w:r>
        <w:rPr>
          <w:rFonts w:ascii="Times New Roman" w:hAnsi="Times New Roman"/>
          <w:b w:val="0"/>
          <w:i w:val="0"/>
          <w:sz w:val="22"/>
        </w:rPr>
        <w:t xml:space="preserve"> là số ngày kể từ khi tạo tài khoản. Cả hai đóng vai trò </w:t>
      </w:r>
      <w:r>
        <w:rPr>
          <w:rFonts w:ascii="Times New Roman" w:hAnsi="Times New Roman"/>
          <w:b/>
          <w:i w:val="0"/>
          <w:sz w:val="22"/>
        </w:rPr>
        <w:t>biến kiểm soát</w:t>
      </w:r>
      <w:r>
        <w:rPr>
          <w:rFonts w:ascii="Times New Roman" w:hAnsi="Times New Roman"/>
          <w:b w:val="0"/>
          <w:i w:val="0"/>
          <w:sz w:val="22"/>
        </w:rPr>
        <w:t xml:space="preserve"> bổ trợ cho nhóm nhân khẩu.</w:t>
      </w:r>
    </w:p>
    <w:p>
      <w:pPr>
        <w:pStyle w:val="ListBullet"/>
        <w:spacing w:before="40" w:after="40" w:line="276" w:lineRule="auto"/>
        <w:ind w:left="360"/>
      </w:pPr>
      <w:r>
        <w:rPr>
          <w:rFonts w:ascii="Times New Roman" w:hAnsi="Times New Roman"/>
          <w:b/>
          <w:i w:val="0"/>
          <w:sz w:val="22"/>
        </w:rPr>
        <w:t>Công thức đo lường:</w:t>
      </w:r>
    </w:p>
    <w:p>
      <w:pPr>
        <w:spacing w:before="120" w:after="120"/>
        <w:jc w:val="center"/>
      </w:pPr>
      <w:r>
        <w:rPr>
          <w:rFonts w:ascii="Times New Roman" w:hAnsi="Times New Roman"/>
          <w:b w:val="0"/>
          <w:i/>
          <w:color w:val="2C3E50"/>
          <w:sz w:val="22"/>
        </w:rPr>
        <w:t>\text{CUSTOMER\_AGE} = \text{year}(t_{\text{tx}}) - \text{year}(\text{DATE\_OF\_BIRTH})</w:t>
      </w:r>
    </w:p>
    <w:p>
      <w:pPr>
        <w:spacing w:before="120" w:after="120"/>
        <w:jc w:val="center"/>
      </w:pPr>
      <w:r>
        <w:rPr>
          <w:rFonts w:ascii="Times New Roman" w:hAnsi="Times New Roman"/>
          <w:b w:val="0"/>
          <w:i/>
          <w:color w:val="2C3E50"/>
          <w:sz w:val="22"/>
        </w:rPr>
        <w:t>\text{TENURE\_DAYS} = t_{\text{tx}} - t_{\text{account\_creation}} \quad \text{(days)}</w:t>
      </w:r>
    </w:p>
    <w:p>
      <w:pPr>
        <w:pStyle w:val="ListBullet"/>
        <w:spacing w:before="40" w:after="40" w:line="276" w:lineRule="auto"/>
        <w:ind w:left="360"/>
      </w:pPr>
      <w:r>
        <w:rPr>
          <w:rFonts w:ascii="Times New Roman" w:hAnsi="Times New Roman"/>
          <w:b/>
          <w:i w:val="0"/>
          <w:sz w:val="22"/>
        </w:rPr>
        <w:t>Lý do chọn feature:</w:t>
      </w:r>
    </w:p>
    <w:p>
      <w:pPr>
        <w:pStyle w:val="ListBullet"/>
        <w:spacing w:before="40" w:after="40" w:line="276" w:lineRule="auto"/>
        <w:ind w:left="720"/>
      </w:pPr>
      <w:r>
        <w:rPr>
          <w:rFonts w:ascii="Times New Roman" w:hAnsi="Times New Roman"/>
          <w:b w:val="0"/>
          <w:i w:val="0"/>
          <w:sz w:val="22"/>
        </w:rPr>
        <w:t>Tài khoản mới mở (tenure thấp) kết hợp giao dịch lớn là dấu hiệu rủi ro cao: tội phạm thường mở hoặc mua tài khoản mới, sử dụng ngay trong 30 ngày đầu rồi bỏ. Feature TENURE</w:t>
      </w:r>
      <w:r>
        <w:rPr>
          <w:rFonts w:ascii="Times New Roman" w:hAnsi="Times New Roman"/>
          <w:b w:val="0"/>
          <w:i w:val="0"/>
          <w:sz w:val="22"/>
        </w:rPr>
        <w:t>DAYS giúp mô hình nhận diện pattern này.</w:t>
      </w:r>
    </w:p>
    <w:p>
      <w:pPr>
        <w:pStyle w:val="ListBullet"/>
        <w:spacing w:before="40" w:after="40" w:line="276" w:lineRule="auto"/>
        <w:ind w:left="720"/>
      </w:pPr>
      <w:r>
        <w:rPr>
          <w:rFonts w:ascii="Times New Roman" w:hAnsi="Times New Roman"/>
          <w:b w:val="0"/>
          <w:i w:val="0"/>
          <w:sz w:val="22"/>
        </w:rPr>
        <w:t>CUSTOMER</w:t>
      </w:r>
      <w:r>
        <w:rPr>
          <w:rFonts w:ascii="Times New Roman" w:hAnsi="Times New Roman"/>
          <w:b w:val="0"/>
          <w:i w:val="0"/>
          <w:sz w:val="22"/>
        </w:rPr>
        <w:t>AGE bổ trợ AGE</w:t>
      </w:r>
      <w:r>
        <w:rPr>
          <w:rFonts w:ascii="Times New Roman" w:hAnsi="Times New Roman"/>
          <w:b w:val="0"/>
          <w:i w:val="0"/>
          <w:sz w:val="22"/>
        </w:rPr>
        <w:t>GROUP ở mức chi tiết hơn — cho phép XGBoost tạo split linh hoạt thay vì phụ thuộc vào 3 bucket cứng.</w:t>
      </w:r>
    </w:p>
    <w:p>
      <w:pPr>
        <w:spacing w:before="240" w:after="240"/>
        <w:pBdr>
          <w:bottom w:val="single" w:sz="8" w:space="4" w:color="D3D3D3"/>
        </w:pBdr>
      </w:pPr>
    </w:p>
    <w:p>
      <w:pPr>
        <w:keepNext/>
        <w:spacing w:before="280" w:after="120"/>
      </w:pPr>
      <w:r>
        <w:rPr>
          <w:rFonts w:ascii="Times New Roman" w:hAnsi="Times New Roman"/>
          <w:b/>
          <w:i w:val="0"/>
          <w:color w:val="2E75B5"/>
          <w:sz w:val="28"/>
        </w:rPr>
        <w:t>Tài liệu Tham khảo</w:t>
      </w:r>
    </w:p>
    <w:p>
      <w:pPr>
        <w:pStyle w:val="ListNumber"/>
        <w:spacing w:before="40" w:after="40" w:line="276" w:lineRule="auto"/>
        <w:ind w:left="360"/>
      </w:pPr>
      <w:r>
        <w:rPr>
          <w:rFonts w:ascii="Times New Roman" w:hAnsi="Times New Roman"/>
          <w:b w:val="0"/>
          <w:i w:val="0"/>
          <w:sz w:val="22"/>
        </w:rPr>
        <w:t>FATF (2023). "Money Laundering and Terrorist Financing Risks Arising from Virtual Assets." FATF Report.</w:t>
      </w:r>
    </w:p>
    <w:p>
      <w:pPr>
        <w:pStyle w:val="ListNumber"/>
        <w:spacing w:before="40" w:after="40" w:line="276" w:lineRule="auto"/>
        <w:ind w:left="360"/>
      </w:pPr>
      <w:r>
        <w:rPr>
          <w:rFonts w:ascii="Times New Roman" w:hAnsi="Times New Roman"/>
          <w:b w:val="0"/>
          <w:i w:val="0"/>
          <w:sz w:val="22"/>
        </w:rPr>
        <w:t>European Central Bank (2024). "Supervisory Review of Anti-Money Laundering and Counter-Terrorist Financing." ECB Banking Supervision.</w:t>
      </w:r>
    </w:p>
    <w:p>
      <w:pPr>
        <w:pStyle w:val="ListNumber"/>
        <w:spacing w:before="40" w:after="40" w:line="276" w:lineRule="auto"/>
        <w:ind w:left="360"/>
      </w:pPr>
      <w:r>
        <w:rPr>
          <w:rFonts w:ascii="Times New Roman" w:hAnsi="Times New Roman"/>
          <w:b w:val="0"/>
          <w:i w:val="0"/>
          <w:sz w:val="22"/>
        </w:rPr>
        <w:t>Basel Committee on Banking Supervision (2022). "Sound Practices: Implications of Fintech Developments for Banks and Bank Supervisors." BIS Publication.</w:t>
      </w:r>
    </w:p>
    <w:p>
      <w:pPr>
        <w:pStyle w:val="ListNumber"/>
        <w:spacing w:before="40" w:after="40" w:line="276" w:lineRule="auto"/>
        <w:ind w:left="360"/>
      </w:pPr>
      <w:r>
        <w:rPr>
          <w:rFonts w:ascii="Times New Roman" w:hAnsi="Times New Roman"/>
          <w:b w:val="0"/>
          <w:i w:val="0"/>
          <w:sz w:val="22"/>
        </w:rPr>
        <w:t>Ngân hàng Nhà nước Việt Nam (2020). Thông tư 09/2020/TT-NHNN về quy định phòng chống rửa tiền.</w:t>
      </w:r>
    </w:p>
    <w:p>
      <w:pPr>
        <w:pStyle w:val="ListNumber"/>
        <w:spacing w:before="40" w:after="40" w:line="276" w:lineRule="auto"/>
        <w:ind w:left="360"/>
      </w:pPr>
      <w:r>
        <w:rPr>
          <w:rFonts w:ascii="Times New Roman" w:hAnsi="Times New Roman"/>
          <w:b w:val="0"/>
          <w:i w:val="0"/>
          <w:sz w:val="22"/>
        </w:rPr>
        <w:t>Ngân hàng Nhà nước Việt Nam (2024). Thông tư 17/2024/TT-NHNN về xác thực sinh trắc học cho giao dịch trực tuyến.</w:t>
      </w:r>
    </w:p>
    <w:p>
      <w:pPr>
        <w:pStyle w:val="ListNumber"/>
        <w:spacing w:before="40" w:after="40" w:line="276" w:lineRule="auto"/>
        <w:ind w:left="360"/>
      </w:pPr>
      <w:r>
        <w:rPr>
          <w:rFonts w:ascii="Times New Roman" w:hAnsi="Times New Roman"/>
          <w:b w:val="0"/>
          <w:i w:val="0"/>
          <w:sz w:val="22"/>
        </w:rPr>
        <w:t>Europol (2023). "Serious and Organised Crime Threat Assessment (SOCTA)." Europol Publication.</w:t>
      </w:r>
    </w:p>
    <w:p>
      <w:pPr>
        <w:pStyle w:val="ListNumber"/>
        <w:spacing w:before="40" w:after="40" w:line="276" w:lineRule="auto"/>
        <w:ind w:left="360"/>
      </w:pPr>
      <w:r>
        <w:rPr>
          <w:rFonts w:ascii="Times New Roman" w:hAnsi="Times New Roman"/>
          <w:b w:val="0"/>
          <w:i w:val="0"/>
          <w:sz w:val="22"/>
        </w:rPr>
        <w:t>Akoglu, L., Tong, H., &amp; Koutra, D. (2015). "Graph-based Anomaly Detection and Description: A Survey." Data Mining and Knowledge Discovery.</w:t>
      </w:r>
    </w:p>
    <w:p>
      <w:pPr>
        <w:pStyle w:val="ListNumber"/>
        <w:spacing w:before="40" w:after="40" w:line="276" w:lineRule="auto"/>
        <w:ind w:left="360"/>
      </w:pPr>
      <w:r>
        <w:rPr>
          <w:rFonts w:ascii="Times New Roman" w:hAnsi="Times New Roman"/>
          <w:b w:val="0"/>
          <w:i w:val="0"/>
          <w:sz w:val="22"/>
        </w:rPr>
        <w:t>Bolton, R. J., &amp; Hand, D. J. (2002). "Statistical Fraud Detection: A Review." Statistical Science, 17(3), 235-249.</w:t>
      </w:r>
    </w:p>
    <w:p>
      <w:pPr>
        <w:pStyle w:val="ListNumber"/>
        <w:spacing w:before="40" w:after="40" w:line="276" w:lineRule="auto"/>
        <w:ind w:left="360"/>
      </w:pPr>
      <w:r>
        <w:rPr>
          <w:rFonts w:ascii="Times New Roman" w:hAnsi="Times New Roman"/>
          <w:b w:val="0"/>
          <w:i w:val="0"/>
          <w:sz w:val="22"/>
        </w:rPr>
        <w:t>Nigrini, M. J. (2012). "Benford's Law: Applications for Forensic Accounting, Auditing, and Fraud Detection." Wiley.</w:t>
      </w:r>
    </w:p>
    <w:p>
      <w:pPr>
        <w:pStyle w:val="ListNumber"/>
        <w:spacing w:before="40" w:after="40" w:line="276" w:lineRule="auto"/>
        <w:ind w:left="360"/>
      </w:pPr>
      <w:r>
        <w:rPr>
          <w:rFonts w:ascii="Times New Roman" w:hAnsi="Times New Roman"/>
          <w:b w:val="0"/>
          <w:i w:val="0"/>
          <w:sz w:val="22"/>
        </w:rPr>
        <w:t>Chandola, V., Banerjee, A., &amp; Kumar, V. (2009). "Anomaly Detection: A Survey." ACM Computing Surveys, 41(3), 1-58.</w:t>
      </w:r>
    </w:p>
    <w:p>
      <w:pPr>
        <w:pStyle w:val="ListNumber"/>
        <w:spacing w:before="40" w:after="40" w:line="276" w:lineRule="auto"/>
        <w:ind w:left="360"/>
      </w:pPr>
      <w:r>
        <w:rPr>
          <w:rFonts w:ascii="Times New Roman" w:hAnsi="Times New Roman"/>
          <w:b w:val="0"/>
          <w:i w:val="0"/>
          <w:sz w:val="22"/>
        </w:rPr>
        <w:t>Deloitte (2023). "Fighting Financial Crime with AI: From Detection to Prevention." Deloitte Insights.</w:t>
      </w:r>
    </w:p>
    <w:p>
      <w:pPr>
        <w:pStyle w:val="ListNumber"/>
        <w:spacing w:before="40" w:after="40" w:line="276" w:lineRule="auto"/>
        <w:ind w:left="360"/>
      </w:pPr>
      <w:r>
        <w:rPr>
          <w:rFonts w:ascii="Times New Roman" w:hAnsi="Times New Roman"/>
          <w:b w:val="0"/>
          <w:i w:val="0"/>
          <w:sz w:val="22"/>
        </w:rPr>
        <w:t>PwC (2024). "Global Economic Crime and Fraud Survey." PwC Publication.</w:t>
      </w:r>
    </w:p>
    <w:p>
      <w:pPr>
        <w:pStyle w:val="ListNumber"/>
        <w:spacing w:before="40" w:after="40" w:line="276" w:lineRule="auto"/>
        <w:ind w:left="360"/>
      </w:pPr>
      <w:r>
        <w:rPr>
          <w:rFonts w:ascii="Times New Roman" w:hAnsi="Times New Roman"/>
          <w:b w:val="0"/>
          <w:i w:val="0"/>
          <w:sz w:val="22"/>
        </w:rPr>
        <w:t>Javelin Strategy &amp; Research (2023). "Identity Fraud Study: The Virtual Battleground." Javelin.</w:t>
      </w:r>
    </w:p>
    <w:p>
      <w:pPr>
        <w:pStyle w:val="ListNumber"/>
        <w:spacing w:before="40" w:after="40" w:line="276" w:lineRule="auto"/>
        <w:ind w:left="360"/>
      </w:pPr>
      <w:r>
        <w:rPr>
          <w:rFonts w:ascii="Times New Roman" w:hAnsi="Times New Roman"/>
          <w:b w:val="0"/>
          <w:i w:val="0"/>
          <w:sz w:val="22"/>
        </w:rPr>
        <w:t>Elkan, C. &amp; Noto, K. (2008). "Learning Classifiers from Only Positive and Unlabeled Data." KDD.</w:t>
      </w:r>
    </w:p>
    <w:p>
      <w:pPr>
        <w:pStyle w:val="ListNumber"/>
        <w:spacing w:before="40" w:after="40" w:line="276" w:lineRule="auto"/>
        <w:ind w:left="360"/>
      </w:pPr>
      <w:r>
        <w:rPr>
          <w:rFonts w:ascii="Times New Roman" w:hAnsi="Times New Roman"/>
          <w:b w:val="0"/>
          <w:i w:val="0"/>
          <w:sz w:val="22"/>
        </w:rPr>
        <w:t>Kirkpatrick, J. et al. (2017). "Overcoming Catastrophic Forgetting in Neural Networks." PNAS.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