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04_feature_selection.R</w:t>
      </w:r>
    </w:p>
    <w:p>
      <w:pPr>
        <w:spacing w:after="160"/>
      </w:pPr>
    </w:p>
    <w:p>
      <w:pPr>
        <w:spacing w:after="160"/>
      </w:pPr>
      <w:r>
        <w:rPr>
          <w:rFonts w:ascii="Arial" w:cs="Arial" w:eastAsia="Arial" w:hAnsi="Arial"/>
          <w:b/>
          <w:bCs/>
          <w:sz w:val="22"/>
          <w:szCs w:val="22"/>
        </w:rPr>
        <w:t xml:space="preserve">Purpose</w:t>
      </w:r>
    </w:p>
    <w:p>
      <w:pPr>
        <w:spacing w:after="160"/>
      </w:pPr>
      <w:r>
        <w:rPr>
          <w:rFonts w:ascii="Arial" w:cs="Arial" w:eastAsia="Arial" w:hAnsi="Arial"/>
          <w:sz w:val="22"/>
          <w:szCs w:val="22"/>
        </w:rPr>
        <w:t xml:space="preserve">Bootstrap ElasticNet stability selection to find minimal gene signatures for each PAM50 subtype. Answers: which genes robustly distinguish this subtype from all other tumors across many simulated cohorts?</w:t>
      </w:r>
    </w:p>
    <w:p>
      <w:pPr>
        <w:spacing w:after="160"/>
      </w:pPr>
    </w:p>
    <w:p>
      <w:pPr>
        <w:spacing w:after="160"/>
      </w:pPr>
      <w:r>
        <w:rPr>
          <w:rFonts w:ascii="Arial" w:cs="Arial" w:eastAsia="Arial" w:hAnsi="Arial"/>
          <w:b/>
          <w:bCs/>
          <w:sz w:val="22"/>
          <w:szCs w:val="22"/>
        </w:rPr>
        <w:t xml:space="preserve">Produces</w:t>
      </w:r>
    </w:p>
    <w:p>
      <w:pPr>
        <w:spacing w:after="160"/>
      </w:pPr>
      <w:r>
        <w:rPr>
          <w:rFonts w:ascii="Arial" w:cs="Arial" w:eastAsia="Arial" w:hAnsi="Arial"/>
          <w:sz w:val="22"/>
          <w:szCs w:val="22"/>
        </w:rPr>
        <w:t xml:space="preserve">4 CSV files in results/tables/signatures/ — LumA_signature.csv, LumB_signature.csv, Her2_signature.csv, Basal_signature.csv</w:t>
      </w:r>
    </w:p>
    <w:p>
      <w:pPr>
        <w:spacing w:after="160"/>
      </w:pPr>
      <w:r>
        <w:rPr>
          <w:rFonts w:ascii="Arial" w:cs="Arial" w:eastAsia="Arial" w:hAnsi="Arial"/>
          <w:sz w:val="22"/>
          <w:szCs w:val="22"/>
        </w:rPr>
        <w:t xml:space="preserve">Columns: gene, selection_frequency, mean_coef</w:t>
      </w:r>
    </w:p>
    <w:p>
      <w:pPr>
        <w:spacing w:after="160"/>
      </w:pPr>
      <w:r>
        <w:rPr>
          <w:rFonts w:ascii="Arial" w:cs="Arial" w:eastAsia="Arial" w:hAnsi="Arial"/>
          <w:sz w:val="22"/>
          <w:szCs w:val="22"/>
        </w:rPr>
        <w:t xml:space="preserve">Final counts: LumA 30 genes, LumB 27, Her2 36, Basal 34</w:t>
      </w:r>
    </w:p>
    <w:p>
      <w:pPr>
        <w:spacing w:after="160"/>
      </w:pPr>
    </w:p>
    <w:p>
      <w:pPr>
        <w:spacing w:after="160"/>
      </w:pPr>
      <w:r>
        <w:rPr>
          <w:rFonts w:ascii="Arial" w:cs="Arial" w:eastAsia="Arial" w:hAnsi="Arial"/>
          <w:b/>
          <w:bCs/>
          <w:sz w:val="22"/>
          <w:szCs w:val="22"/>
        </w:rPr>
        <w:t xml:space="preserve">Key constants</w:t>
      </w:r>
    </w:p>
    <w:p>
      <w:pPr>
        <w:spacing w:after="100"/>
      </w:pPr>
      <w:r>
        <w:rPr>
          <w:rFonts w:ascii="Courier New" w:cs="Courier New" w:eastAsia="Courier New" w:hAnsi="Courier New"/>
          <w:sz w:val="18"/>
          <w:szCs w:val="18"/>
        </w:rPr>
        <w:t xml:space="preserve">ALPHA        &lt;- 0.5     # ElasticNet (0=Ridge, 1=Lasso)</w:t>
      </w:r>
    </w:p>
    <w:p>
      <w:pPr>
        <w:spacing w:after="100"/>
      </w:pPr>
      <w:r>
        <w:rPr>
          <w:rFonts w:ascii="Courier New" w:cs="Courier New" w:eastAsia="Courier New" w:hAnsi="Courier New"/>
          <w:sz w:val="18"/>
          <w:szCs w:val="18"/>
        </w:rPr>
        <w:t xml:space="preserve">N_FOLDS      &lt;- 10L     # cross-validation folds</w:t>
      </w:r>
    </w:p>
    <w:p>
      <w:pPr>
        <w:spacing w:after="100"/>
      </w:pPr>
      <w:r>
        <w:rPr>
          <w:rFonts w:ascii="Courier New" w:cs="Courier New" w:eastAsia="Courier New" w:hAnsi="Courier New"/>
          <w:sz w:val="18"/>
          <w:szCs w:val="18"/>
        </w:rPr>
        <w:t xml:space="preserve">N_BOOT       &lt;- 100L    # bootstrap iterations</w:t>
      </w:r>
    </w:p>
    <w:p>
      <w:pPr>
        <w:spacing w:after="100"/>
      </w:pPr>
      <w:r>
        <w:rPr>
          <w:rFonts w:ascii="Courier New" w:cs="Courier New" w:eastAsia="Courier New" w:hAnsi="Courier New"/>
          <w:sz w:val="18"/>
          <w:szCs w:val="18"/>
        </w:rPr>
        <w:t xml:space="preserve">FREQ_CUTOFF  &lt;- 0.80    # selection frequency threshold</w:t>
      </w:r>
    </w:p>
    <w:p>
      <w:pPr>
        <w:spacing w:after="160"/>
      </w:pPr>
    </w:p>
    <w:p>
      <w:pPr>
        <w:spacing w:after="160"/>
      </w:pPr>
      <w:r>
        <w:rPr>
          <w:rFonts w:ascii="Arial" w:cs="Arial" w:eastAsia="Arial" w:hAnsi="Arial"/>
          <w:b/>
          <w:bCs/>
          <w:sz w:val="22"/>
          <w:szCs w:val="22"/>
        </w:rPr>
        <w:t xml:space="preserve">Why 0.80?</w:t>
      </w:r>
    </w:p>
    <w:p>
      <w:pPr>
        <w:spacing w:after="160"/>
      </w:pPr>
      <w:r>
        <w:rPr>
          <w:rFonts w:ascii="Arial" w:cs="Arial" w:eastAsia="Arial" w:hAnsi="Arial"/>
          <w:sz w:val="22"/>
          <w:szCs w:val="22"/>
        </w:rPr>
        <w:t xml:space="preserve">Based on Meinshausen &amp; Buhlmann (2010), who derive 0.80 as the principled threshold for controlling false positives in stability selection. Applied uniformly across all subtypes — methodologically cleaner for a thesis defense than mixed thresholds.</w:t>
      </w:r>
    </w:p>
    <w:p>
      <w:pPr>
        <w:spacing w:after="160"/>
      </w:pPr>
    </w:p>
    <w:p>
      <w:pPr>
        <w:spacing w:after="160"/>
      </w:pPr>
      <w:r>
        <w:rPr>
          <w:rFonts w:ascii="Arial" w:cs="Arial" w:eastAsia="Arial" w:hAnsi="Arial"/>
          <w:b/>
          <w:bCs/>
          <w:sz w:val="22"/>
          <w:szCs w:val="22"/>
        </w:rPr>
        <w:t xml:space="preserve">Step 1 — initial cv.glmnet</w:t>
      </w:r>
    </w:p>
    <w:p>
      <w:pPr>
        <w:spacing w:after="160"/>
      </w:pPr>
      <w:r>
        <w:rPr>
          <w:rFonts w:ascii="Arial" w:cs="Arial" w:eastAsia="Arial" w:hAnsi="Arial"/>
          <w:sz w:val="22"/>
          <w:szCs w:val="22"/>
        </w:rPr>
        <w:t xml:space="preserve">cv.glmnet runs once on all 28,344 genes with 10-fold cross-validation to find lambda.1se. This is the only expensive call.</w:t>
      </w:r>
    </w:p>
    <w:p>
      <w:pPr>
        <w:spacing w:after="160"/>
      </w:pPr>
    </w:p>
    <w:p>
      <w:pPr>
        <w:spacing w:after="160"/>
      </w:pPr>
      <w:r>
        <w:rPr>
          <w:rFonts w:ascii="Arial" w:cs="Arial" w:eastAsia="Arial" w:hAnsi="Arial"/>
          <w:b/>
          <w:bCs/>
          <w:sz w:val="22"/>
          <w:szCs w:val="22"/>
        </w:rPr>
        <w:t xml:space="preserve">Step 2 — reduce feature space</w:t>
      </w:r>
    </w:p>
    <w:p>
      <w:pPr>
        <w:spacing w:after="160"/>
      </w:pPr>
      <w:r>
        <w:rPr>
          <w:rFonts w:ascii="Arial" w:cs="Arial" w:eastAsia="Arial" w:hAnsi="Arial"/>
          <w:sz w:val="22"/>
          <w:szCs w:val="22"/>
        </w:rPr>
        <w:t xml:space="preserve">Reduces from 28,344 genes to ~100-300 by keeping only genes active at lambda.min (guaranteed superset of lambda.1se genes, so no signal is lost). Uses direct beta matrix access:</w:t>
      </w:r>
    </w:p>
    <w:p>
      <w:pPr>
        <w:spacing w:after="100"/>
      </w:pPr>
      <w:r>
        <w:rPr>
          <w:rFonts w:ascii="Courier New" w:cs="Courier New" w:eastAsia="Courier New" w:hAnsi="Courier New"/>
          <w:sz w:val="18"/>
          <w:szCs w:val="18"/>
        </w:rPr>
        <w:t xml:space="preserve">lmin_idx     &lt;- which.min(abs(cv_fit$lambda - cv_fit$lambda.min))</w:t>
      </w:r>
    </w:p>
    <w:p>
      <w:pPr>
        <w:spacing w:after="100"/>
      </w:pPr>
      <w:r>
        <w:rPr>
          <w:rFonts w:ascii="Courier New" w:cs="Courier New" w:eastAsia="Courier New" w:hAnsi="Courier New"/>
          <w:sz w:val="18"/>
          <w:szCs w:val="18"/>
        </w:rPr>
        <w:t xml:space="preserve">beta_min_col &lt;- cv_fit$glmnet.fit$beta[, lmin_idx]</w:t>
      </w:r>
    </w:p>
    <w:p>
      <w:pPr>
        <w:spacing w:after="100"/>
      </w:pPr>
      <w:r>
        <w:rPr>
          <w:rFonts w:ascii="Courier New" w:cs="Courier New" w:eastAsia="Courier New" w:hAnsi="Courier New"/>
          <w:sz w:val="18"/>
          <w:szCs w:val="18"/>
        </w:rPr>
        <w:t xml:space="preserve">active_genes &lt;- rownames(cv_fit$glmnet.fit$beta)[beta_min_col != 0]</w:t>
      </w:r>
    </w:p>
    <w:p>
      <w:pPr>
        <w:spacing w:after="160"/>
      </w:pPr>
      <w:r>
        <w:rPr>
          <w:rFonts w:ascii="Arial" w:cs="Arial" w:eastAsia="Arial" w:hAnsi="Arial"/>
          <w:sz w:val="22"/>
          <w:szCs w:val="22"/>
        </w:rPr>
        <w:t xml:space="preserve">Important: as.numeric(coef(cv_fit, s="lambda.min")) was found to return all zeros for sparse dgCMatrix objects — always use the direct beta matrix indexing above, never coef().</w:t>
      </w:r>
    </w:p>
    <w:p>
      <w:pPr>
        <w:spacing w:after="160"/>
      </w:pPr>
    </w:p>
    <w:p>
      <w:pPr>
        <w:spacing w:after="160"/>
      </w:pPr>
      <w:r>
        <w:rPr>
          <w:rFonts w:ascii="Arial" w:cs="Arial" w:eastAsia="Arial" w:hAnsi="Arial"/>
          <w:b/>
          <w:bCs/>
          <w:sz w:val="22"/>
          <w:szCs w:val="22"/>
        </w:rPr>
        <w:t xml:space="preserve">Step 3 — 100 bootstrap iterations</w:t>
      </w:r>
    </w:p>
    <w:p>
      <w:pPr>
        <w:spacing w:after="160"/>
      </w:pPr>
      <w:r>
        <w:rPr>
          <w:rFonts w:ascii="Arial" w:cs="Arial" w:eastAsia="Arial" w:hAnsi="Arial"/>
          <w:sz w:val="22"/>
          <w:szCs w:val="22"/>
        </w:rPr>
        <w:t xml:space="preserve">Each iteration: sample with replacement, fit glmnet at fixed lambda.1se on the reduced feature space, record which genes had non-zero coefficients. selection_frequency = fraction of 100 runs where the gene was selected. mean_coef captures average effect direction and magnitude.</w:t>
      </w:r>
    </w:p>
    <w:p>
      <w:pPr>
        <w:spacing w:after="160"/>
      </w:pPr>
    </w:p>
    <w:p>
      <w:pPr>
        <w:spacing w:after="160"/>
      </w:pPr>
      <w:r>
        <w:rPr>
          <w:rFonts w:ascii="Arial" w:cs="Arial" w:eastAsia="Arial" w:hAnsi="Arial"/>
          <w:b/>
          <w:bCs/>
          <w:sz w:val="22"/>
          <w:szCs w:val="22"/>
        </w:rPr>
        <w:t xml:space="preserve">Resume behavior</w:t>
      </w:r>
    </w:p>
    <w:p>
      <w:pPr>
        <w:spacing w:after="160"/>
      </w:pPr>
      <w:r>
        <w:rPr>
          <w:rFonts w:ascii="Arial" w:cs="Arial" w:eastAsia="Arial" w:hAnsi="Arial"/>
          <w:sz w:val="22"/>
          <w:szCs w:val="22"/>
        </w:rPr>
        <w:t xml:space="preserve">Script skips already-completed subtypes by checking if the output CSV exists. Partial runs can resume without re-running completed subtypes.</w:t>
      </w:r>
    </w:p>
    <w:p>
      <w:pPr>
        <w:spacing w:after="160"/>
      </w:pPr>
    </w:p>
    <w:p>
      <w:pPr>
        <w:spacing w:after="160"/>
      </w:pPr>
      <w:r>
        <w:rPr>
          <w:rFonts w:ascii="Arial" w:cs="Arial" w:eastAsia="Arial" w:hAnsi="Arial"/>
          <w:b/>
          <w:bCs/>
          <w:sz w:val="22"/>
          <w:szCs w:val="22"/>
        </w:rPr>
        <w:t xml:space="preserve">Why Her2 and Basal have broader signatures</w:t>
      </w:r>
    </w:p>
    <w:p>
      <w:pPr>
        <w:spacing w:after="160"/>
      </w:pPr>
      <w:r>
        <w:rPr>
          <w:rFonts w:ascii="Arial" w:cs="Arial" w:eastAsia="Arial" w:hAnsi="Arial"/>
          <w:sz w:val="22"/>
          <w:szCs w:val="22"/>
        </w:rPr>
        <w:t xml:space="preserve">Her2 has only 66 samples and Basal 139. Smaller positive class means the ElasticNet needs more genes to maintain discriminative power at the same lambda.1se, which produces slightly wider signatures. This is expected and not a bug.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2026-04-04T21:22:34.593Z</dcterms:created>
  <dcterms:modified xsi:type="dcterms:W3CDTF">2026-04-04T21:22:34.593Z</dcterms:modified>
</cp:coreProperties>
</file>

<file path=docProps/custom.xml><?xml version="1.0" encoding="utf-8"?>
<Properties xmlns="http://schemas.openxmlformats.org/officeDocument/2006/custom-properties" xmlns:vt="http://schemas.openxmlformats.org/officeDocument/2006/docPropsVTypes"/>
</file>