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CONFIDENTIAL FORENSIC EVALUATION</w:t>
      </w:r>
    </w:p>
    <w:p>
      <w:pPr>
        <w:spacing w:after="60"/>
        <w:jc w:val="center"/>
      </w:pPr>
      <w:r>
        <w:rPr>
          <w:b/>
          <w:bCs/>
          <w:sz w:val="24"/>
          <w:szCs w:val="24"/>
        </w:rPr>
        <w:t xml:space="preserve">COMPETENCY TO STAND TRIAL EVALUATION REPORT</w:t>
      </w:r>
    </w:p>
    <w:p>
      <w:pPr>
        <w:spacing w:after="240"/>
        <w:jc w:val="center"/>
      </w:pPr>
      <w:r>
        <w:rPr>
          <w:sz w:val="22"/>
          <w:szCs w:val="22"/>
        </w:rPr>
        <w:t xml:space="preserve">Prepared for [COURT NAME], [JURISDICTION]</w:t>
      </w:r>
    </w:p>
    <w:p>
      <w:pPr>
        <w:spacing w:after="120"/>
      </w:pPr>
      <w:r>
        <w:rPr>
          <w:i/>
          <w:iCs/>
          <w:color w:val="555555"/>
          <w:sz w:val="20"/>
          <w:szCs w:val="20"/>
        </w:rPr>
        <w:t xml:space="preserve">Sanitized template. Replace every bracketed placeholder with case-specific content, delete the italic guidance notes, and conform the legal standard citations to your jurisdiction before use. This template does not constitute legal advice.</w:t>
      </w:r>
    </w:p>
    <w:p>
      <w:pPr>
        <w:pStyle w:val="Heading1"/>
        <w:spacing w:after="120" w:before="320"/>
      </w:pPr>
      <w:r>
        <w:rPr>
          <w:b/>
          <w:bCs/>
        </w:rPr>
        <w:t xml:space="preserve">1. Identifying Information and Referral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4"/>
              <w:left w:val="single" w:color="BBBBBB" w:sz="4"/>
              <w:bottom w:val="single" w:color="BBBBBB" w:sz="4"/>
              <w:right w:val="single" w:color="BBBBBB" w:sz="4"/>
            </w:tcBorders>
          </w:tcPr>
          <w:p>
            <w:r>
              <w:rPr>
                <w:b/>
                <w:bCs/>
                <w:sz w:val="21"/>
                <w:szCs w:val="21"/>
              </w:rPr>
              <w:t xml:space="preserve">Defendant</w:t>
            </w:r>
          </w:p>
        </w:tc>
        <w:tc>
          <w:tcPr>
            <w:tcW w:type="dxa" w:w="6240"/>
            <w:tcBorders>
              <w:top w:val="single" w:color="BBBBBB" w:sz="4"/>
              <w:left w:val="single" w:color="BBBBBB" w:sz="4"/>
              <w:bottom w:val="single" w:color="BBBBBB" w:sz="4"/>
              <w:right w:val="single" w:color="BBBBBB" w:sz="4"/>
            </w:tcBorders>
          </w:tcPr>
          <w:p>
            <w:r>
              <w:rPr>
                <w:sz w:val="21"/>
                <w:szCs w:val="21"/>
              </w:rPr>
              <w:t xml:space="preserve">[FULL NAME]</w:t>
            </w:r>
          </w:p>
        </w:tc>
      </w:tr>
      <w:tr>
        <w:tc>
          <w:tcPr>
            <w:tcW w:type="dxa" w:w="3120"/>
            <w:tcBorders>
              <w:top w:val="single" w:color="BBBBBB" w:sz="4"/>
              <w:left w:val="single" w:color="BBBBBB" w:sz="4"/>
              <w:bottom w:val="single" w:color="BBBBBB" w:sz="4"/>
              <w:right w:val="single" w:color="BBBBBB" w:sz="4"/>
            </w:tcBorders>
          </w:tcPr>
          <w:p>
            <w:r>
              <w:rPr>
                <w:b/>
                <w:bCs/>
                <w:sz w:val="21"/>
                <w:szCs w:val="21"/>
              </w:rPr>
              <w:t xml:space="preserve">Date of birth / age</w:t>
            </w:r>
          </w:p>
        </w:tc>
        <w:tc>
          <w:tcPr>
            <w:tcW w:type="dxa" w:w="6240"/>
            <w:tcBorders>
              <w:top w:val="single" w:color="BBBBBB" w:sz="4"/>
              <w:left w:val="single" w:color="BBBBBB" w:sz="4"/>
              <w:bottom w:val="single" w:color="BBBBBB" w:sz="4"/>
              <w:right w:val="single" w:color="BBBBBB" w:sz="4"/>
            </w:tcBorders>
          </w:tcPr>
          <w:p>
            <w:r>
              <w:rPr>
                <w:sz w:val="21"/>
                <w:szCs w:val="21"/>
              </w:rPr>
              <w:t xml:space="preserve">[DOB] / [AGE]</w:t>
            </w:r>
          </w:p>
        </w:tc>
      </w:tr>
      <w:tr>
        <w:tc>
          <w:tcPr>
            <w:tcW w:type="dxa" w:w="3120"/>
            <w:tcBorders>
              <w:top w:val="single" w:color="BBBBBB" w:sz="4"/>
              <w:left w:val="single" w:color="BBBBBB" w:sz="4"/>
              <w:bottom w:val="single" w:color="BBBBBB" w:sz="4"/>
              <w:right w:val="single" w:color="BBBBBB" w:sz="4"/>
            </w:tcBorders>
          </w:tcPr>
          <w:p>
            <w:r>
              <w:rPr>
                <w:b/>
                <w:bCs/>
                <w:sz w:val="21"/>
                <w:szCs w:val="21"/>
              </w:rPr>
              <w:t xml:space="preserve">Case number</w:t>
            </w:r>
          </w:p>
        </w:tc>
        <w:tc>
          <w:tcPr>
            <w:tcW w:type="dxa" w:w="6240"/>
            <w:tcBorders>
              <w:top w:val="single" w:color="BBBBBB" w:sz="4"/>
              <w:left w:val="single" w:color="BBBBBB" w:sz="4"/>
              <w:bottom w:val="single" w:color="BBBBBB" w:sz="4"/>
              <w:right w:val="single" w:color="BBBBBB" w:sz="4"/>
            </w:tcBorders>
          </w:tcPr>
          <w:p>
            <w:r>
              <w:rPr>
                <w:sz w:val="21"/>
                <w:szCs w:val="21"/>
              </w:rPr>
              <w:t xml:space="preserve">[CASE NO.]</w:t>
            </w:r>
          </w:p>
        </w:tc>
      </w:tr>
      <w:tr>
        <w:tc>
          <w:tcPr>
            <w:tcW w:type="dxa" w:w="3120"/>
            <w:tcBorders>
              <w:top w:val="single" w:color="BBBBBB" w:sz="4"/>
              <w:left w:val="single" w:color="BBBBBB" w:sz="4"/>
              <w:bottom w:val="single" w:color="BBBBBB" w:sz="4"/>
              <w:right w:val="single" w:color="BBBBBB" w:sz="4"/>
            </w:tcBorders>
          </w:tcPr>
          <w:p>
            <w:r>
              <w:rPr>
                <w:b/>
                <w:bCs/>
                <w:sz w:val="21"/>
                <w:szCs w:val="21"/>
              </w:rPr>
              <w:t xml:space="preserve">Charges</w:t>
            </w:r>
          </w:p>
        </w:tc>
        <w:tc>
          <w:tcPr>
            <w:tcW w:type="dxa" w:w="6240"/>
            <w:tcBorders>
              <w:top w:val="single" w:color="BBBBBB" w:sz="4"/>
              <w:left w:val="single" w:color="BBBBBB" w:sz="4"/>
              <w:bottom w:val="single" w:color="BBBBBB" w:sz="4"/>
              <w:right w:val="single" w:color="BBBBBB" w:sz="4"/>
            </w:tcBorders>
          </w:tcPr>
          <w:p>
            <w:r>
              <w:rPr>
                <w:sz w:val="21"/>
                <w:szCs w:val="21"/>
              </w:rPr>
              <w:t xml:space="preserve">[CHARGES, WITH STATUTE CITATIONS]</w:t>
            </w:r>
          </w:p>
        </w:tc>
      </w:tr>
      <w:tr>
        <w:tc>
          <w:tcPr>
            <w:tcW w:type="dxa" w:w="3120"/>
            <w:tcBorders>
              <w:top w:val="single" w:color="BBBBBB" w:sz="4"/>
              <w:left w:val="single" w:color="BBBBBB" w:sz="4"/>
              <w:bottom w:val="single" w:color="BBBBBB" w:sz="4"/>
              <w:right w:val="single" w:color="BBBBBB" w:sz="4"/>
            </w:tcBorders>
          </w:tcPr>
          <w:p>
            <w:r>
              <w:rPr>
                <w:b/>
                <w:bCs/>
                <w:sz w:val="21"/>
                <w:szCs w:val="21"/>
              </w:rPr>
              <w:t xml:space="preserve">Referral source</w:t>
            </w:r>
          </w:p>
        </w:tc>
        <w:tc>
          <w:tcPr>
            <w:tcW w:type="dxa" w:w="6240"/>
            <w:tcBorders>
              <w:top w:val="single" w:color="BBBBBB" w:sz="4"/>
              <w:left w:val="single" w:color="BBBBBB" w:sz="4"/>
              <w:bottom w:val="single" w:color="BBBBBB" w:sz="4"/>
              <w:right w:val="single" w:color="BBBBBB" w:sz="4"/>
            </w:tcBorders>
          </w:tcPr>
          <w:p>
            <w:r>
              <w:rPr>
                <w:sz w:val="21"/>
                <w:szCs w:val="21"/>
              </w:rPr>
              <w:t xml:space="preserve">[COURT / JUDGE / ATTORNEY, ORDER DATE]</w:t>
            </w:r>
          </w:p>
        </w:tc>
      </w:tr>
      <w:tr>
        <w:tc>
          <w:tcPr>
            <w:tcW w:type="dxa" w:w="3120"/>
            <w:tcBorders>
              <w:top w:val="single" w:color="BBBBBB" w:sz="4"/>
              <w:left w:val="single" w:color="BBBBBB" w:sz="4"/>
              <w:bottom w:val="single" w:color="BBBBBB" w:sz="4"/>
              <w:right w:val="single" w:color="BBBBBB" w:sz="4"/>
            </w:tcBorders>
          </w:tcPr>
          <w:p>
            <w:r>
              <w:rPr>
                <w:b/>
                <w:bCs/>
                <w:sz w:val="21"/>
                <w:szCs w:val="21"/>
              </w:rPr>
              <w:t xml:space="preserve">Evaluator</w:t>
            </w:r>
          </w:p>
        </w:tc>
        <w:tc>
          <w:tcPr>
            <w:tcW w:type="dxa" w:w="6240"/>
            <w:tcBorders>
              <w:top w:val="single" w:color="BBBBBB" w:sz="4"/>
              <w:left w:val="single" w:color="BBBBBB" w:sz="4"/>
              <w:bottom w:val="single" w:color="BBBBBB" w:sz="4"/>
              <w:right w:val="single" w:color="BBBBBB" w:sz="4"/>
            </w:tcBorders>
          </w:tcPr>
          <w:p>
            <w:r>
              <w:rPr>
                <w:sz w:val="21"/>
                <w:szCs w:val="21"/>
              </w:rPr>
              <w:t xml:space="preserve">[NAME, DEGREE, LICENSE NO., BOARD CERTIFICATION]</w:t>
            </w:r>
          </w:p>
        </w:tc>
      </w:tr>
      <w:tr>
        <w:tc>
          <w:tcPr>
            <w:tcW w:type="dxa" w:w="3120"/>
            <w:tcBorders>
              <w:top w:val="single" w:color="BBBBBB" w:sz="4"/>
              <w:left w:val="single" w:color="BBBBBB" w:sz="4"/>
              <w:bottom w:val="single" w:color="BBBBBB" w:sz="4"/>
              <w:right w:val="single" w:color="BBBBBB" w:sz="4"/>
            </w:tcBorders>
          </w:tcPr>
          <w:p>
            <w:r>
              <w:rPr>
                <w:b/>
                <w:bCs/>
                <w:sz w:val="21"/>
                <w:szCs w:val="21"/>
              </w:rPr>
              <w:t xml:space="preserve">Evaluation dates</w:t>
            </w:r>
          </w:p>
        </w:tc>
        <w:tc>
          <w:tcPr>
            <w:tcW w:type="dxa" w:w="6240"/>
            <w:tcBorders>
              <w:top w:val="single" w:color="BBBBBB" w:sz="4"/>
              <w:left w:val="single" w:color="BBBBBB" w:sz="4"/>
              <w:bottom w:val="single" w:color="BBBBBB" w:sz="4"/>
              <w:right w:val="single" w:color="BBBBBB" w:sz="4"/>
            </w:tcBorders>
          </w:tcPr>
          <w:p>
            <w:r>
              <w:rPr>
                <w:sz w:val="21"/>
                <w:szCs w:val="21"/>
              </w:rPr>
              <w:t xml:space="preserve">[DATES AND LOCATIONS, TOTAL CONTACT HOURS]</w:t>
            </w:r>
          </w:p>
        </w:tc>
      </w:tr>
      <w:tr>
        <w:tc>
          <w:tcPr>
            <w:tcW w:type="dxa" w:w="3120"/>
            <w:tcBorders>
              <w:top w:val="single" w:color="BBBBBB" w:sz="4"/>
              <w:left w:val="single" w:color="BBBBBB" w:sz="4"/>
              <w:bottom w:val="single" w:color="BBBBBB" w:sz="4"/>
              <w:right w:val="single" w:color="BBBBBB" w:sz="4"/>
            </w:tcBorders>
          </w:tcPr>
          <w:p>
            <w:r>
              <w:rPr>
                <w:b/>
                <w:bCs/>
                <w:sz w:val="21"/>
                <w:szCs w:val="21"/>
              </w:rPr>
              <w:t xml:space="preserve">Report date</w:t>
            </w:r>
          </w:p>
        </w:tc>
        <w:tc>
          <w:tcPr>
            <w:tcW w:type="dxa" w:w="6240"/>
            <w:tcBorders>
              <w:top w:val="single" w:color="BBBBBB" w:sz="4"/>
              <w:left w:val="single" w:color="BBBBBB" w:sz="4"/>
              <w:bottom w:val="single" w:color="BBBBBB" w:sz="4"/>
              <w:right w:val="single" w:color="BBBBBB" w:sz="4"/>
            </w:tcBorders>
          </w:tcPr>
          <w:p>
            <w:r>
              <w:rPr>
                <w:sz w:val="21"/>
                <w:szCs w:val="21"/>
              </w:rPr>
              <w:t xml:space="preserve">[DATE]</w:t>
            </w:r>
          </w:p>
        </w:tc>
      </w:tr>
    </w:tbl>
    <w:p>
      <w:pPr>
        <w:spacing w:after="120"/>
      </w:pPr>
      <w:r>
        <w:t xml:space="preserve"/>
      </w:r>
    </w:p>
    <w:p>
      <w:pPr>
        <w:spacing w:after="120"/>
      </w:pPr>
      <w:r>
        <w:rPr>
          <w:i/>
          <w:iCs/>
          <w:color w:val="555555"/>
          <w:sz w:val="20"/>
          <w:szCs w:val="20"/>
        </w:rPr>
        <w:t xml:space="preserve">State the referral question exactly as posed in the court order, then the governing legal standard, e.g. Dusky v. United States, 362 U.S. 402 (1960), and the state statute equivalent.</w:t>
      </w:r>
    </w:p>
    <w:p>
      <w:pPr>
        <w:spacing w:after="120"/>
      </w:pPr>
      <w:r>
        <w:t xml:space="preserve">[REFERRAL QUESTION AND LEGAL STANDARD]</w:t>
      </w:r>
    </w:p>
    <w:p>
      <w:pPr>
        <w:pStyle w:val="Heading1"/>
        <w:spacing w:after="120" w:before="320"/>
      </w:pPr>
      <w:r>
        <w:rPr>
          <w:b/>
          <w:bCs/>
        </w:rPr>
        <w:t xml:space="preserve">2. Notification of Purpose and Limits of Confidentiality</w:t>
      </w:r>
    </w:p>
    <w:p>
      <w:pPr>
        <w:spacing w:after="120"/>
      </w:pPr>
      <w:r>
        <w:rPr>
          <w:i/>
          <w:iCs/>
          <w:color w:val="555555"/>
          <w:sz w:val="20"/>
          <w:szCs w:val="20"/>
        </w:rPr>
        <w:t xml:space="preserve">Document that the defendant was informed of the purpose of the evaluation, who will receive the report, the non-confidential nature of the interview, and the defendant's demonstrated understanding of the notification. Note counsel contact where applicable.</w:t>
      </w:r>
    </w:p>
    <w:p>
      <w:pPr>
        <w:spacing w:after="120"/>
      </w:pPr>
      <w:r>
        <w:t xml:space="preserve">[NOTIFICATION GIVEN, DEFENDANT RESPONSE, AND ASSESSMENT OF UNDERSTANDING]</w:t>
      </w:r>
    </w:p>
    <w:p>
      <w:pPr>
        <w:pStyle w:val="Heading1"/>
        <w:spacing w:after="120" w:before="320"/>
      </w:pPr>
      <w:r>
        <w:rPr>
          <w:b/>
          <w:bCs/>
        </w:rPr>
        <w:t xml:space="preserve">3. Sources of Information</w:t>
      </w:r>
    </w:p>
    <w:p>
      <w:pPr>
        <w:spacing w:after="120"/>
      </w:pPr>
      <w:r>
        <w:rPr>
          <w:i/>
          <w:iCs/>
          <w:color w:val="555555"/>
          <w:sz w:val="20"/>
          <w:szCs w:val="20"/>
        </w:rPr>
        <w:t xml:space="preserve">List every source relied upon with dates: interviews, records reviewed (legal, medical, psychiatric, educational, jail), collateral contacts, and all instruments administered with administration dates. A complete source list is the first thing opposing counsel checks.</w:t>
      </w:r>
    </w:p>
    <w:p>
      <w:pPr>
        <w:spacing w:after="120"/>
      </w:pPr>
      <w:r>
        <w:t xml:space="preserve">[NUMBERED LIST OF ALL SOURCES, RECORDS, INTERVIEWS, INSTRUMENTS, AND COLLATERAL CONTACTS]</w:t>
      </w:r>
    </w:p>
    <w:p>
      <w:pPr>
        <w:pStyle w:val="Heading1"/>
        <w:spacing w:after="120" w:before="320"/>
      </w:pPr>
      <w:r>
        <w:rPr>
          <w:b/>
          <w:bCs/>
        </w:rPr>
        <w:t xml:space="preserve">4. Relevant History</w:t>
      </w:r>
    </w:p>
    <w:p>
      <w:pPr>
        <w:spacing w:after="120"/>
      </w:pPr>
      <w:r>
        <w:rPr>
          <w:i/>
          <w:iCs/>
          <w:color w:val="555555"/>
          <w:sz w:val="20"/>
          <w:szCs w:val="20"/>
        </w:rPr>
        <w:t xml:space="preserve">Confine history to what bears on the competency question. This is not a general psychosocial evaluation.</w:t>
      </w:r>
    </w:p>
    <w:p>
      <w:pPr>
        <w:pStyle w:val="Heading2"/>
        <w:spacing w:after="100" w:before="240"/>
      </w:pPr>
      <w:r>
        <w:rPr>
          <w:b/>
          <w:bCs/>
        </w:rPr>
        <w:t xml:space="preserve">4.1 Psychiatric and treatment history</w:t>
      </w:r>
    </w:p>
    <w:p>
      <w:pPr>
        <w:spacing w:after="120"/>
      </w:pPr>
      <w:r>
        <w:t xml:space="preserve">[HISTORY]</w:t>
      </w:r>
    </w:p>
    <w:p>
      <w:pPr>
        <w:pStyle w:val="Heading2"/>
        <w:spacing w:after="100" w:before="240"/>
      </w:pPr>
      <w:r>
        <w:rPr>
          <w:b/>
          <w:bCs/>
        </w:rPr>
        <w:t xml:space="preserve">4.2 Medical history</w:t>
      </w:r>
    </w:p>
    <w:p>
      <w:pPr>
        <w:spacing w:after="120"/>
      </w:pPr>
      <w:r>
        <w:t xml:space="preserve">[HISTORY]</w:t>
      </w:r>
    </w:p>
    <w:p>
      <w:pPr>
        <w:pStyle w:val="Heading2"/>
        <w:spacing w:after="100" w:before="240"/>
      </w:pPr>
      <w:r>
        <w:rPr>
          <w:b/>
          <w:bCs/>
        </w:rPr>
        <w:t xml:space="preserve">4.3 Substance use history</w:t>
      </w:r>
    </w:p>
    <w:p>
      <w:pPr>
        <w:spacing w:after="120"/>
      </w:pPr>
      <w:r>
        <w:t xml:space="preserve">[HISTORY]</w:t>
      </w:r>
    </w:p>
    <w:p>
      <w:pPr>
        <w:pStyle w:val="Heading2"/>
        <w:spacing w:after="100" w:before="240"/>
      </w:pPr>
      <w:r>
        <w:rPr>
          <w:b/>
          <w:bCs/>
        </w:rPr>
        <w:t xml:space="preserve">4.4 Educational and cognitive history</w:t>
      </w:r>
    </w:p>
    <w:p>
      <w:pPr>
        <w:spacing w:after="120"/>
      </w:pPr>
      <w:r>
        <w:t xml:space="preserve">[HISTORY]</w:t>
      </w:r>
    </w:p>
    <w:p>
      <w:pPr>
        <w:pStyle w:val="Heading2"/>
        <w:spacing w:after="100" w:before="240"/>
      </w:pPr>
      <w:r>
        <w:rPr>
          <w:b/>
          <w:bCs/>
        </w:rPr>
        <w:t xml:space="preserve">4.5 Legal history, including prior competency findings</w:t>
      </w:r>
    </w:p>
    <w:p>
      <w:pPr>
        <w:spacing w:after="120"/>
      </w:pPr>
      <w:r>
        <w:t xml:space="preserve">[HISTORY]</w:t>
      </w:r>
    </w:p>
    <w:p>
      <w:pPr>
        <w:pStyle w:val="Heading1"/>
        <w:spacing w:after="120" w:before="320"/>
      </w:pPr>
      <w:r>
        <w:rPr>
          <w:b/>
          <w:bCs/>
        </w:rPr>
        <w:t xml:space="preserve">5. Behavioral Observations and Mental Status Examination</w:t>
      </w:r>
    </w:p>
    <w:p>
      <w:pPr>
        <w:spacing w:after="120"/>
      </w:pPr>
      <w:r>
        <w:rPr>
          <w:i/>
          <w:iCs/>
          <w:color w:val="555555"/>
          <w:sz w:val="20"/>
          <w:szCs w:val="20"/>
        </w:rPr>
        <w:t xml:space="preserve">Describe presentation, cooperation, and effort. Tie observations to their dates and settings. Address response style explicitly.</w:t>
      </w:r>
    </w:p>
    <w:p>
      <w:pPr>
        <w:spacing w:after="120"/>
      </w:pPr>
      <w:r>
        <w:t xml:space="preserve">[OBSERVATIONS AND MSE FINDINGS]</w:t>
      </w:r>
    </w:p>
    <w:p>
      <w:pPr>
        <w:pStyle w:val="Heading1"/>
        <w:spacing w:after="120" w:before="320"/>
      </w:pPr>
      <w:r>
        <w:rPr>
          <w:b/>
          <w:bCs/>
        </w:rPr>
        <w:t xml:space="preserve">6. Psychological Testing and Structured Assessment</w:t>
      </w:r>
    </w:p>
    <w:p>
      <w:pPr>
        <w:spacing w:after="120"/>
      </w:pPr>
      <w:r>
        <w:rPr>
          <w:i/>
          <w:iCs/>
          <w:color w:val="555555"/>
          <w:sz w:val="20"/>
          <w:szCs w:val="20"/>
        </w:rPr>
        <w:t xml:space="preserve">Report instruments, validity indicators, and results relevant to competency. Where a competency-specific instrument was used (e.g. ECST-R, MacCAT-CA, ILK), report domain results, not just totals. Address effort and response style findings (e.g. TOMM, SIRS-2/SIMS) before substantive findings.</w:t>
      </w:r>
    </w:p>
    <w:p>
      <w:pPr>
        <w:spacing w:after="120"/>
      </w:pPr>
      <w:r>
        <w:t xml:space="preserve">[INSTRUMENT RESULTS, VALIDITY STATEMENT, AND INTERPRETATION]</w:t>
      </w:r>
    </w:p>
    <w:p>
      <w:pPr>
        <w:pStyle w:val="Heading1"/>
        <w:spacing w:after="120" w:before="320"/>
      </w:pPr>
      <w:r>
        <w:rPr>
          <w:b/>
          <w:bCs/>
        </w:rPr>
        <w:t xml:space="preserve">7. Competency-Related Abilities</w:t>
      </w:r>
    </w:p>
    <w:p>
      <w:pPr>
        <w:spacing w:after="120"/>
      </w:pPr>
      <w:r>
        <w:rPr>
          <w:i/>
          <w:iCs/>
          <w:color w:val="555555"/>
          <w:sz w:val="20"/>
          <w:szCs w:val="20"/>
        </w:rPr>
        <w:t xml:space="preserve">Organize findings under the prongs of the governing standard. Support every conclusion with observed data: quotes, test results, and specific exchanges. Avoid bare assertions.</w:t>
      </w:r>
    </w:p>
    <w:p>
      <w:pPr>
        <w:pStyle w:val="Heading2"/>
        <w:spacing w:after="100" w:before="240"/>
      </w:pPr>
      <w:r>
        <w:rPr>
          <w:b/>
          <w:bCs/>
        </w:rPr>
        <w:t xml:space="preserve">7.1 Factual understanding of the proceedings</w:t>
      </w:r>
    </w:p>
    <w:p>
      <w:pPr>
        <w:spacing w:after="120"/>
      </w:pPr>
      <w:r>
        <w:rPr>
          <w:i/>
          <w:iCs/>
          <w:color w:val="555555"/>
          <w:sz w:val="20"/>
          <w:szCs w:val="20"/>
        </w:rPr>
        <w:t xml:space="preserve">Understanding of the charges, potential penalties, roles of courtroom personnel, pleas available, and the adversarial nature of proceedings.</w:t>
      </w:r>
    </w:p>
    <w:p>
      <w:pPr>
        <w:spacing w:after="120"/>
      </w:pPr>
      <w:r>
        <w:t xml:space="preserve">[FINDINGS WITH SUPPORTING DATA]</w:t>
      </w:r>
    </w:p>
    <w:p>
      <w:pPr>
        <w:pStyle w:val="Heading2"/>
        <w:spacing w:after="100" w:before="240"/>
      </w:pPr>
      <w:r>
        <w:rPr>
          <w:b/>
          <w:bCs/>
        </w:rPr>
        <w:t xml:space="preserve">7.2 Rational understanding of the proceedings</w:t>
      </w:r>
    </w:p>
    <w:p>
      <w:pPr>
        <w:spacing w:after="120"/>
      </w:pPr>
      <w:r>
        <w:rPr>
          <w:i/>
          <w:iCs/>
          <w:color w:val="555555"/>
          <w:sz w:val="20"/>
          <w:szCs w:val="20"/>
        </w:rPr>
        <w:t xml:space="preserve">Rational appraisal of the evidence, appreciation of personal jeopardy, capacity to weigh plea options, and absence of delusional distortion of the case.</w:t>
      </w:r>
    </w:p>
    <w:p>
      <w:pPr>
        <w:spacing w:after="120"/>
      </w:pPr>
      <w:r>
        <w:t xml:space="preserve">[FINDINGS WITH SUPPORTING DATA]</w:t>
      </w:r>
    </w:p>
    <w:p>
      <w:pPr>
        <w:pStyle w:val="Heading2"/>
        <w:spacing w:after="100" w:before="240"/>
      </w:pPr>
      <w:r>
        <w:rPr>
          <w:b/>
          <w:bCs/>
        </w:rPr>
        <w:t xml:space="preserve">7.3 Ability to assist counsel</w:t>
      </w:r>
    </w:p>
    <w:p>
      <w:pPr>
        <w:spacing w:after="120"/>
      </w:pPr>
      <w:r>
        <w:rPr>
          <w:i/>
          <w:iCs/>
          <w:color w:val="555555"/>
          <w:sz w:val="20"/>
          <w:szCs w:val="20"/>
        </w:rPr>
        <w:t xml:space="preserve">Capacity to disclose relevant facts, communicate with counsel, make decisions after advice, track proceedings, testify relevantly if needed, and maintain appropriate courtroom behavior.</w:t>
      </w:r>
    </w:p>
    <w:p>
      <w:pPr>
        <w:spacing w:after="120"/>
      </w:pPr>
      <w:r>
        <w:t xml:space="preserve">[FINDINGS WITH SUPPORTING DATA]</w:t>
      </w:r>
    </w:p>
    <w:p>
      <w:pPr>
        <w:pStyle w:val="Heading1"/>
        <w:spacing w:after="120" w:before="320"/>
      </w:pPr>
      <w:r>
        <w:rPr>
          <w:b/>
          <w:bCs/>
        </w:rPr>
        <w:t xml:space="preserve">8. Clinical Opinion</w:t>
      </w:r>
    </w:p>
    <w:p>
      <w:pPr>
        <w:spacing w:after="120"/>
      </w:pPr>
      <w:r>
        <w:rPr>
          <w:i/>
          <w:iCs/>
          <w:color w:val="555555"/>
          <w:sz w:val="20"/>
          <w:szCs w:val="20"/>
        </w:rPr>
        <w:t xml:space="preserve">State the opinion to a reasonable degree of psychological certainty, in the language of the governing statute. Link the opinion to the specific abilities and deficits documented in Section 7. If the opinion is that the defendant lacks competency, identify the mental disease or defect and the causal connection to the specific deficits.</w:t>
      </w:r>
    </w:p>
    <w:p>
      <w:pPr>
        <w:spacing w:after="120"/>
      </w:pPr>
      <w:r>
        <w:t xml:space="preserve">[OPINION ON COMPETENCY, WITH REASONING]</w:t>
      </w:r>
    </w:p>
    <w:p>
      <w:pPr>
        <w:pStyle w:val="Heading1"/>
        <w:spacing w:after="120" w:before="320"/>
      </w:pPr>
      <w:r>
        <w:rPr>
          <w:b/>
          <w:bCs/>
        </w:rPr>
        <w:t xml:space="preserve">9. Restorability and Recommendations</w:t>
      </w:r>
    </w:p>
    <w:p>
      <w:pPr>
        <w:spacing w:after="120"/>
      </w:pPr>
      <w:r>
        <w:rPr>
          <w:i/>
          <w:iCs/>
          <w:color w:val="555555"/>
          <w:sz w:val="20"/>
          <w:szCs w:val="20"/>
        </w:rPr>
        <w:t xml:space="preserve">Complete only if impairment was found, or if the court order requires it. Address likelihood of restoration, recommended setting and interventions, estimated time frame, and medication considerations including involuntary medication factors where relevant (Sell v. United States, 539 U.S. 166 (2003)).</w:t>
      </w:r>
    </w:p>
    <w:p>
      <w:pPr>
        <w:spacing w:after="120"/>
      </w:pPr>
      <w:r>
        <w:t xml:space="preserve">[RESTORATION OPINION AND RECOMMENDATIONS]</w:t>
      </w:r>
    </w:p>
    <w:p>
      <w:pPr>
        <w:pStyle w:val="Heading1"/>
        <w:spacing w:after="120" w:before="320"/>
      </w:pPr>
      <w:r>
        <w:rPr>
          <w:b/>
          <w:bCs/>
        </w:rPr>
        <w:t xml:space="preserve">10. Attestation</w:t>
      </w:r>
    </w:p>
    <w:p>
      <w:pPr>
        <w:spacing w:after="120"/>
      </w:pPr>
      <w:r>
        <w:t xml:space="preserve">I certify that this report reflects my independent professional opinion, formed on the basis of the sources identified above. My opinions are stated to a reasonable degree of psychological certainty. I reserve the right to amend this report should additional information become available.</w:t>
      </w:r>
    </w:p>
    <w:p>
      <w:pPr>
        <w:spacing w:after="120"/>
      </w:pPr>
      <w:r>
        <w:t xml:space="preserve"/>
      </w:r>
    </w:p>
    <w:p>
      <w:pPr>
        <w:spacing w:after="120"/>
      </w:pPr>
      <w:r>
        <w:t xml:space="preserve">_________________________________</w:t>
      </w:r>
    </w:p>
    <w:p>
      <w:pPr>
        <w:spacing w:after="120"/>
      </w:pPr>
      <w:r>
        <w:t xml:space="preserve">[NAME, DEGREE]</w:t>
      </w:r>
    </w:p>
    <w:p>
      <w:pPr>
        <w:spacing w:after="120"/>
      </w:pPr>
      <w:r>
        <w:t xml:space="preserve">[LICENSE, JURISDICTION]  [DATE]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CST report template, sanitized. boreasworkflow.com.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26"/>
      <w:szCs w:val="26"/>
    </w:rPr>
  </w:style>
  <w:style w:type="paragraph" w:styleId="Heading2">
    <w:name w:val="Heading 2"/>
    <w:basedOn w:val="Normal"/>
    <w:next w:val="Normal"/>
    <w:qFormat/>
    <w:rPr>
      <w:rFonts w:ascii="Calibri" w:cs="Calibri" w:eastAsia="Calibri" w:hAnsi="Calibri"/>
      <w:b/>
      <w:bCs/>
      <w:color w:val="1A1A1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2026-07-11T23:59:26.287Z</dcterms:created>
  <dcterms:modified xsi:type="dcterms:W3CDTF">2026-07-11T23:59:26.287Z</dcterms:modified>
</cp:coreProperties>
</file>

<file path=docProps/custom.xml><?xml version="1.0" encoding="utf-8"?>
<Properties xmlns="http://schemas.openxmlformats.org/officeDocument/2006/custom-properties" xmlns:vt="http://schemas.openxmlformats.org/officeDocument/2006/docPropsVTypes"/>
</file>