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PSYCHOLOGICAL EVALUATION: POSTTRAUMATIC STRESS DISORDER / TRAUMA</w:t>
      </w:r>
    </w:p>
    <w:p>
      <w:r>
        <w:rPr>
          <w:sz w:val="20"/>
        </w:rPr>
        <w:t>Confidential Clinical Document</w:t>
      </w:r>
    </w:p>
    <w:p>
      <w:r>
        <w:rPr>
          <w:i/>
          <w:sz w:val="19"/>
        </w:rPr>
        <w:t>This is a sanitized report skeleton. It carries an adult and a child path, and it is written to serve both a clinical evaluation and an independent examination (IME) where a trauma claim is at issue. It walks the DSM-5-TR PTSD criteria one at a time, keeps symptom validity ahead of interpretation, and leaves the diagnosis with the clinician. Replace every bracketed placeholder with your own language and delete these italic guidance notes and the path you are not using before finalizing.</w:t>
      </w:r>
    </w:p>
    <w:p>
      <w:pPr>
        <w:pStyle w:val="Heading1"/>
      </w:pPr>
      <w:r>
        <w:t>Identifying Information</w:t>
      </w:r>
    </w:p>
    <w:p>
      <w:r>
        <w:t>Patient name: [ ]</w:t>
      </w:r>
    </w:p>
    <w:p>
      <w:r>
        <w:t>Date of birth / Age: [ ]</w:t>
      </w:r>
    </w:p>
    <w:p>
      <w:r>
        <w:t>Sex / Gender: [ ]</w:t>
      </w:r>
    </w:p>
    <w:p>
      <w:r>
        <w:t>Dates of evaluation: [ ]</w:t>
      </w:r>
    </w:p>
    <w:p>
      <w:r>
        <w:t>Date of report: [ ]</w:t>
      </w:r>
    </w:p>
    <w:p>
      <w:r>
        <w:t>Referral source: [ ]</w:t>
      </w:r>
    </w:p>
    <w:p>
      <w:r>
        <w:t>Evaluator: [ ]</w:t>
      </w:r>
    </w:p>
    <w:p>
      <w:r>
        <w:t>License number: [ ]</w:t>
      </w:r>
    </w:p>
    <w:p>
      <w:r>
        <w:rPr>
          <w:i/>
          <w:sz w:val="19"/>
        </w:rPr>
        <w:t>For a child or adolescent, add: Grade / School, Parent or guardian names, and who accompanied the child. For an IME or forensic-adjacent context, add: Retaining party, Claim or file number, and Date of the index event(s) at issue.</w:t>
      </w:r>
    </w:p>
    <w:p>
      <w:pPr>
        <w:pStyle w:val="Heading1"/>
      </w:pPr>
      <w:r>
        <w:t>Reason for Referral and Question</w:t>
      </w:r>
    </w:p>
    <w:p>
      <w:r>
        <w:rPr>
          <w:i/>
          <w:sz w:val="19"/>
        </w:rPr>
        <w:t>State who referred the patient and the specific question in one or two sentences. For a clinical evaluation, this is usually differential and treatment planning. For an IME, state the referral question as posed (for example, the presence, cause, and functional impact of a trauma-related condition) without adopting the referring party language as your own finding.</w:t>
      </w:r>
    </w:p>
    <w:p>
      <w:r>
        <w:t>[Patient] was referred by [referral source] for evaluation of [trauma exposure and posttraumatic symptoms / the presence and cause of a trauma-related condition following the event(s) of [date]]. The specific questions posed were [list].</w:t>
      </w:r>
    </w:p>
    <w:p>
      <w:pPr>
        <w:pStyle w:val="Heading1"/>
      </w:pPr>
      <w:r>
        <w:t>Sources of Information</w:t>
      </w:r>
    </w:p>
    <w:p>
      <w:r>
        <w:rPr>
          <w:i/>
          <w:sz w:val="19"/>
        </w:rPr>
        <w:t>Number every source with dates. Separate self-report, collateral report, records, and standardized instruments. In trauma work the records often carry the objective account of the event and the treatment timeline, so list them precisely.</w:t>
      </w:r>
    </w:p>
    <w:p>
      <w:r>
        <w:t>1. Clinical interview with [patient] on [date(s)]</w:t>
      </w:r>
    </w:p>
    <w:p>
      <w:r>
        <w:t>2. Collateral interview with [partner / parent / informant] on [date]</w:t>
      </w:r>
    </w:p>
    <w:p>
      <w:r>
        <w:t>3. Trauma and psychosocial history questionnaire completed [date]</w:t>
      </w:r>
    </w:p>
    <w:p>
      <w:r>
        <w:t>4. Records reviewed: [medical / emergency / police or incident reports / prior mental health / employment or school / prior evaluations]</w:t>
      </w:r>
    </w:p>
    <w:p>
      <w:r>
        <w:t>5. Standardized measures (trauma-specific and broadband), listed in the Instruments section</w:t>
      </w:r>
    </w:p>
    <w:p>
      <w:r>
        <w:t>6. Symptom validity and performance validity measures, listed in the Response Style section</w:t>
      </w:r>
    </w:p>
    <w:p>
      <w:r>
        <w:t>7. Behavioral observations across [ ] appointments</w:t>
      </w:r>
    </w:p>
    <w:p>
      <w:pPr>
        <w:pStyle w:val="Heading1"/>
      </w:pPr>
      <w:r>
        <w:t>Presenting Concerns and History</w:t>
      </w:r>
    </w:p>
    <w:p>
      <w:pPr>
        <w:pStyle w:val="Heading2"/>
      </w:pPr>
      <w:r>
        <w:t>History of the Present Concern</w:t>
      </w:r>
    </w:p>
    <w:p>
      <w:r>
        <w:rPr>
          <w:i/>
          <w:sz w:val="19"/>
        </w:rPr>
        <w:t>Describe the current difficulties in the patient and informant words, the setting in which they occur, and the course since onset. Anchor the account to the event(s) but keep the patient report and the documented record distinguishable.</w:t>
      </w:r>
    </w:p>
    <w:p>
      <w:r>
        <w:t>[Narrative of current posttraumatic symptoms, their onset relative to the event(s), course, and current severity, in the patient and informant words.]</w:t>
      </w:r>
    </w:p>
    <w:p>
      <w:pPr>
        <w:pStyle w:val="Heading2"/>
      </w:pPr>
      <w:r>
        <w:t>Trauma History and the Index Event(s)</w:t>
      </w:r>
    </w:p>
    <w:p>
      <w:r>
        <w:rPr>
          <w:i/>
          <w:sz w:val="19"/>
        </w:rPr>
        <w:t>Document the exposure that anchors Criterion A separately from later symptoms. Record the nature of the event, the patient relationship to it (direct, witnessed, learned of, or repeated occupational exposure), and the source for the account. Note prior traumatic exposures, since cumulative trauma bears on formulation. Handle the account of the event with care; do not require a detailed narrative that retraumatizes when the record already establishes exposure.</w:t>
      </w:r>
    </w:p>
    <w:p>
      <w:r>
        <w:t>[Description of the index event(s) and any prior traumatic exposures, with the source for each account and the patient relationship to the event.]</w:t>
      </w:r>
    </w:p>
    <w:p>
      <w:pPr>
        <w:pStyle w:val="Heading2"/>
      </w:pPr>
      <w:r>
        <w:t>Developmental, Medical, and Psychiatric History</w:t>
      </w:r>
    </w:p>
    <w:p>
      <w:r>
        <w:rPr>
          <w:i/>
          <w:sz w:val="19"/>
        </w:rPr>
        <w:t>Screen for the conditions that mimic, precede, or coexist with PTSD, and for anything that bears on cause. Prior trauma, prior mental health treatment, head injury, pain conditions, substance use, sleep disorders, and pre-event functioning all matter, and in an IME the pre-event baseline is often the central question.</w:t>
      </w:r>
    </w:p>
    <w:p>
      <w:r>
        <w:t>[Relevant developmental history; pre-event psychiatric and medical baseline; prior trauma and treatment; head injury or loss of consciousness at the event; pain, sleep, and substance use; family psychiatric history.]</w:t>
      </w:r>
    </w:p>
    <w:p>
      <w:pPr>
        <w:pStyle w:val="Heading2"/>
      </w:pPr>
      <w:r>
        <w:t>Psychosocial and Functional Baseline</w:t>
      </w:r>
    </w:p>
    <w:p>
      <w:r>
        <w:rPr>
          <w:i/>
          <w:sz w:val="19"/>
        </w:rPr>
        <w:t>Document the patient functioning before the event and after it, concretely, in work or school, relationships, and daily activities. This section carries the impairment picture that Criterion G and any IME opinion rest on.</w:t>
      </w:r>
    </w:p>
    <w:p>
      <w:r>
        <w:t>[Pre-event and post-event functioning in work or school, relationships, and daily activities, described concretely.]</w:t>
      </w:r>
    </w:p>
    <w:p>
      <w:pPr>
        <w:pStyle w:val="Heading1"/>
      </w:pPr>
      <w:r>
        <w:t>Behavioral Observations and Mental Status</w:t>
      </w:r>
    </w:p>
    <w:p>
      <w:r>
        <w:rPr>
          <w:i/>
          <w:sz w:val="19"/>
        </w:rPr>
        <w:t>Describe presentation, affect, arousal, and engagement as observed, not inferred. Note anything relevant to reliability of self-report, including consistency between reported and observed distress.</w:t>
      </w:r>
    </w:p>
    <w:p>
      <w:r>
        <w:t>[Appearance, affect and arousal during the session, reactivity to trauma cues if any arose, orientation, mood, thought process, and engagement, described from observation.]</w:t>
      </w:r>
    </w:p>
    <w:p>
      <w:pPr>
        <w:pStyle w:val="Heading1"/>
      </w:pPr>
      <w:r>
        <w:t>Instruments Administered and Results</w:t>
      </w:r>
    </w:p>
    <w:p>
      <w:r>
        <w:rPr>
          <w:i/>
          <w:sz w:val="19"/>
        </w:rPr>
        <w:t>List each measure with the date administered and the informant. Report scores in the patient own column and interpret them only after the Response Style section below. The template is instrument-agnostic: use the trauma-specific interviews, self-report inventories, and broadband measures your practice is normed on. Add one row per measure and informant.</w:t>
      </w:r>
    </w:p>
    <w:p>
      <w:r>
        <w:t>Measure | Administered [date] | Informant | Score / Range | Notes</w:t>
      </w:r>
    </w:p>
    <w:p>
      <w:r>
        <w:t>[Trauma-specific structured interview] | [date] | Self | [ ] | [ ]</w:t>
      </w:r>
    </w:p>
    <w:p>
      <w:r>
        <w:t>[Trauma symptom self-report inventory] | [date] | Self | [ ] | [ ]</w:t>
      </w:r>
    </w:p>
    <w:p>
      <w:r>
        <w:t>[Life events / exposure checklist] | [date] | Self | [ ] | [ ]</w:t>
      </w:r>
    </w:p>
    <w:p>
      <w:r>
        <w:t>[Broadband personality or symptom inventory] | [date] | Self | [ ] | [ ]</w:t>
      </w:r>
    </w:p>
    <w:p>
      <w:r>
        <w:t>[Collateral or observer measure, if used] | [date] | [informant] | [ ] | [ ]</w:t>
      </w:r>
    </w:p>
    <w:p>
      <w:pPr>
        <w:pStyle w:val="Heading1"/>
      </w:pPr>
      <w:r>
        <w:t>Response Style, Symptom Validity, and Performance Validity</w:t>
      </w:r>
    </w:p>
    <w:p>
      <w:r>
        <w:rPr>
          <w:i/>
          <w:sz w:val="19"/>
        </w:rPr>
        <w:t>This section comes before interpretation on purpose. PTSD is diagnosed largely from self-report, symptoms are widely known, and in litigation or disability contexts there is potential for secondary gain in either direction, over-report or under-report. State the effort and validity findings first, then interpret the clinical data in that light. In an IME this section is not optional. Do not equate a single elevated validity index with a conclusion of feigning; describe the pattern and its bearing on weight.</w:t>
      </w:r>
    </w:p>
    <w:p>
      <w:r>
        <w:t>[Summary of symptom validity and performance validity findings from embedded and freestanding measures, consistency across sources and across the record, and the resulting bearing on how much weight the self-reported symptoms carry. State plainly whether the presentation is consistent, over-reported, under-reported, or indeterminate, and why.]</w:t>
      </w:r>
    </w:p>
    <w:p>
      <w:pPr>
        <w:pStyle w:val="Heading1"/>
      </w:pPr>
      <w:r>
        <w:t>Diagnostic Formulation</w:t>
      </w:r>
    </w:p>
    <w:p>
      <w:r>
        <w:rPr>
          <w:i/>
          <w:sz w:val="19"/>
        </w:rPr>
        <w:t>Map your source data to each DSM-5-TR criterion in turn rather than restating the conclusion. State each criterion in your own words; do not reproduce DSM text. Note the required symptom counts as you go. For a child 6 years or younger, use the Preschool path below instead of Criteria B through E here.</w:t>
      </w:r>
    </w:p>
    <w:p>
      <w:pPr>
        <w:pStyle w:val="Heading2"/>
      </w:pPr>
      <w:r>
        <w:t>Criterion A: Exposure</w:t>
      </w:r>
    </w:p>
    <w:p>
      <w:r>
        <w:rPr>
          <w:i/>
          <w:sz w:val="19"/>
        </w:rPr>
        <w:t>Exposure to actual or threatened death, serious injury, or sexual violence, by direct experience, witnessing in person, learning it happened to a close other, or repeated or extreme exposure to aversive details (including occupational exposure). Media exposure alone does not qualify unless work-related.</w:t>
      </w:r>
    </w:p>
    <w:p>
      <w:r>
        <w:t>[State the qualifying exposure, which of the four routes applies, and the source establishing it.]</w:t>
      </w:r>
    </w:p>
    <w:p>
      <w:pPr>
        <w:pStyle w:val="Heading2"/>
      </w:pPr>
      <w:r>
        <w:t>Criterion B: Intrusion (one or more)</w:t>
      </w:r>
    </w:p>
    <w:p>
      <w:r>
        <w:rPr>
          <w:i/>
          <w:sz w:val="19"/>
        </w:rPr>
        <w:t>Intrusive memories, distressing dreams, dissociative reactions such as flashbacks, intense distress at cues, or marked physiological reactivity to cues.</w:t>
      </w:r>
    </w:p>
    <w:p>
      <w:r>
        <w:t>[Map the intrusion symptoms present to the patient reported and observed data, with at least one documented.]</w:t>
      </w:r>
    </w:p>
    <w:p>
      <w:pPr>
        <w:pStyle w:val="Heading2"/>
      </w:pPr>
      <w:r>
        <w:t>Criterion C: Avoidance (one or more)</w:t>
      </w:r>
    </w:p>
    <w:p>
      <w:r>
        <w:rPr>
          <w:i/>
          <w:sz w:val="19"/>
        </w:rPr>
        <w:t>Persistent avoidance of internal reminders (memories, thoughts, feelings) or external reminders (people, places, activities, situations).</w:t>
      </w:r>
    </w:p>
    <w:p>
      <w:r>
        <w:t>[Map the avoidance symptoms present, with at least one documented.]</w:t>
      </w:r>
    </w:p>
    <w:p>
      <w:pPr>
        <w:pStyle w:val="Heading2"/>
      </w:pPr>
      <w:r>
        <w:t>Criterion D: Negative Alterations in Cognitions and Mood (two or more)</w:t>
      </w:r>
    </w:p>
    <w:p>
      <w:r>
        <w:rPr>
          <w:i/>
          <w:sz w:val="19"/>
        </w:rPr>
        <w:t>Inability to recall a key feature of the event, persistent negative beliefs, distorted cognitions about cause or blame, persistent negative emotional state, markedly diminished interest, detachment or estrangement, or persistent inability to experience positive emotions.</w:t>
      </w:r>
    </w:p>
    <w:p>
      <w:r>
        <w:t>[Map the cognitive and mood alterations present, with at least two documented.]</w:t>
      </w:r>
    </w:p>
    <w:p>
      <w:pPr>
        <w:pStyle w:val="Heading2"/>
      </w:pPr>
      <w:r>
        <w:t>Criterion E: Alterations in Arousal and Reactivity (two or more)</w:t>
      </w:r>
    </w:p>
    <w:p>
      <w:r>
        <w:rPr>
          <w:i/>
          <w:sz w:val="19"/>
        </w:rPr>
        <w:t>Irritable or aggressive behavior, reckless or self-destructive behavior, hypervigilance, exaggerated startle, concentration problems, or sleep disturbance.</w:t>
      </w:r>
    </w:p>
    <w:p>
      <w:r>
        <w:t>[Map the arousal and reactivity symptoms present, with at least two documented.]</w:t>
      </w:r>
    </w:p>
    <w:p>
      <w:pPr>
        <w:pStyle w:val="Heading2"/>
      </w:pPr>
      <w:r>
        <w:t>Criterion F: Duration</w:t>
      </w:r>
    </w:p>
    <w:p>
      <w:r>
        <w:rPr>
          <w:i/>
          <w:sz w:val="19"/>
        </w:rPr>
        <w:t>The disturbance in Criteria B through E lasts more than one month.</w:t>
      </w:r>
    </w:p>
    <w:p>
      <w:r>
        <w:t>[State the duration of the symptom picture. If less than one month, consider acute stress disorder instead.]</w:t>
      </w:r>
    </w:p>
    <w:p>
      <w:pPr>
        <w:pStyle w:val="Heading2"/>
      </w:pPr>
      <w:r>
        <w:t>Criterion G: Functional Significance</w:t>
      </w:r>
    </w:p>
    <w:p>
      <w:r>
        <w:rPr>
          <w:i/>
          <w:sz w:val="19"/>
        </w:rPr>
        <w:t>The disturbance causes clinically significant distress or impairment in social, occupational, or other important areas. Tie this to the concrete impairment documented in the functional baseline section.</w:t>
      </w:r>
    </w:p>
    <w:p>
      <w:r>
        <w:t>[Document the distress or impairment in concrete terms, referencing the functional baseline.]</w:t>
      </w:r>
    </w:p>
    <w:p>
      <w:pPr>
        <w:pStyle w:val="Heading2"/>
      </w:pPr>
      <w:r>
        <w:t>Criterion H: Exclusion</w:t>
      </w:r>
    </w:p>
    <w:p>
      <w:r>
        <w:rPr>
          <w:i/>
          <w:sz w:val="19"/>
        </w:rPr>
        <w:t>The disturbance is not attributable to a substance or another medical condition. Address the differential explicitly, including head injury at the event, substance use, and other anxiety, mood, or trauma-related conditions.</w:t>
      </w:r>
    </w:p>
    <w:p>
      <w:r>
        <w:t>[State the differential considered and the basis for attributing the picture to PTSD rather than to a substance, a medical condition, or another disorder.]</w:t>
      </w:r>
    </w:p>
    <w:p>
      <w:pPr>
        <w:pStyle w:val="Heading2"/>
      </w:pPr>
      <w:r>
        <w:t>Specifiers</w:t>
      </w:r>
    </w:p>
    <w:p>
      <w:r>
        <w:rPr>
          <w:i/>
          <w:sz w:val="19"/>
        </w:rPr>
        <w:t>Note whether the dissociative subtype applies (persistent depersonalization or derealization) and whether the expression is delayed (full criteria not met until at least six months after the event).</w:t>
      </w:r>
    </w:p>
    <w:p>
      <w:r>
        <w:t>[With dissociative symptoms: present / absent, with basis. With delayed expression: yes / no.]</w:t>
      </w:r>
    </w:p>
    <w:p>
      <w:pPr>
        <w:pStyle w:val="Heading1"/>
      </w:pPr>
      <w:r>
        <w:t>Child and Adolescent Path</w:t>
      </w:r>
    </w:p>
    <w:p>
      <w:r>
        <w:rPr>
          <w:i/>
          <w:sz w:val="19"/>
        </w:rPr>
        <w:t>Delete this section for an adult evaluation. For children 6 years and younger, DSM-5-TR provides a separate PTSD for Children 6 Years and Younger criteria set with a lower symptom threshold and developmentally expressed symptoms (for example, trauma themes in play, frightening dreams without recognizable content, constriction of play, social withdrawal). Map to that set rather than to Criteria B through E above. For children older than 6, use the adult criteria with developmentally appropriate examples and collateral from caregivers and, where consented, school.</w:t>
      </w:r>
    </w:p>
    <w:p>
      <w:r>
        <w:t>[For the preschool set: Criterion A exposure; one or more intrusion symptoms; one or more avoidance or negative-cognition-and-mood symptoms; two or more arousal symptoms; duration greater than one month; functional impairment in relationships with caregivers, siblings, peers, or in school behavior; and exclusion. Document caregiver-reported and observed data for each.]</w:t>
      </w:r>
    </w:p>
    <w:p>
      <w:pPr>
        <w:pStyle w:val="Heading1"/>
      </w:pPr>
      <w:r>
        <w:t>Diagnostic Impression</w:t>
      </w:r>
    </w:p>
    <w:p>
      <w:r>
        <w:rPr>
          <w:i/>
          <w:sz w:val="19"/>
        </w:rPr>
        <w:t>State the diagnosis and code only after the criteria above are mapped and the response style findings are accounted for. If criteria are not met, say so and name the more accurate formulation. The diagnosis is the clinician judgment; the template does not make it.</w:t>
      </w:r>
    </w:p>
    <w:p>
      <w:r>
        <w:t>[Diagnosis with DSM-5-TR and ICD-10-CM code, for example Posttraumatic Stress Disorder, F43.10, with specifiers as applicable. Rule-outs and coexisting conditions listed separately.]</w:t>
      </w:r>
    </w:p>
    <w:p>
      <w:pPr>
        <w:pStyle w:val="Heading1"/>
      </w:pPr>
      <w:r>
        <w:t>Functional Impact and, Where Relevant, Causation</w:t>
      </w:r>
    </w:p>
    <w:p>
      <w:r>
        <w:rPr>
          <w:i/>
          <w:sz w:val="19"/>
        </w:rPr>
        <w:t>For a clinical report, document impairment to support treatment planning and medical necessity. For an IME, this is where the causation opinion lives: address the relationship between the index event and the current condition against the pre-event baseline and any intervening factors, to the applicable standard of certainty, and state the limits of that opinion.</w:t>
      </w:r>
    </w:p>
    <w:p>
      <w:r>
        <w:t>[Concrete functional impairment in work or school, relationships, and daily activities. Where a causation question was posed, the opinion on the relationship between the event(s) and the current condition, the standard applied, and the factors weighed.]</w:t>
      </w:r>
    </w:p>
    <w:p>
      <w:pPr>
        <w:pStyle w:val="Heading1"/>
      </w:pPr>
      <w:r>
        <w:t>Recommendations</w:t>
      </w:r>
    </w:p>
    <w:p>
      <w:r>
        <w:rPr>
          <w:i/>
          <w:sz w:val="19"/>
        </w:rPr>
        <w:t>Tie each recommendation to a documented finding. Keep clinical recommendations (evidence-based trauma treatment, coordination of care) distinct from any opinion offered for the referral question.</w:t>
      </w:r>
    </w:p>
    <w:p>
      <w:r>
        <w:t>1. [Recommendation tied to a documented finding, for example trauma-focused treatment.]</w:t>
      </w:r>
    </w:p>
    <w:p>
      <w:r>
        <w:t>2. [Recommendation tied to a documented finding.]</w:t>
      </w:r>
    </w:p>
    <w:p>
      <w:r>
        <w:t>3. [Recommendation tied to a documented finding.]</w:t>
      </w:r>
    </w:p>
    <w:p>
      <w:pPr>
        <w:pStyle w:val="Heading1"/>
      </w:pPr>
      <w:r>
        <w:t>Basis and Limitations</w:t>
      </w:r>
    </w:p>
    <w:p>
      <w:r>
        <w:rPr>
          <w:i/>
          <w:sz w:val="19"/>
        </w:rPr>
        <w:t>State what the opinions rest on and where they stop. Note any limits: reliance on self-report, records not available, a single session, symptom validity caveats, and the time-bound nature of the assessment.</w:t>
      </w:r>
    </w:p>
    <w:p>
      <w:r>
        <w:t>[The evaluation reflects the patient status at the time of assessment and rests on the sources listed. Note limitations, including any records not available, reliance on self-report, and symptom validity considerations.]</w:t>
      </w:r>
    </w:p>
    <w:p>
      <w:pPr>
        <w:pStyle w:val="Heading1"/>
      </w:pPr>
      <w:r>
        <w:t>Attestation</w:t>
      </w:r>
    </w:p>
    <w:p>
      <w:r>
        <w:t>I conducted or directly supervised this evaluation. The diagnostic determinations in this report are my clinical judgment.</w:t>
      </w:r>
    </w:p>
    <w:p/>
    <w:p>
      <w:r>
        <w:t>_______________________________</w:t>
      </w:r>
    </w:p>
    <w:p>
      <w:r>
        <w:t>[Evaluator name, degree, license number]</w:t>
      </w:r>
    </w:p>
    <w:p>
      <w:r>
        <w:t>[Date]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