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200"/>
        <w:jc w:val="center"/>
      </w:pPr>
      <w:r>
        <w:rPr>
          <w:rFonts w:ascii="Arial" w:cs="Arial" w:eastAsia="Arial" w:hAnsi="Arial"/>
          <w:b/>
          <w:bCs/>
          <w:color w:val="1B3A5C"/>
          <w:sz w:val="56"/>
          <w:szCs w:val="56"/>
        </w:rPr>
        <w:t xml:space="preserve">PSYGIL</w:t>
      </w:r>
    </w:p>
    <w:p>
      <w:pPr>
        <w:spacing w:after="100"/>
        <w:jc w:val="center"/>
      </w:pPr>
      <w:r>
        <w:rPr>
          <w:rFonts w:ascii="Times New Roman" w:cs="Times New Roman" w:eastAsia="Times New Roman" w:hAnsi="Times New Roman"/>
          <w:color w:val="333333"/>
          <w:sz w:val="36"/>
          <w:szCs w:val="36"/>
        </w:rPr>
        <w:t xml:space="preserve">Forensic Psychology Evaluation Report</w:t>
      </w:r>
    </w:p>
    <w:p>
      <w:pPr>
        <w:spacing w:after="80"/>
        <w:jc w:val="center"/>
      </w:pPr>
      <w:r>
        <w:rPr>
          <w:rFonts w:ascii="Times New Roman" w:cs="Times New Roman" w:eastAsia="Times New Roman" w:hAnsi="Times New Roman"/>
          <w:i/>
          <w:iCs/>
          <w:color w:val="666666"/>
          <w:sz w:val="32"/>
          <w:szCs w:val="32"/>
        </w:rPr>
        <w:t xml:space="preserve">Style Guide &amp; Template Reference</w:t>
      </w:r>
    </w:p>
    <w:p>
      <w:pPr>
        <w:spacing w:after="400"/>
      </w:pPr>
    </w:p>
    <w:p>
      <w:pPr>
        <w:pBdr>
          <w:top w:val="single" w:color="2E75B6" w:sz="2" w:space="8"/>
          <w:bottom w:val="single" w:color="2E75B6" w:sz="2" w:space="8"/>
        </w:pBdr>
        <w:spacing w:after="200" w:before="200"/>
        <w:jc w:val="center"/>
      </w:pPr>
      <w:r>
        <w:rPr>
          <w:rFonts w:ascii="Arial" w:cs="Arial" w:eastAsia="Arial" w:hAnsi="Arial"/>
          <w:color w:val="666666"/>
          <w:sz w:val="20"/>
          <w:szCs w:val="20"/>
        </w:rPr>
        <w:t xml:space="preserve">Based on APA Specialty Guidelines for Forensic Psychology (2013)
</w:t>
      </w:r>
    </w:p>
    <w:p>
      <w:pPr>
        <w:jc w:val="center"/>
      </w:pPr>
      <w:r>
        <w:rPr>
          <w:rFonts w:ascii="Arial" w:cs="Arial" w:eastAsia="Arial" w:hAnsi="Arial"/>
          <w:color w:val="666666"/>
          <w:sz w:val="20"/>
          <w:szCs w:val="20"/>
        </w:rPr>
        <w:t xml:space="preserve">AAPL Practice Guidelines  |  Federal Rule 26  |  Daubert Standard</w:t>
      </w:r>
    </w:p>
    <w:p>
      <w:pPr>
        <w:jc w:val="center"/>
      </w:pPr>
      <w:r>
        <w:rPr>
          <w:rFonts w:ascii="Arial" w:cs="Arial" w:eastAsia="Arial" w:hAnsi="Arial"/>
          <w:color w:val="666666"/>
          <w:sz w:val="20"/>
          <w:szCs w:val="20"/>
        </w:rPr>
        <w:t xml:space="preserve">AP-LS Division 41  |  ABPP Board Certification Standards</w:t>
      </w:r>
    </w:p>
    <w:p>
      <w:pPr>
        <w:spacing w:after="600"/>
      </w:pPr>
    </w:p>
    <w:p>
      <w:pPr>
        <w:jc w:val="center"/>
      </w:pPr>
      <w:r>
        <w:rPr>
          <w:rFonts w:ascii="Arial" w:cs="Arial" w:eastAsia="Arial" w:hAnsi="Arial"/>
          <w:color w:val="666666"/>
          <w:sz w:val="20"/>
          <w:szCs w:val="20"/>
        </w:rPr>
        <w:t xml:space="preserve">Foundry SMB  |  Version 1.0  |  April 2026</w:t>
      </w:r>
    </w:p>
    <w:p>
      <w:r>
        <w:br w:type="page"/>
      </w:r>
    </w:p>
    <w:p>
      <w:pPr>
        <w:pStyle w:val="Heading1"/>
        <w:spacing w:after="200" w:before="360"/>
      </w:pPr>
      <w:r>
        <w:rPr>
          <w:rFonts w:ascii="Times New Roman" w:cs="Times New Roman" w:eastAsia="Times New Roman" w:hAnsi="Times New Roman"/>
          <w:b/>
          <w:bCs/>
          <w:color w:val="1B3A5C"/>
          <w:sz w:val="28"/>
          <w:szCs w:val="28"/>
        </w:rPr>
        <w:t xml:space="preserve">Table of Contents</w:t>
      </w:r>
    </w:p>
    <w:p>
      <w:pPr>
        <w:spacing w:after="100"/>
      </w:pPr>
    </w:p>
    <w:p>
      <w:pPr>
        <w:tabs>
          <w:tab w:val="left" w:pos="720"/>
          <w:tab w:val="right" w:pos="9360" w:leader="dot"/>
        </w:tabs>
        <w:spacing w:after="100"/>
      </w:pPr>
      <w:r>
        <w:rPr>
          <w:rFonts w:ascii="Times New Roman" w:cs="Times New Roman" w:eastAsia="Times New Roman" w:hAnsi="Times New Roman"/>
          <w:b/>
          <w:bCs/>
          <w:color w:val="1B3A5C"/>
          <w:sz w:val="24"/>
          <w:szCs w:val="24"/>
        </w:rPr>
        <w:t xml:space="preserve">1.</w:t>
      </w:r>
      <w:r>
        <w:t xml:space="preserve">	</w:t>
      </w:r>
      <w:r>
        <w:rPr>
          <w:rFonts w:ascii="Times New Roman" w:cs="Times New Roman" w:eastAsia="Times New Roman" w:hAnsi="Times New Roman"/>
          <w:color w:val="333333"/>
          <w:sz w:val="24"/>
          <w:szCs w:val="24"/>
        </w:rPr>
        <w:t xml:space="preserve">Formatting Specifications</w:t>
      </w:r>
      <w:r>
        <w:t xml:space="preserve">	</w:t>
      </w:r>
      <w:r>
        <w:rPr>
          <w:rFonts w:ascii="Times New Roman" w:cs="Times New Roman" w:eastAsia="Times New Roman" w:hAnsi="Times New Roman"/>
          <w:color w:val="666666"/>
          <w:sz w:val="24"/>
          <w:szCs w:val="24"/>
        </w:rPr>
        <w:t xml:space="preserve">3</w:t>
      </w:r>
    </w:p>
    <w:p>
      <w:pPr>
        <w:tabs>
          <w:tab w:val="left" w:pos="720"/>
          <w:tab w:val="right" w:pos="9360" w:leader="dot"/>
        </w:tabs>
        <w:spacing w:after="100"/>
      </w:pPr>
      <w:r>
        <w:rPr>
          <w:rFonts w:ascii="Times New Roman" w:cs="Times New Roman" w:eastAsia="Times New Roman" w:hAnsi="Times New Roman"/>
          <w:b/>
          <w:bCs/>
          <w:color w:val="1B3A5C"/>
          <w:sz w:val="24"/>
          <w:szCs w:val="24"/>
        </w:rPr>
        <w:t xml:space="preserve">2.</w:t>
      </w:r>
      <w:r>
        <w:t xml:space="preserve">	</w:t>
      </w:r>
      <w:r>
        <w:rPr>
          <w:rFonts w:ascii="Times New Roman" w:cs="Times New Roman" w:eastAsia="Times New Roman" w:hAnsi="Times New Roman"/>
          <w:color w:val="333333"/>
          <w:sz w:val="24"/>
          <w:szCs w:val="24"/>
        </w:rPr>
        <w:t xml:space="preserve">Report Section Structure</w:t>
      </w:r>
      <w:r>
        <w:t xml:space="preserve">	</w:t>
      </w:r>
      <w:r>
        <w:rPr>
          <w:rFonts w:ascii="Times New Roman" w:cs="Times New Roman" w:eastAsia="Times New Roman" w:hAnsi="Times New Roman"/>
          <w:color w:val="666666"/>
          <w:sz w:val="24"/>
          <w:szCs w:val="24"/>
        </w:rPr>
        <w:t xml:space="preserve">5</w:t>
      </w:r>
    </w:p>
    <w:p>
      <w:pPr>
        <w:tabs>
          <w:tab w:val="left" w:pos="720"/>
          <w:tab w:val="right" w:pos="9360" w:leader="dot"/>
        </w:tabs>
        <w:spacing w:after="100"/>
      </w:pPr>
      <w:r>
        <w:rPr>
          <w:rFonts w:ascii="Times New Roman" w:cs="Times New Roman" w:eastAsia="Times New Roman" w:hAnsi="Times New Roman"/>
          <w:b/>
          <w:bCs/>
          <w:color w:val="1B3A5C"/>
          <w:sz w:val="24"/>
          <w:szCs w:val="24"/>
        </w:rPr>
        <w:t xml:space="preserve">3.</w:t>
      </w:r>
      <w:r>
        <w:t xml:space="preserve">	</w:t>
      </w:r>
      <w:r>
        <w:rPr>
          <w:rFonts w:ascii="Times New Roman" w:cs="Times New Roman" w:eastAsia="Times New Roman" w:hAnsi="Times New Roman"/>
          <w:color w:val="333333"/>
          <w:sz w:val="24"/>
          <w:szCs w:val="24"/>
        </w:rPr>
        <w:t xml:space="preserve">Section Templates by Evaluation Type</w:t>
      </w:r>
      <w:r>
        <w:t xml:space="preserve">	</w:t>
      </w:r>
      <w:r>
        <w:rPr>
          <w:rFonts w:ascii="Times New Roman" w:cs="Times New Roman" w:eastAsia="Times New Roman" w:hAnsi="Times New Roman"/>
          <w:color w:val="666666"/>
          <w:sz w:val="24"/>
          <w:szCs w:val="24"/>
        </w:rPr>
        <w:t xml:space="preserve">9</w:t>
      </w:r>
    </w:p>
    <w:p>
      <w:pPr>
        <w:tabs>
          <w:tab w:val="left" w:pos="720"/>
          <w:tab w:val="right" w:pos="9360" w:leader="dot"/>
        </w:tabs>
        <w:spacing w:after="100"/>
      </w:pPr>
      <w:r>
        <w:rPr>
          <w:rFonts w:ascii="Times New Roman" w:cs="Times New Roman" w:eastAsia="Times New Roman" w:hAnsi="Times New Roman"/>
          <w:b/>
          <w:bCs/>
          <w:color w:val="1B3A5C"/>
          <w:sz w:val="24"/>
          <w:szCs w:val="24"/>
        </w:rPr>
        <w:t xml:space="preserve">4.</w:t>
      </w:r>
      <w:r>
        <w:t xml:space="preserve">	</w:t>
      </w:r>
      <w:r>
        <w:rPr>
          <w:rFonts w:ascii="Times New Roman" w:cs="Times New Roman" w:eastAsia="Times New Roman" w:hAnsi="Times New Roman"/>
          <w:color w:val="333333"/>
          <w:sz w:val="24"/>
          <w:szCs w:val="24"/>
        </w:rPr>
        <w:t xml:space="preserve">Language &amp; Writing Standards</w:t>
      </w:r>
      <w:r>
        <w:t xml:space="preserve">	</w:t>
      </w:r>
      <w:r>
        <w:rPr>
          <w:rFonts w:ascii="Times New Roman" w:cs="Times New Roman" w:eastAsia="Times New Roman" w:hAnsi="Times New Roman"/>
          <w:color w:val="666666"/>
          <w:sz w:val="24"/>
          <w:szCs w:val="24"/>
        </w:rPr>
        <w:t xml:space="preserve">14</w:t>
      </w:r>
    </w:p>
    <w:p>
      <w:pPr>
        <w:tabs>
          <w:tab w:val="left" w:pos="720"/>
          <w:tab w:val="right" w:pos="9360" w:leader="dot"/>
        </w:tabs>
        <w:spacing w:after="100"/>
      </w:pPr>
      <w:r>
        <w:rPr>
          <w:rFonts w:ascii="Times New Roman" w:cs="Times New Roman" w:eastAsia="Times New Roman" w:hAnsi="Times New Roman"/>
          <w:b/>
          <w:bCs/>
          <w:color w:val="1B3A5C"/>
          <w:sz w:val="24"/>
          <w:szCs w:val="24"/>
        </w:rPr>
        <w:t xml:space="preserve">5.</w:t>
      </w:r>
      <w:r>
        <w:t xml:space="preserve">	</w:t>
      </w:r>
      <w:r>
        <w:rPr>
          <w:rFonts w:ascii="Times New Roman" w:cs="Times New Roman" w:eastAsia="Times New Roman" w:hAnsi="Times New Roman"/>
          <w:color w:val="333333"/>
          <w:sz w:val="24"/>
          <w:szCs w:val="24"/>
        </w:rPr>
        <w:t xml:space="preserve">Test Score Presentation</w:t>
      </w:r>
      <w:r>
        <w:t xml:space="preserve">	</w:t>
      </w:r>
      <w:r>
        <w:rPr>
          <w:rFonts w:ascii="Times New Roman" w:cs="Times New Roman" w:eastAsia="Times New Roman" w:hAnsi="Times New Roman"/>
          <w:color w:val="666666"/>
          <w:sz w:val="24"/>
          <w:szCs w:val="24"/>
        </w:rPr>
        <w:t xml:space="preserve">16</w:t>
      </w:r>
    </w:p>
    <w:p>
      <w:pPr>
        <w:tabs>
          <w:tab w:val="left" w:pos="720"/>
          <w:tab w:val="right" w:pos="9360" w:leader="dot"/>
        </w:tabs>
        <w:spacing w:after="100"/>
      </w:pPr>
      <w:r>
        <w:rPr>
          <w:rFonts w:ascii="Times New Roman" w:cs="Times New Roman" w:eastAsia="Times New Roman" w:hAnsi="Times New Roman"/>
          <w:b/>
          <w:bCs/>
          <w:color w:val="1B3A5C"/>
          <w:sz w:val="24"/>
          <w:szCs w:val="24"/>
        </w:rPr>
        <w:t xml:space="preserve">6.</w:t>
      </w:r>
      <w:r>
        <w:t xml:space="preserve">	</w:t>
      </w:r>
      <w:r>
        <w:rPr>
          <w:rFonts w:ascii="Times New Roman" w:cs="Times New Roman" w:eastAsia="Times New Roman" w:hAnsi="Times New Roman"/>
          <w:color w:val="333333"/>
          <w:sz w:val="24"/>
          <w:szCs w:val="24"/>
        </w:rPr>
        <w:t xml:space="preserve">Common Problems to Avoid</w:t>
      </w:r>
      <w:r>
        <w:t xml:space="preserve">	</w:t>
      </w:r>
      <w:r>
        <w:rPr>
          <w:rFonts w:ascii="Times New Roman" w:cs="Times New Roman" w:eastAsia="Times New Roman" w:hAnsi="Times New Roman"/>
          <w:color w:val="666666"/>
          <w:sz w:val="24"/>
          <w:szCs w:val="24"/>
        </w:rPr>
        <w:t xml:space="preserve">18</w:t>
      </w:r>
    </w:p>
    <w:p>
      <w:pPr>
        <w:tabs>
          <w:tab w:val="left" w:pos="720"/>
          <w:tab w:val="right" w:pos="9360" w:leader="dot"/>
        </w:tabs>
        <w:spacing w:after="100"/>
      </w:pPr>
      <w:r>
        <w:rPr>
          <w:rFonts w:ascii="Times New Roman" w:cs="Times New Roman" w:eastAsia="Times New Roman" w:hAnsi="Times New Roman"/>
          <w:b/>
          <w:bCs/>
          <w:color w:val="1B3A5C"/>
          <w:sz w:val="24"/>
          <w:szCs w:val="24"/>
        </w:rPr>
        <w:t xml:space="preserve">7.</w:t>
      </w:r>
      <w:r>
        <w:t xml:space="preserve">	</w:t>
      </w:r>
      <w:r>
        <w:rPr>
          <w:rFonts w:ascii="Times New Roman" w:cs="Times New Roman" w:eastAsia="Times New Roman" w:hAnsi="Times New Roman"/>
          <w:color w:val="333333"/>
          <w:sz w:val="24"/>
          <w:szCs w:val="24"/>
        </w:rPr>
        <w:t xml:space="preserve">Confidentiality Notice Templates</w:t>
      </w:r>
      <w:r>
        <w:t xml:space="preserve">	</w:t>
      </w:r>
      <w:r>
        <w:rPr>
          <w:rFonts w:ascii="Times New Roman" w:cs="Times New Roman" w:eastAsia="Times New Roman" w:hAnsi="Times New Roman"/>
          <w:color w:val="666666"/>
          <w:sz w:val="24"/>
          <w:szCs w:val="24"/>
        </w:rPr>
        <w:t xml:space="preserve">20</w:t>
      </w:r>
    </w:p>
    <w:p>
      <w:pPr>
        <w:tabs>
          <w:tab w:val="left" w:pos="720"/>
          <w:tab w:val="right" w:pos="9360" w:leader="dot"/>
        </w:tabs>
        <w:spacing w:after="100"/>
      </w:pPr>
      <w:r>
        <w:rPr>
          <w:rFonts w:ascii="Times New Roman" w:cs="Times New Roman" w:eastAsia="Times New Roman" w:hAnsi="Times New Roman"/>
          <w:b/>
          <w:bCs/>
          <w:color w:val="1B3A5C"/>
          <w:sz w:val="24"/>
          <w:szCs w:val="24"/>
        </w:rPr>
        <w:t xml:space="preserve">8.</w:t>
      </w:r>
      <w:r>
        <w:t xml:space="preserve">	</w:t>
      </w:r>
      <w:r>
        <w:rPr>
          <w:rFonts w:ascii="Times New Roman" w:cs="Times New Roman" w:eastAsia="Times New Roman" w:hAnsi="Times New Roman"/>
          <w:color w:val="333333"/>
          <w:sz w:val="24"/>
          <w:szCs w:val="24"/>
        </w:rPr>
        <w:t xml:space="preserve">Signature Block &amp; Attestation</w:t>
      </w:r>
      <w:r>
        <w:t xml:space="preserve">	</w:t>
      </w:r>
      <w:r>
        <w:rPr>
          <w:rFonts w:ascii="Times New Roman" w:cs="Times New Roman" w:eastAsia="Times New Roman" w:hAnsi="Times New Roman"/>
          <w:color w:val="666666"/>
          <w:sz w:val="24"/>
          <w:szCs w:val="24"/>
        </w:rPr>
        <w:t xml:space="preserve">21</w:t>
      </w:r>
    </w:p>
    <w:p>
      <w:pPr>
        <w:tabs>
          <w:tab w:val="left" w:pos="720"/>
          <w:tab w:val="right" w:pos="9360" w:leader="dot"/>
        </w:tabs>
        <w:spacing w:after="100"/>
      </w:pPr>
      <w:r>
        <w:rPr>
          <w:rFonts w:ascii="Times New Roman" w:cs="Times New Roman" w:eastAsia="Times New Roman" w:hAnsi="Times New Roman"/>
          <w:b/>
          <w:bCs/>
          <w:color w:val="1B3A5C"/>
          <w:sz w:val="24"/>
          <w:szCs w:val="24"/>
        </w:rPr>
        <w:t xml:space="preserve">9.</w:t>
      </w:r>
      <w:r>
        <w:t xml:space="preserve">	</w:t>
      </w:r>
      <w:r>
        <w:rPr>
          <w:rFonts w:ascii="Times New Roman" w:cs="Times New Roman" w:eastAsia="Times New Roman" w:hAnsi="Times New Roman"/>
          <w:color w:val="333333"/>
          <w:sz w:val="24"/>
          <w:szCs w:val="24"/>
        </w:rPr>
        <w:t xml:space="preserve">Appendix: Evaluation-Type Quick Reference</w:t>
      </w:r>
      <w:r>
        <w:t xml:space="preserve">	</w:t>
      </w:r>
      <w:r>
        <w:rPr>
          <w:rFonts w:ascii="Times New Roman" w:cs="Times New Roman" w:eastAsia="Times New Roman" w:hAnsi="Times New Roman"/>
          <w:color w:val="666666"/>
          <w:sz w:val="24"/>
          <w:szCs w:val="24"/>
        </w:rPr>
        <w:t xml:space="preserve">22</w:t>
      </w:r>
    </w:p>
    <w:p>
      <w:r>
        <w:br w:type="page"/>
      </w:r>
    </w:p>
    <w:p>
      <w:pPr>
        <w:pStyle w:val="Heading1"/>
        <w:spacing w:after="200" w:before="360"/>
      </w:pPr>
      <w:r>
        <w:rPr>
          <w:rFonts w:ascii="Times New Roman" w:cs="Times New Roman" w:eastAsia="Times New Roman" w:hAnsi="Times New Roman"/>
          <w:b/>
          <w:bCs/>
          <w:color w:val="1B3A5C"/>
          <w:sz w:val="28"/>
          <w:szCs w:val="28"/>
        </w:rPr>
        <w:t xml:space="preserve">1. Formatting Specifications</w:t>
      </w:r>
    </w:p>
    <w:p>
      <w:pPr>
        <w:spacing w:after="200" w:line="480"/>
      </w:pPr>
      <w:r>
        <w:rPr>
          <w:rFonts w:ascii="Times New Roman" w:cs="Times New Roman" w:eastAsia="Times New Roman" w:hAnsi="Times New Roman"/>
          <w:color w:val="333333"/>
          <w:sz w:val="24"/>
          <w:szCs w:val="24"/>
        </w:rPr>
        <w:t xml:space="preserve">This section defines the typographic and layout standards for all forensic psychology evaluation reports generated by Psygil. These standards are derived from APA Publication Manual (7th Edition), AAPL Practice Guidelines, ABPP Board Certification requirements, and federal court submission standards.</w:t>
      </w:r>
    </w:p>
    <w:p>
      <w:pPr>
        <w:pStyle w:val="Heading2"/>
        <w:spacing w:after="160" w:before="280"/>
      </w:pPr>
      <w:r>
        <w:rPr>
          <w:rFonts w:ascii="Times New Roman" w:cs="Times New Roman" w:eastAsia="Times New Roman" w:hAnsi="Times New Roman"/>
          <w:b/>
          <w:bCs/>
          <w:color w:val="333333"/>
          <w:sz w:val="24"/>
          <w:szCs w:val="24"/>
        </w:rPr>
        <w:t xml:space="preserve">1.1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Body 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12pt Times New Roman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APA standard; alternatively 11pt Calibri or Arial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Headings Level 1</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14pt Times New Roman, Bold</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Centered; section titles (e.g., REFERRAL INFORMATION)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Headings Level 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12pt Times New Roman, Bold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Flush left; subsection titles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Headings Level 3</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12pt Times New Roman, Bold Italic</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Flush left, indented 0.5”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Headings Level 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12pt Times New Roman, Bold Italic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Indented 0.5”, inline with text, ending with period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Headings Level 5</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12pt Times New Roman, Italic</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Indented 0.5”, inline with text, ending with period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Header/Footer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10pt Arial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Case identifier, page number, CONFIDENTIAL notice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tables</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10pt Arial</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Smaller font for dense data; maintains readability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Footnotes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10pt Times New Roman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 citations, test norming notes, and caveats</w:t>
            </w:r>
          </w:p>
        </w:tc>
      </w:tr>
    </w:tbl>
    <w:p>
      <w:pPr>
        <w:spacing w:after="200"/>
      </w:pPr>
    </w:p>
    <w:p>
      <w:pPr>
        <w:pStyle w:val="Heading2"/>
        <w:spacing w:after="160" w:before="280"/>
      </w:pPr>
      <w:r>
        <w:rPr>
          <w:rFonts w:ascii="Times New Roman" w:cs="Times New Roman" w:eastAsia="Times New Roman" w:hAnsi="Times New Roman"/>
          <w:b/>
          <w:bCs/>
          <w:color w:val="333333"/>
          <w:sz w:val="24"/>
          <w:szCs w:val="24"/>
        </w:rPr>
        <w:t xml:space="preserve">1.2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 size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 Letter (8.5” × 11”)</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Margins</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 all sides (top, bottom, left, right)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Line spacing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Double-spaced (body text); Single-spaced (test tables, block quotes)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Paragraph spacing</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0pt before, 12pt after each paragraph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First-line indent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0.5” for body paragraphs (not after headings)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Header</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Case ID + Evaluee initials (left); CONFIDENTIAL (right); 0.5” from top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Footer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 X of Y (centered); 0.5” from bottom</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Section breaks</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 break before each major section (Level 1 heading)</w:t>
            </w:r>
          </w:p>
        </w:tc>
      </w:tr>
    </w:tbl>
    <w:p>
      <w:pPr>
        <w:spacing w:after="200"/>
      </w:pPr>
    </w:p>
    <w:p>
      <w:pPr>
        <w:pStyle w:val="Heading2"/>
        <w:spacing w:after="160" w:before="280"/>
      </w:pPr>
      <w:r>
        <w:rPr>
          <w:rFonts w:ascii="Times New Roman" w:cs="Times New Roman" w:eastAsia="Times New Roman" w:hAnsi="Times New Roman"/>
          <w:b/>
          <w:bCs/>
          <w:color w:val="333333"/>
          <w:sz w:val="24"/>
          <w:szCs w:val="24"/>
        </w:rPr>
        <w:t xml:space="preserve">1.3 Report Length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Evaluation Type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Typical Length</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Maximum (ABPP)</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Competency to Stand Trial (CST)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8–15 pages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 pages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Focused on specific legal question</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Custody / Parenting</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10–30 pages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80 pages</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Often longest due to multiple parties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Violence Risk Assessment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8–12 pages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 pages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Structured around risk factors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PTSD / Personal Injury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10–20 pages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80 pages</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Extensive history and symptom timeline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Testamentary Capacity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6–10 pages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 pages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Narrowly focused legal question</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Neuropsychological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10–20 pages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80 pages</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Heavy test score tables</w:t>
            </w:r>
          </w:p>
        </w:tc>
      </w:tr>
    </w:tbl>
    <w:p>
      <w:pPr>
        <w:pBdr>
          <w:left w:val="single" w:color="2E75B6" w:sz="12" w:space="8"/>
        </w:pBdr>
        <w:spacing w:after="200" w:before="120"/>
        <w:ind w:left="360"/>
      </w:pPr>
      <w:r>
        <w:rPr>
          <w:rFonts w:ascii="Arial" w:cs="Arial" w:eastAsia="Arial" w:hAnsi="Arial"/>
          <w:sz w:val="20"/>
          <w:szCs w:val="20"/>
        </w:rPr>
        <w:t xml:space="preserve">ℹ️  </w:t>
      </w:r>
      <w:r>
        <w:rPr>
          <w:rFonts w:ascii="Arial" w:cs="Arial" w:eastAsia="Arial" w:hAnsi="Arial"/>
          <w:i/>
          <w:iCs/>
          <w:color w:val="666666"/>
          <w:sz w:val="20"/>
          <w:szCs w:val="20"/>
        </w:rPr>
        <w:t xml:space="preserve">ABPP board certification work samples have an absolute maximum of 80 pages, double-spaced, with 1” margins. Reports exceeding this should be reviewed for relevance and conciseness.</w:t>
      </w:r>
    </w:p>
    <w:p>
      <w:r>
        <w:br w:type="page"/>
      </w:r>
    </w:p>
    <w:p>
      <w:pPr>
        <w:pStyle w:val="Heading1"/>
        <w:spacing w:after="200" w:before="360"/>
      </w:pPr>
      <w:r>
        <w:rPr>
          <w:rFonts w:ascii="Times New Roman" w:cs="Times New Roman" w:eastAsia="Times New Roman" w:hAnsi="Times New Roman"/>
          <w:b/>
          <w:bCs/>
          <w:color w:val="1B3A5C"/>
          <w:sz w:val="28"/>
          <w:szCs w:val="28"/>
        </w:rPr>
        <w:t xml:space="preserve">2. Report Section Structure</w:t>
      </w:r>
    </w:p>
    <w:p>
      <w:pPr>
        <w:spacing w:after="200" w:line="480"/>
      </w:pPr>
      <w:r>
        <w:rPr>
          <w:rFonts w:ascii="Times New Roman" w:cs="Times New Roman" w:eastAsia="Times New Roman" w:hAnsi="Times New Roman"/>
          <w:color w:val="333333"/>
          <w:sz w:val="24"/>
          <w:szCs w:val="24"/>
        </w:rPr>
        <w:t xml:space="preserve">Every forensic psychology evaluation report follows a standardized section structure. The 15 sections below represent the consensus across AAPL, APA Specialty Guidelines, AP-LS Division 41, and federal court requirements. Not every section is required for every evaluation type—see Section 3 for type-specific guidance.</w:t>
      </w:r>
    </w:p>
    <w:p>
      <w:pPr>
        <w:pStyle w:val="Heading2"/>
        <w:spacing w:after="160" w:before="280"/>
      </w:pPr>
      <w:r>
        <w:rPr>
          <w:rFonts w:ascii="Times New Roman" w:cs="Times New Roman" w:eastAsia="Times New Roman" w:hAnsi="Times New Roman"/>
          <w:b/>
          <w:bCs/>
          <w:color w:val="333333"/>
          <w:sz w:val="24"/>
          <w:szCs w:val="24"/>
        </w:rPr>
        <w:t xml:space="preserve">2.1 Standard 15-Section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5200"/>
        <w:gridCol w:w="156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Title / Header Block</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Identifies the report, evaluator, evaluee, date, and referral source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Always</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Identifying Information</w:t>
            </w:r>
          </w:p>
        </w:tc>
        <w:tc>
          <w:tcPr>
            <w:tcW w:type="dxa" w:w="5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Evaluee demographics: name, DOB, age, case number, custody status</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Referral Information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Who requested the evaluation, what legal question is being addressed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Always</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Confidentiality Notice</w:t>
            </w:r>
          </w:p>
        </w:tc>
        <w:tc>
          <w:tcPr>
            <w:tcW w:type="dxa" w:w="5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Limits of confidentiality, who will receive the report, informed consent</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Sources of Information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 list of records reviewed, interviews conducted, tests administered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Always</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Nature of Evaluation</w:t>
            </w:r>
          </w:p>
        </w:tc>
        <w:tc>
          <w:tcPr>
            <w:tcW w:type="dxa" w:w="5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 of evaluation, dates/duration, setting, language, interpreter use</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Background History</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Developmental, educational, employment, medical, psychiatric, substance, legal, family, military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Always</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Mental Status Examination</w:t>
            </w:r>
          </w:p>
        </w:tc>
        <w:tc>
          <w:tcPr>
            <w:tcW w:type="dxa" w:w="5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Structured clinical observations: appearance, behavior, speech, mood, cognition, insight</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Testing Results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Scores, validity indicators, interpretation of psychological and neuropsychological instruments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If tested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Diagnostic Impressions</w:t>
            </w:r>
          </w:p>
        </w:tc>
        <w:tc>
          <w:tcPr>
            <w:tcW w:type="dxa" w:w="5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DSM-5-TR diagnoses with supporting rationale; rule-outs; differential diagnosis</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Clinical Formulation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Integration of all data sources into a coherent clinical narrative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Always</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Psycholegal Opinions</w:t>
            </w:r>
          </w:p>
        </w:tc>
        <w:tc>
          <w:tcPr>
            <w:tcW w:type="dxa" w:w="5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 answers to the referral question(s) with supporting reasoning chain</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Recommendations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Treatment, placement, supervision, or other recommendations if applicable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If applicable</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Limitations &amp; Caveats</w:t>
            </w:r>
          </w:p>
        </w:tc>
        <w:tc>
          <w:tcPr>
            <w:tcW w:type="dxa" w:w="5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Constraints on conclusions: missing data, examinee effort, incomplete records</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Signature Block</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Name, degrees, license, board certification, date, contact information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Always</w:t>
            </w:r>
          </w:p>
        </w:tc>
      </w:tr>
    </w:tbl>
    <w:p>
      <w:pPr>
        <w:spacing w:after="200"/>
      </w:pPr>
    </w:p>
    <w:p>
      <w:pPr>
        <w:pStyle w:val="Heading2"/>
        <w:spacing w:after="160" w:before="280"/>
      </w:pPr>
      <w:r>
        <w:rPr>
          <w:rFonts w:ascii="Times New Roman" w:cs="Times New Roman" w:eastAsia="Times New Roman" w:hAnsi="Times New Roman"/>
          <w:b/>
          <w:bCs/>
          <w:color w:val="333333"/>
          <w:sz w:val="24"/>
          <w:szCs w:val="24"/>
        </w:rPr>
        <w:t xml:space="preserve">2.2 Section Ordering Rules</w:t>
      </w:r>
    </w:p>
    <w:p>
      <w:pPr>
        <w:spacing w:after="200" w:line="480"/>
      </w:pPr>
      <w:r>
        <w:rPr>
          <w:rFonts w:ascii="Times New Roman" w:cs="Times New Roman" w:eastAsia="Times New Roman" w:hAnsi="Times New Roman"/>
          <w:b/>
          <w:bCs/>
          <w:color w:val="333333"/>
          <w:sz w:val="24"/>
          <w:szCs w:val="24"/>
        </w:rPr>
        <w:t xml:space="preserve">Immutable order: </w:t>
      </w:r>
      <w:r>
        <w:rPr>
          <w:rFonts w:ascii="Times New Roman" w:cs="Times New Roman" w:eastAsia="Times New Roman" w:hAnsi="Times New Roman"/>
          <w:color w:val="333333"/>
          <w:sz w:val="24"/>
          <w:szCs w:val="24"/>
        </w:rPr>
        <w:t xml:space="preserve">Sections 1–4 must always appear first and in order. They establish the evaluator’s authority, the evaluee’s identity, the legal question, and the confidentiality framework before any clinical content.</w:t>
      </w:r>
    </w:p>
    <w:p>
      <w:pPr>
        <w:spacing w:after="200" w:line="480"/>
      </w:pPr>
      <w:r>
        <w:rPr>
          <w:rFonts w:ascii="Times New Roman" w:cs="Times New Roman" w:eastAsia="Times New Roman" w:hAnsi="Times New Roman"/>
          <w:b/>
          <w:bCs/>
          <w:color w:val="333333"/>
          <w:sz w:val="24"/>
          <w:szCs w:val="24"/>
        </w:rPr>
        <w:t xml:space="preserve">Flexible middle: </w:t>
      </w:r>
      <w:r>
        <w:rPr>
          <w:rFonts w:ascii="Times New Roman" w:cs="Times New Roman" w:eastAsia="Times New Roman" w:hAnsi="Times New Roman"/>
          <w:color w:val="333333"/>
          <w:sz w:val="24"/>
          <w:szCs w:val="24"/>
        </w:rPr>
        <w:t xml:space="preserve">Sections 5–11 follow a data-before-interpretation principle. Sources and methods appear before findings. Raw data (testing results) appears before interpretation (diagnostic impressions, formulation).</w:t>
      </w:r>
    </w:p>
    <w:p>
      <w:pPr>
        <w:spacing w:after="200" w:line="480"/>
      </w:pPr>
      <w:r>
        <w:rPr>
          <w:rFonts w:ascii="Times New Roman" w:cs="Times New Roman" w:eastAsia="Times New Roman" w:hAnsi="Times New Roman"/>
          <w:b/>
          <w:bCs/>
          <w:color w:val="333333"/>
          <w:sz w:val="24"/>
          <w:szCs w:val="24"/>
        </w:rPr>
        <w:t xml:space="preserve">Immutable conclusion: </w:t>
      </w:r>
      <w:r>
        <w:rPr>
          <w:rFonts w:ascii="Times New Roman" w:cs="Times New Roman" w:eastAsia="Times New Roman" w:hAnsi="Times New Roman"/>
          <w:color w:val="333333"/>
          <w:sz w:val="24"/>
          <w:szCs w:val="24"/>
        </w:rPr>
        <w:t xml:space="preserve">Section 12 (Psycholegal Opinions) must always directly precede Section 13 (Recommendations) and Section 14 (Limitations). The opinions section is the climax of the report—everything before it builds the evidentiary foundation, and everything after it qualifies or extends the conclusions.</w:t>
      </w:r>
    </w:p>
    <w:p>
      <w:pPr>
        <w:spacing w:after="200"/>
      </w:pPr>
    </w:p>
    <w:p>
      <w:pPr>
        <w:pStyle w:val="Heading2"/>
        <w:spacing w:after="160" w:before="280"/>
      </w:pPr>
      <w:r>
        <w:rPr>
          <w:rFonts w:ascii="Times New Roman" w:cs="Times New Roman" w:eastAsia="Times New Roman" w:hAnsi="Times New Roman"/>
          <w:b/>
          <w:bCs/>
          <w:color w:val="333333"/>
          <w:sz w:val="24"/>
          <w:szCs w:val="24"/>
        </w:rPr>
        <w:t xml:space="preserve">2.3 Daubert Compliance Structure</w:t>
      </w:r>
    </w:p>
    <w:p>
      <w:pPr>
        <w:spacing w:after="200" w:line="480"/>
      </w:pPr>
      <w:r>
        <w:rPr>
          <w:rFonts w:ascii="Times New Roman" w:cs="Times New Roman" w:eastAsia="Times New Roman" w:hAnsi="Times New Roman"/>
          <w:color w:val="333333"/>
          <w:sz w:val="24"/>
          <w:szCs w:val="24"/>
        </w:rPr>
        <w:t xml:space="preserve">Under </w:t>
      </w:r>
      <w:r>
        <w:rPr>
          <w:rFonts w:ascii="Times New Roman" w:cs="Times New Roman" w:eastAsia="Times New Roman" w:hAnsi="Times New Roman"/>
          <w:i/>
          <w:iCs/>
          <w:color w:val="333333"/>
          <w:sz w:val="24"/>
          <w:szCs w:val="24"/>
        </w:rPr>
        <w:t xml:space="preserve">Daubert v. Merrell Dow Pharmaceuticals </w:t>
      </w:r>
      <w:r>
        <w:rPr>
          <w:rFonts w:ascii="Times New Roman" w:cs="Times New Roman" w:eastAsia="Times New Roman" w:hAnsi="Times New Roman"/>
          <w:color w:val="333333"/>
          <w:sz w:val="24"/>
          <w:szCs w:val="24"/>
        </w:rPr>
        <w:t xml:space="preserve">(1993), forensic reports must demonstrate a clear input-to-conclusion progression. Every opinion must be traceable to specific data points. The report structure enforces this by requiring:</w:t>
      </w:r>
    </w:p>
    <w:p>
      <w:pPr>
        <w:spacing w:after="200" w:line="480"/>
      </w:pPr>
      <w:r>
        <w:rPr>
          <w:rFonts w:ascii="Times New Roman" w:cs="Times New Roman" w:eastAsia="Times New Roman" w:hAnsi="Times New Roman"/>
          <w:b/>
          <w:bCs/>
          <w:color w:val="333333"/>
          <w:sz w:val="24"/>
          <w:szCs w:val="24"/>
        </w:rPr>
        <w:t xml:space="preserve">1. Explicit data gathering </w:t>
      </w:r>
      <w:r>
        <w:rPr>
          <w:rFonts w:ascii="Times New Roman" w:cs="Times New Roman" w:eastAsia="Times New Roman" w:hAnsi="Times New Roman"/>
          <w:color w:val="333333"/>
          <w:sz w:val="24"/>
          <w:szCs w:val="24"/>
        </w:rPr>
        <w:t xml:space="preserve">(Sections 5–9): What information was collected and how.</w:t>
      </w:r>
    </w:p>
    <w:p>
      <w:pPr>
        <w:spacing w:after="200" w:line="480"/>
      </w:pPr>
      <w:r>
        <w:rPr>
          <w:rFonts w:ascii="Times New Roman" w:cs="Times New Roman" w:eastAsia="Times New Roman" w:hAnsi="Times New Roman"/>
          <w:b/>
          <w:bCs/>
          <w:color w:val="333333"/>
          <w:sz w:val="24"/>
          <w:szCs w:val="24"/>
        </w:rPr>
        <w:t xml:space="preserve">2. Transparent analysis </w:t>
      </w:r>
      <w:r>
        <w:rPr>
          <w:rFonts w:ascii="Times New Roman" w:cs="Times New Roman" w:eastAsia="Times New Roman" w:hAnsi="Times New Roman"/>
          <w:color w:val="333333"/>
          <w:sz w:val="24"/>
          <w:szCs w:val="24"/>
        </w:rPr>
        <w:t xml:space="preserve">(Sections 10–11): How the data was interpreted and integrated.</w:t>
      </w:r>
    </w:p>
    <w:p>
      <w:pPr>
        <w:spacing w:after="200" w:line="480"/>
      </w:pPr>
      <w:r>
        <w:rPr>
          <w:rFonts w:ascii="Times New Roman" w:cs="Times New Roman" w:eastAsia="Times New Roman" w:hAnsi="Times New Roman"/>
          <w:b/>
          <w:bCs/>
          <w:color w:val="333333"/>
          <w:sz w:val="24"/>
          <w:szCs w:val="24"/>
        </w:rPr>
        <w:t xml:space="preserve">3. Supported conclusions </w:t>
      </w:r>
      <w:r>
        <w:rPr>
          <w:rFonts w:ascii="Times New Roman" w:cs="Times New Roman" w:eastAsia="Times New Roman" w:hAnsi="Times New Roman"/>
          <w:color w:val="333333"/>
          <w:sz w:val="24"/>
          <w:szCs w:val="24"/>
        </w:rPr>
        <w:t xml:space="preserve">(Section 12): What opinions were formed and exactly which data supports each one.</w:t>
      </w:r>
    </w:p>
    <w:p>
      <w:pPr>
        <w:spacing w:after="200" w:line="480"/>
      </w:pPr>
      <w:r>
        <w:rPr>
          <w:rFonts w:ascii="Times New Roman" w:cs="Times New Roman" w:eastAsia="Times New Roman" w:hAnsi="Times New Roman"/>
          <w:b/>
          <w:bCs/>
          <w:color w:val="333333"/>
          <w:sz w:val="24"/>
          <w:szCs w:val="24"/>
        </w:rPr>
        <w:t xml:space="preserve">4. Acknowledged limitations </w:t>
      </w:r>
      <w:r>
        <w:rPr>
          <w:rFonts w:ascii="Times New Roman" w:cs="Times New Roman" w:eastAsia="Times New Roman" w:hAnsi="Times New Roman"/>
          <w:color w:val="333333"/>
          <w:sz w:val="24"/>
          <w:szCs w:val="24"/>
        </w:rPr>
        <w:t xml:space="preserve">(Section 14): What constraints apply to the conclusions.</w:t>
      </w:r>
    </w:p>
    <w:p>
      <w:pPr>
        <w:pBdr>
          <w:left w:val="single" w:color="2E75B6" w:sz="12" w:space="8"/>
        </w:pBdr>
        <w:spacing w:after="200" w:before="120"/>
        <w:ind w:left="360"/>
      </w:pPr>
      <w:r>
        <w:rPr>
          <w:rFonts w:ascii="Arial" w:cs="Arial" w:eastAsia="Arial" w:hAnsi="Arial"/>
          <w:sz w:val="20"/>
          <w:szCs w:val="20"/>
        </w:rPr>
        <w:t xml:space="preserve">ℹ️  </w:t>
      </w:r>
      <w:r>
        <w:rPr>
          <w:rFonts w:ascii="Arial" w:cs="Arial" w:eastAsia="Arial" w:hAnsi="Arial"/>
          <w:i/>
          <w:iCs/>
          <w:color w:val="666666"/>
          <w:sz w:val="20"/>
          <w:szCs w:val="20"/>
        </w:rPr>
        <w:t xml:space="preserve">Federal Rule 26(a)(2)(B) requires: (i) a complete statement of all opinions, (ii) the basis and reasons for each opinion, (iii) the facts or data considered, (iv) any exhibits, (v) qualifications and publications, and (vi) compensation statement. The 15-section structure satisfies all six requirements.</w:t>
      </w:r>
    </w:p>
    <w:p>
      <w:r>
        <w:br w:type="page"/>
      </w:r>
    </w:p>
    <w:p>
      <w:pPr>
        <w:pStyle w:val="Heading1"/>
        <w:spacing w:after="200" w:before="360"/>
      </w:pPr>
      <w:r>
        <w:rPr>
          <w:rFonts w:ascii="Times New Roman" w:cs="Times New Roman" w:eastAsia="Times New Roman" w:hAnsi="Times New Roman"/>
          <w:b/>
          <w:bCs/>
          <w:color w:val="1B3A5C"/>
          <w:sz w:val="28"/>
          <w:szCs w:val="28"/>
        </w:rPr>
        <w:t xml:space="preserve">3. Section Templates by Evaluation Type</w:t>
      </w:r>
    </w:p>
    <w:p>
      <w:pPr>
        <w:spacing w:after="200" w:line="480"/>
      </w:pPr>
      <w:r>
        <w:rPr>
          <w:rFonts w:ascii="Times New Roman" w:cs="Times New Roman" w:eastAsia="Times New Roman" w:hAnsi="Times New Roman"/>
          <w:color w:val="333333"/>
          <w:sz w:val="24"/>
          <w:szCs w:val="24"/>
        </w:rPr>
        <w:t xml:space="preserve">This section provides the specific section emphasis and content requirements for each major evaluation type. While all types follow the 15-section structure, the depth and focus of each section varies by the psycholegal question being addressed.</w:t>
      </w:r>
    </w:p>
    <w:p>
      <w:pPr>
        <w:pStyle w:val="Heading2"/>
        <w:spacing w:after="160" w:before="280"/>
      </w:pPr>
      <w:r>
        <w:rPr>
          <w:rFonts w:ascii="Times New Roman" w:cs="Times New Roman" w:eastAsia="Times New Roman" w:hAnsi="Times New Roman"/>
          <w:b/>
          <w:bCs/>
          <w:color w:val="333333"/>
          <w:sz w:val="24"/>
          <w:szCs w:val="24"/>
        </w:rPr>
        <w:t xml:space="preserve">3.1 Competency to Stand Trial (CST)</w:t>
      </w:r>
    </w:p>
    <w:p>
      <w:pPr>
        <w:spacing w:after="200" w:line="480"/>
      </w:pPr>
      <w:r>
        <w:rPr>
          <w:rFonts w:ascii="Times New Roman" w:cs="Times New Roman" w:eastAsia="Times New Roman" w:hAnsi="Times New Roman"/>
          <w:b/>
          <w:bCs/>
          <w:color w:val="333333"/>
          <w:sz w:val="24"/>
          <w:szCs w:val="24"/>
        </w:rPr>
        <w:t xml:space="preserve">Legal standard: </w:t>
      </w:r>
      <w:r>
        <w:rPr>
          <w:rFonts w:ascii="Times New Roman" w:cs="Times New Roman" w:eastAsia="Times New Roman" w:hAnsi="Times New Roman"/>
          <w:i/>
          <w:iCs/>
          <w:color w:val="333333"/>
          <w:sz w:val="24"/>
          <w:szCs w:val="24"/>
        </w:rPr>
        <w:t xml:space="preserve">Dusky v. United States </w:t>
      </w:r>
      <w:r>
        <w:rPr>
          <w:rFonts w:ascii="Times New Roman" w:cs="Times New Roman" w:eastAsia="Times New Roman" w:hAnsi="Times New Roman"/>
          <w:color w:val="333333"/>
          <w:sz w:val="24"/>
          <w:szCs w:val="24"/>
        </w:rPr>
        <w:t xml:space="preserve">(1960)—whether the defendant has “sufficient present ability to consult with his lawyer with a reasonable degree of rational understanding” and “a rational as well as factual understanding of the proceedings against him.”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CST-Specific Requirements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Referral Information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Specify the pending charges and the party requesting the evaluation (court, defense, prosecution)</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Background History</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Emphasize psychiatric history, prior competency evaluations, medication history, and legal history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Mental Status Examination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Focus on thought process, reality testing, ability to communicate coherently</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Testing Results</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MacCAT-CA, ECST-R, or equivalent competency assessment instrument scores with validity indicators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Diagnostic Impressions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Diagnoses directly relevant to competency (psychotic disorders, intellectual disability, dementia, TBI)</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Psycholegal Opinions</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Address BOTH prongs: (1) ability to consult with counsel, (2) understanding of proceedings. Address restorability if opining incompetent.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Recommendations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If incompetent: restoration setting, estimated timeline, medication recommendations</w:t>
            </w:r>
          </w:p>
        </w:tc>
      </w:tr>
    </w:tbl>
    <w:p>
      <w:pPr>
        <w:spacing w:after="200"/>
      </w:pPr>
    </w:p>
    <w:p>
      <w:pPr>
        <w:pStyle w:val="Heading2"/>
        <w:spacing w:after="160" w:before="280"/>
      </w:pPr>
      <w:r>
        <w:rPr>
          <w:rFonts w:ascii="Times New Roman" w:cs="Times New Roman" w:eastAsia="Times New Roman" w:hAnsi="Times New Roman"/>
          <w:b/>
          <w:bCs/>
          <w:color w:val="333333"/>
          <w:sz w:val="24"/>
          <w:szCs w:val="24"/>
        </w:rPr>
        <w:t xml:space="preserve">3.2 Child Custody / Parenting Evaluation</w:t>
      </w:r>
    </w:p>
    <w:p>
      <w:pPr>
        <w:spacing w:after="200" w:line="480"/>
      </w:pPr>
      <w:r>
        <w:rPr>
          <w:rFonts w:ascii="Times New Roman" w:cs="Times New Roman" w:eastAsia="Times New Roman" w:hAnsi="Times New Roman"/>
          <w:b/>
          <w:bCs/>
          <w:color w:val="333333"/>
          <w:sz w:val="24"/>
          <w:szCs w:val="24"/>
        </w:rPr>
        <w:t xml:space="preserve">Legal standard: </w:t>
      </w:r>
      <w:r>
        <w:rPr>
          <w:rFonts w:ascii="Times New Roman" w:cs="Times New Roman" w:eastAsia="Times New Roman" w:hAnsi="Times New Roman"/>
          <w:color w:val="333333"/>
          <w:sz w:val="24"/>
          <w:szCs w:val="24"/>
        </w:rPr>
        <w:t xml:space="preserve">Best interests of the child (varies by jurisdiction). AFCC Model Standards for Child Custody Evaluation (2006).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Custody-Specific Requirements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Referral Information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Identify all parties, their attorneys, the court, and specific questions ordered by the court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Confidentiality Notice</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specify that all parties were informed, that the report goes to the court and both attorneys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Sources of Information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 include: interviews with each parent, child(ren), collateral contacts, school records, prior evaluations, home observations if conducted</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Background History</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Parallel structure for each parent: childhood, relationships, parenting philosophy, discipline, co-parenting willingness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Testing Results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MMPI-2/MMPI-3, PAI, PCRI, ASPECT, or equivalent for each parent; child measures (CBCL, projective measures if age-appropriate)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Clinical Formulation</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address: parenting capacity, attachment, risk factors, protective factors, and child’s developmental needs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Psycholegal Opinions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Address each court-ordered question individually. Never recommend a specific custody schedule—frame as clinical observations that inform the court’s decision.</w:t>
            </w:r>
          </w:p>
        </w:tc>
      </w:tr>
    </w:tbl>
    <w:p>
      <w:pPr>
        <w:spacing w:after="200"/>
      </w:pPr>
    </w:p>
    <w:p>
      <w:pPr>
        <w:pStyle w:val="Heading2"/>
        <w:spacing w:after="160" w:before="280"/>
      </w:pPr>
      <w:r>
        <w:rPr>
          <w:rFonts w:ascii="Times New Roman" w:cs="Times New Roman" w:eastAsia="Times New Roman" w:hAnsi="Times New Roman"/>
          <w:b/>
          <w:bCs/>
          <w:color w:val="333333"/>
          <w:sz w:val="24"/>
          <w:szCs w:val="24"/>
        </w:rPr>
        <w:t xml:space="preserve">3.3 Violence Risk Assessment</w:t>
      </w:r>
    </w:p>
    <w:p>
      <w:pPr>
        <w:spacing w:after="200" w:line="480"/>
      </w:pPr>
      <w:r>
        <w:rPr>
          <w:rFonts w:ascii="Times New Roman" w:cs="Times New Roman" w:eastAsia="Times New Roman" w:hAnsi="Times New Roman"/>
          <w:b/>
          <w:bCs/>
          <w:color w:val="333333"/>
          <w:sz w:val="24"/>
          <w:szCs w:val="24"/>
        </w:rPr>
        <w:t xml:space="preserve">Framework: </w:t>
      </w:r>
      <w:r>
        <w:rPr>
          <w:rFonts w:ascii="Times New Roman" w:cs="Times New Roman" w:eastAsia="Times New Roman" w:hAnsi="Times New Roman"/>
          <w:color w:val="333333"/>
          <w:sz w:val="24"/>
          <w:szCs w:val="24"/>
        </w:rPr>
        <w:t xml:space="preserve">Structured Professional Judgment (SPJ) approach using validated risk instruments. Distinguish between risk factors and protective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Risk-Specific Requirements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Referral Information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Specify type of risk being assessed (general violence, sexual violence, intimate partner, stalking)</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Sources of Information</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Criminal records, institutional records, prior risk assessments, victim statements, collateral interviews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Background History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Focus on violence history (chronological), substance abuse, relationship instability, employment history, pro-criminal attitudes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Testing Results</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HCR-20 V3, PCL-R, VRAG-R, STATIC-99R, LSI-R, or relevant instrument with all item-level scores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Psycholegal Opinions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Frame risk as low/moderate/high with temporal qualifiers. Never state probability as a percentage. Address both static and dynamic factors.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Limitations</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Explicitly state that risk assessment is probabilistic, that conditions may change, and the assessment’s temporal validity.</w:t>
            </w:r>
          </w:p>
        </w:tc>
      </w:tr>
    </w:tbl>
    <w:p>
      <w:pPr>
        <w:spacing w:after="200"/>
      </w:pPr>
    </w:p>
    <w:p>
      <w:pPr>
        <w:pStyle w:val="Heading2"/>
        <w:spacing w:after="160" w:before="280"/>
      </w:pPr>
      <w:r>
        <w:rPr>
          <w:rFonts w:ascii="Times New Roman" w:cs="Times New Roman" w:eastAsia="Times New Roman" w:hAnsi="Times New Roman"/>
          <w:b/>
          <w:bCs/>
          <w:color w:val="333333"/>
          <w:sz w:val="24"/>
          <w:szCs w:val="24"/>
        </w:rPr>
        <w:t xml:space="preserve">3.4 PTSD / Personal Injury</w:t>
      </w:r>
    </w:p>
    <w:p>
      <w:pPr>
        <w:spacing w:after="200" w:line="480"/>
      </w:pPr>
      <w:r>
        <w:rPr>
          <w:rFonts w:ascii="Times New Roman" w:cs="Times New Roman" w:eastAsia="Times New Roman" w:hAnsi="Times New Roman"/>
          <w:b/>
          <w:bCs/>
          <w:color w:val="333333"/>
          <w:sz w:val="24"/>
          <w:szCs w:val="24"/>
        </w:rPr>
        <w:t xml:space="preserve">Context: </w:t>
      </w:r>
      <w:r>
        <w:rPr>
          <w:rFonts w:ascii="Times New Roman" w:cs="Times New Roman" w:eastAsia="Times New Roman" w:hAnsi="Times New Roman"/>
          <w:color w:val="333333"/>
          <w:sz w:val="24"/>
          <w:szCs w:val="24"/>
        </w:rPr>
        <w:t xml:space="preserve">Civil litigation context. Must establish causal connection between claimed event and psychological injury. Address pre-existing conditions and malingering.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PTSD/PI-Specific Requirements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Background History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Detailed trauma timeline with pre-incident baseline functioning. Employment, relationship, and health history before and after the claimed event.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Testing Results</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TSI-2, PCL-5, CAPS-5, MMPI-2/3 (especially F, Fb, Fp, FBS scales), SIMS, TOMM for effort/validity testing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Diagnostic Impressions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 address: (1) Does evaluee meet DSM-5-TR criteria for PTSD or other disorder? (2) Is the claimed event sufficient to cause the diagnosis? (3) Were there pre-existing conditions? (4) Effort and validity testing results.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Psycholegal Opinions</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Directly address causation, severity, prognosis, and functional impairment. Quantify impairment where possible.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Limitations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Address: retrospective assessment limitations, reliance on self-report, time elapsed since event, intervening stressors</w:t>
            </w:r>
          </w:p>
        </w:tc>
      </w:tr>
    </w:tbl>
    <w:p>
      <w:pPr>
        <w:spacing w:after="200"/>
      </w:pPr>
    </w:p>
    <w:p>
      <w:pPr>
        <w:pStyle w:val="Heading2"/>
        <w:spacing w:after="160" w:before="280"/>
      </w:pPr>
      <w:r>
        <w:rPr>
          <w:rFonts w:ascii="Times New Roman" w:cs="Times New Roman" w:eastAsia="Times New Roman" w:hAnsi="Times New Roman"/>
          <w:b/>
          <w:bCs/>
          <w:color w:val="333333"/>
          <w:sz w:val="24"/>
          <w:szCs w:val="24"/>
        </w:rPr>
        <w:t xml:space="preserve">3.5 Testamentary / Decisional Capacity</w:t>
      </w:r>
    </w:p>
    <w:p>
      <w:pPr>
        <w:spacing w:after="200" w:line="480"/>
      </w:pPr>
      <w:r>
        <w:rPr>
          <w:rFonts w:ascii="Times New Roman" w:cs="Times New Roman" w:eastAsia="Times New Roman" w:hAnsi="Times New Roman"/>
          <w:b/>
          <w:bCs/>
          <w:color w:val="333333"/>
          <w:sz w:val="24"/>
          <w:szCs w:val="24"/>
        </w:rPr>
        <w:t xml:space="preserve">Legal standard: </w:t>
      </w:r>
      <w:r>
        <w:rPr>
          <w:rFonts w:ascii="Times New Roman" w:cs="Times New Roman" w:eastAsia="Times New Roman" w:hAnsi="Times New Roman"/>
          <w:color w:val="333333"/>
          <w:sz w:val="24"/>
          <w:szCs w:val="24"/>
        </w:rPr>
        <w:t xml:space="preserve">Jurisdiction-specific. Generally requires the person to understand: (1) the nature and extent of their property, (2) the natural objects of their bounty, (3) the nature of the testamentary act, and (4) how these relate to form a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Capacity-Specific Requirements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Nature of Evaluation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Specify the exact decision or document at issue (will, trust, contract, medical decision)</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Background History</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Medical history with focus on cognitive conditions, medication effects, and temporal progression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Mental Status Examination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Emphasis on orientation, memory (remote and recent), executive function, and judgment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Testing Results</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MoCA/MMSE, SLUMS, detailed neuropsychological battery if warranted. Emphasize ecological validity.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Psycholegal Opinions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Address each prong of the legal standard separately. Specify the point in time the opinion applies to.</w:t>
            </w:r>
          </w:p>
        </w:tc>
      </w:tr>
    </w:tbl>
    <w:p>
      <w:r>
        <w:br w:type="page"/>
      </w:r>
    </w:p>
    <w:p>
      <w:pPr>
        <w:pStyle w:val="Heading1"/>
        <w:spacing w:after="200" w:before="360"/>
      </w:pPr>
      <w:r>
        <w:rPr>
          <w:rFonts w:ascii="Times New Roman" w:cs="Times New Roman" w:eastAsia="Times New Roman" w:hAnsi="Times New Roman"/>
          <w:b/>
          <w:bCs/>
          <w:color w:val="1B3A5C"/>
          <w:sz w:val="28"/>
          <w:szCs w:val="28"/>
        </w:rPr>
        <w:t xml:space="preserve">4. Language &amp; Writing Standards</w:t>
      </w:r>
    </w:p>
    <w:p>
      <w:pPr>
        <w:spacing w:after="200" w:line="480"/>
      </w:pPr>
      <w:r>
        <w:rPr>
          <w:rFonts w:ascii="Times New Roman" w:cs="Times New Roman" w:eastAsia="Times New Roman" w:hAnsi="Times New Roman"/>
          <w:color w:val="333333"/>
          <w:sz w:val="24"/>
          <w:szCs w:val="24"/>
        </w:rPr>
        <w:t xml:space="preserve">Forensic reports differ fundamentally from clinical treatment records. They are written for a legal audience—judges, attorneys, jurors—who may have no psychology training. Clarity, precision, and neutrality are paramount.</w:t>
      </w:r>
    </w:p>
    <w:p>
      <w:pPr>
        <w:pStyle w:val="Heading2"/>
        <w:spacing w:after="160" w:before="280"/>
      </w:pPr>
      <w:r>
        <w:rPr>
          <w:rFonts w:ascii="Times New Roman" w:cs="Times New Roman" w:eastAsia="Times New Roman" w:hAnsi="Times New Roman"/>
          <w:b/>
          <w:bCs/>
          <w:color w:val="333333"/>
          <w:sz w:val="24"/>
          <w:szCs w:val="24"/>
        </w:rPr>
        <w:t xml:space="preserve">4.1 General Writing Principles</w:t>
      </w:r>
    </w:p>
    <w:p>
      <w:pPr>
        <w:spacing w:after="200" w:line="480"/>
      </w:pPr>
      <w:r>
        <w:rPr>
          <w:rFonts w:ascii="Times New Roman" w:cs="Times New Roman" w:eastAsia="Times New Roman" w:hAnsi="Times New Roman"/>
          <w:b/>
          <w:bCs/>
          <w:color w:val="333333"/>
          <w:sz w:val="24"/>
          <w:szCs w:val="24"/>
        </w:rPr>
        <w:t xml:space="preserve">1. Write for the trier of fact. </w:t>
      </w:r>
      <w:r>
        <w:rPr>
          <w:rFonts w:ascii="Times New Roman" w:cs="Times New Roman" w:eastAsia="Times New Roman" w:hAnsi="Times New Roman"/>
          <w:color w:val="333333"/>
          <w:sz w:val="24"/>
          <w:szCs w:val="24"/>
        </w:rPr>
        <w:t xml:space="preserve">Use plain language. If a technical term is necessary, define it on first use. A judge should understand every sentence without a glossary.</w:t>
      </w:r>
    </w:p>
    <w:p>
      <w:pPr>
        <w:spacing w:after="200" w:line="480"/>
      </w:pPr>
      <w:r>
        <w:rPr>
          <w:rFonts w:ascii="Times New Roman" w:cs="Times New Roman" w:eastAsia="Times New Roman" w:hAnsi="Times New Roman"/>
          <w:b/>
          <w:bCs/>
          <w:color w:val="333333"/>
          <w:sz w:val="24"/>
          <w:szCs w:val="24"/>
        </w:rPr>
        <w:t xml:space="preserve">2. Separate data from interpretation. </w:t>
      </w:r>
      <w:r>
        <w:rPr>
          <w:rFonts w:ascii="Times New Roman" w:cs="Times New Roman" w:eastAsia="Times New Roman" w:hAnsi="Times New Roman"/>
          <w:color w:val="333333"/>
          <w:sz w:val="24"/>
          <w:szCs w:val="24"/>
        </w:rPr>
        <w:t xml:space="preserve">Present observations and test results in dedicated sections before offering diagnostic or psycholegal opinions. Never embed conclusions in the data sections.</w:t>
      </w:r>
    </w:p>
    <w:p>
      <w:pPr>
        <w:spacing w:after="200" w:line="480"/>
      </w:pPr>
      <w:r>
        <w:rPr>
          <w:rFonts w:ascii="Times New Roman" w:cs="Times New Roman" w:eastAsia="Times New Roman" w:hAnsi="Times New Roman"/>
          <w:b/>
          <w:bCs/>
          <w:color w:val="333333"/>
          <w:sz w:val="24"/>
          <w:szCs w:val="24"/>
        </w:rPr>
        <w:t xml:space="preserve">3. Use hedging language appropriately. </w:t>
      </w:r>
      <w:r>
        <w:rPr>
          <w:rFonts w:ascii="Times New Roman" w:cs="Times New Roman" w:eastAsia="Times New Roman" w:hAnsi="Times New Roman"/>
          <w:color w:val="333333"/>
          <w:sz w:val="24"/>
          <w:szCs w:val="24"/>
        </w:rPr>
        <w:t xml:space="preserve">Forensic conclusions are probabilistic, not certain. Use “consistent with,” “suggests,” “is indicative of” rather than “proves” or “demonstrates.”</w:t>
      </w:r>
    </w:p>
    <w:p>
      <w:pPr>
        <w:spacing w:after="200" w:line="480"/>
      </w:pPr>
      <w:r>
        <w:rPr>
          <w:rFonts w:ascii="Times New Roman" w:cs="Times New Roman" w:eastAsia="Times New Roman" w:hAnsi="Times New Roman"/>
          <w:b/>
          <w:bCs/>
          <w:color w:val="333333"/>
          <w:sz w:val="24"/>
          <w:szCs w:val="24"/>
        </w:rPr>
        <w:t xml:space="preserve">4. Avoid advocacy. </w:t>
      </w:r>
      <w:r>
        <w:rPr>
          <w:rFonts w:ascii="Times New Roman" w:cs="Times New Roman" w:eastAsia="Times New Roman" w:hAnsi="Times New Roman"/>
          <w:color w:val="333333"/>
          <w:sz w:val="24"/>
          <w:szCs w:val="24"/>
        </w:rPr>
        <w:t xml:space="preserve">The evaluator is an objective expert, not an advocate for either party. Avoid language that favors one side. Present contradictory data even when it weakens the primary opinion.</w:t>
      </w:r>
    </w:p>
    <w:p>
      <w:pPr>
        <w:spacing w:after="200" w:line="480"/>
      </w:pPr>
      <w:r>
        <w:rPr>
          <w:rFonts w:ascii="Times New Roman" w:cs="Times New Roman" w:eastAsia="Times New Roman" w:hAnsi="Times New Roman"/>
          <w:b/>
          <w:bCs/>
          <w:color w:val="333333"/>
          <w:sz w:val="24"/>
          <w:szCs w:val="24"/>
        </w:rPr>
        <w:t xml:space="preserve">5. Attribute all information. </w:t>
      </w:r>
      <w:r>
        <w:rPr>
          <w:rFonts w:ascii="Times New Roman" w:cs="Times New Roman" w:eastAsia="Times New Roman" w:hAnsi="Times New Roman"/>
          <w:color w:val="333333"/>
          <w:sz w:val="24"/>
          <w:szCs w:val="24"/>
        </w:rPr>
        <w:t xml:space="preserve">Every factual claim must identify its source: “According to the police report dated 03/15/2025...” or “Mr. Smith reported...” Never present information as if it were independently verified unless it was.</w:t>
      </w:r>
    </w:p>
    <w:p>
      <w:pPr>
        <w:pStyle w:val="Heading2"/>
        <w:spacing w:after="160" w:before="280"/>
      </w:pPr>
      <w:r>
        <w:rPr>
          <w:rFonts w:ascii="Times New Roman" w:cs="Times New Roman" w:eastAsia="Times New Roman" w:hAnsi="Times New Roman"/>
          <w:b/>
          <w:bCs/>
          <w:color w:val="333333"/>
          <w:sz w:val="24"/>
          <w:szCs w:val="24"/>
        </w:rPr>
        <w:t xml:space="preserve">4.2 Terminology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Avoid</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Evaluee / Examinee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Patient / Client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Forensic context is not a treatment relationship</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Evaluation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Assessment / Session</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“Assessment” is ambiguous; “session” implies treatment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evaluee reported...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evaluee said...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“Reported” is more formal and precise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Consistent with</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Proves / Demonstrates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Forensic conclusions are probabilistic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Within reasonable psychological certainty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 believe / I think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Legal standard of expert opinion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Intellectual disability</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Mental retardation</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DSM-5-TR terminology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Substance use disorder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Substance abuse / Addiction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 DSM-5-TR terminology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data suggest...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It is obvious that...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Avoids overstating conclusions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Mr./Ms. [Last 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name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Maintains professional formality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Validity indicators were within acceptable limits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evaluee was honest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Objective, testable claim vs. character judgment</w:t>
            </w:r>
          </w:p>
        </w:tc>
      </w:tr>
    </w:tbl>
    <w:p>
      <w:pPr>
        <w:spacing w:after="200"/>
      </w:pPr>
    </w:p>
    <w:p>
      <w:pPr>
        <w:pStyle w:val="Heading2"/>
        <w:spacing w:after="160" w:before="280"/>
      </w:pPr>
      <w:r>
        <w:rPr>
          <w:rFonts w:ascii="Times New Roman" w:cs="Times New Roman" w:eastAsia="Times New Roman" w:hAnsi="Times New Roman"/>
          <w:b/>
          <w:bCs/>
          <w:color w:val="333333"/>
          <w:sz w:val="24"/>
          <w:szCs w:val="24"/>
        </w:rPr>
        <w:t xml:space="preserve">4.3 Person-First and Respectful Language</w:t>
      </w:r>
    </w:p>
    <w:p>
      <w:pPr>
        <w:spacing w:after="200" w:line="480"/>
      </w:pPr>
      <w:r>
        <w:rPr>
          <w:rFonts w:ascii="Times New Roman" w:cs="Times New Roman" w:eastAsia="Times New Roman" w:hAnsi="Times New Roman"/>
          <w:color w:val="333333"/>
          <w:sz w:val="24"/>
          <w:szCs w:val="24"/>
        </w:rPr>
        <w:t xml:space="preserve">Follow APA guidelines for bias-free language. Use person-first constructions: “a person with schizophrenia” rather than “a schizophrenic.” Use identity-first language only when the community in question prefers it (e.g., “Deaf community”). Avoid gratuitous detail about race, gender, or disability unless clinically relevant to the referral question.</w:t>
      </w:r>
    </w:p>
    <w:p>
      <w:pPr>
        <w:pStyle w:val="Heading2"/>
        <w:spacing w:after="160" w:before="280"/>
      </w:pPr>
      <w:r>
        <w:rPr>
          <w:rFonts w:ascii="Times New Roman" w:cs="Times New Roman" w:eastAsia="Times New Roman" w:hAnsi="Times New Roman"/>
          <w:b/>
          <w:bCs/>
          <w:color w:val="333333"/>
          <w:sz w:val="24"/>
          <w:szCs w:val="24"/>
        </w:rPr>
        <w:t xml:space="preserve">4.4 Verb Tense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Tense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Background History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Past tense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Mr. Smith reported that he completed high school in 2010.</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Mental Status Examination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Past tense</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evaluee’s speech was fluent and goal-directed.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Testing Results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Past tense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evaluee obtained a Full Scale IQ of 95.</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Diagnostic Impressions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Present tense</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evaluee meets DSM-5-TR criteria for Major Depressive Disorder.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Psycholegal Opinions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Present tense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 is this evaluator’s opinion, within reasonable psychological certainty, that...</w:t>
            </w:r>
          </w:p>
        </w:tc>
      </w:tr>
    </w:tbl>
    <w:p>
      <w:r>
        <w:br w:type="page"/>
      </w:r>
    </w:p>
    <w:p>
      <w:pPr>
        <w:pStyle w:val="Heading1"/>
        <w:spacing w:after="200" w:before="360"/>
      </w:pPr>
      <w:r>
        <w:rPr>
          <w:rFonts w:ascii="Times New Roman" w:cs="Times New Roman" w:eastAsia="Times New Roman" w:hAnsi="Times New Roman"/>
          <w:b/>
          <w:bCs/>
          <w:color w:val="1B3A5C"/>
          <w:sz w:val="28"/>
          <w:szCs w:val="28"/>
        </w:rPr>
        <w:t xml:space="preserve">5. Test Score Presentation</w:t>
      </w:r>
    </w:p>
    <w:p>
      <w:pPr>
        <w:spacing w:after="200" w:line="480"/>
      </w:pPr>
      <w:r>
        <w:rPr>
          <w:rFonts w:ascii="Times New Roman" w:cs="Times New Roman" w:eastAsia="Times New Roman" w:hAnsi="Times New Roman"/>
          <w:color w:val="333333"/>
          <w:sz w:val="24"/>
          <w:szCs w:val="24"/>
        </w:rPr>
        <w:t xml:space="preserve">Psychological test results must be presented in a standardized, defensible format. Raw scores alone are insufficient—every score must be contextualized with normative data, classification labels, and confidence intervals where available.</w:t>
      </w:r>
    </w:p>
    <w:p>
      <w:pPr>
        <w:pStyle w:val="Heading2"/>
        <w:spacing w:after="160" w:before="280"/>
      </w:pPr>
      <w:r>
        <w:rPr>
          <w:rFonts w:ascii="Times New Roman" w:cs="Times New Roman" w:eastAsia="Times New Roman" w:hAnsi="Times New Roman"/>
          <w:b/>
          <w:bCs/>
          <w:color w:val="333333"/>
          <w:sz w:val="24"/>
          <w:szCs w:val="24"/>
        </w:rPr>
        <w:t xml:space="preserve">5.1 Score Presentation Format</w:t>
      </w:r>
    </w:p>
    <w:p>
      <w:pPr>
        <w:spacing w:after="200" w:line="480"/>
      </w:pPr>
      <w:r>
        <w:rPr>
          <w:rFonts w:ascii="Times New Roman" w:cs="Times New Roman" w:eastAsia="Times New Roman" w:hAnsi="Times New Roman"/>
          <w:color w:val="333333"/>
          <w:sz w:val="24"/>
          <w:szCs w:val="24"/>
        </w:rPr>
        <w:t xml:space="preserve">For each test instrument, present results in a table with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Scale / Subtest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Name of the measure or subscale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Verbal Comprehension Index</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Raw Score</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Unscaled score (omit if not standard practice for the instrument)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42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Standard Score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Scaled score on the instrument’s metric (T-score, scaled score, IQ, etc.)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SS = 108</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Percentile Rank</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Position relative to normative sample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70th percentile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95% CI</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Confidence interval for the standard score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102–114</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Classification</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Descriptive label per the test manual</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Average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Note if scale has validity concerns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Within normal limits</w:t>
            </w:r>
          </w:p>
        </w:tc>
      </w:tr>
    </w:tbl>
    <w:p>
      <w:pPr>
        <w:spacing w:after="200"/>
      </w:pPr>
    </w:p>
    <w:p>
      <w:pPr>
        <w:pStyle w:val="Heading2"/>
        <w:spacing w:after="160" w:before="280"/>
      </w:pPr>
      <w:r>
        <w:rPr>
          <w:rFonts w:ascii="Times New Roman" w:cs="Times New Roman" w:eastAsia="Times New Roman" w:hAnsi="Times New Roman"/>
          <w:b/>
          <w:bCs/>
          <w:color w:val="333333"/>
          <w:sz w:val="24"/>
          <w:szCs w:val="24"/>
        </w:rPr>
        <w:t xml:space="preserve">5.2 Score Metric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5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Mean</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SD</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Range Label Anchors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IQ / Standard Score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&lt;70 Extremely Low, 70–79 Borderline, 80–89 Low Average, 90–109 Average, 110–119 High Average, 120–129 Superior, 130+ Very Superior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T-Score</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&lt;30 Very Low, 30–39 Low, 40–59 Average, 60–69 High, 70+ Very High (clinical significance typically ≥65)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Scaled Score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 Extremely Low, 5–7 Below Average, 8–12 Average, 13–15 Above Average, 16–19 Superior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Z-Score</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Typically not used in reports; convert to T-score or percentile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Percentile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&lt;2 Extremely Low, 2–8 Borderline, 9–24 Low Average, 25–74 Average, 75–90 High Average, 91–97 Superior, 98+ Very Superior</w:t>
            </w:r>
          </w:p>
        </w:tc>
      </w:tr>
    </w:tbl>
    <w:p>
      <w:pPr>
        <w:spacing w:after="200"/>
      </w:pPr>
    </w:p>
    <w:p>
      <w:pPr>
        <w:pStyle w:val="Heading2"/>
        <w:spacing w:after="160" w:before="280"/>
      </w:pPr>
      <w:r>
        <w:rPr>
          <w:rFonts w:ascii="Times New Roman" w:cs="Times New Roman" w:eastAsia="Times New Roman" w:hAnsi="Times New Roman"/>
          <w:b/>
          <w:bCs/>
          <w:color w:val="333333"/>
          <w:sz w:val="24"/>
          <w:szCs w:val="24"/>
        </w:rPr>
        <w:t xml:space="preserve">5.3 Validity Indicator Reporting</w:t>
      </w:r>
    </w:p>
    <w:p>
      <w:pPr>
        <w:spacing w:after="200" w:line="480"/>
      </w:pPr>
      <w:r>
        <w:rPr>
          <w:rFonts w:ascii="Times New Roman" w:cs="Times New Roman" w:eastAsia="Times New Roman" w:hAnsi="Times New Roman"/>
          <w:color w:val="333333"/>
          <w:sz w:val="24"/>
          <w:szCs w:val="24"/>
        </w:rPr>
        <w:t xml:space="preserve">Performance and symptom validity testing must be reported before substantive test results. If validity indicators suggest non-credible performance, this must be addressed before interpreting any test scores. Use clear, operationalized criteria:</w:t>
      </w:r>
    </w:p>
    <w:p>
      <w:pPr>
        <w:spacing w:after="200" w:line="480"/>
      </w:pPr>
      <w:r>
        <w:rPr>
          <w:rFonts w:ascii="Times New Roman" w:cs="Times New Roman" w:eastAsia="Times New Roman" w:hAnsi="Times New Roman"/>
          <w:i/>
          <w:iCs/>
          <w:color w:val="333333"/>
          <w:sz w:val="24"/>
          <w:szCs w:val="24"/>
        </w:rPr>
        <w:t xml:space="preserve">“On the Test of Memory Malingering (TOMM), the evaluee obtained a Trial 2 score of 28/50, which falls below the recommended cutoff of 45/50 (Tombaugh, 1996). This score raises significant concerns about the credibility of the evaluee’s cognitive test performance. Subsequent cognitive test scores should be interpreted with extreme caution.”</w:t>
      </w:r>
    </w:p>
    <w:p>
      <w:pPr>
        <w:pBdr>
          <w:left w:val="single" w:color="2E75B6" w:sz="12" w:space="8"/>
        </w:pBdr>
        <w:spacing w:after="200" w:before="120"/>
        <w:ind w:left="360"/>
      </w:pPr>
      <w:r>
        <w:rPr>
          <w:rFonts w:ascii="Arial" w:cs="Arial" w:eastAsia="Arial" w:hAnsi="Arial"/>
          <w:sz w:val="20"/>
          <w:szCs w:val="20"/>
        </w:rPr>
        <w:t xml:space="preserve">ℹ️  </w:t>
      </w:r>
      <w:r>
        <w:rPr>
          <w:rFonts w:ascii="Arial" w:cs="Arial" w:eastAsia="Arial" w:hAnsi="Arial"/>
          <w:i/>
          <w:iCs/>
          <w:color w:val="666666"/>
          <w:sz w:val="20"/>
          <w:szCs w:val="20"/>
        </w:rPr>
        <w:t xml:space="preserve">NEVER use the word “malingering” as a standalone label. Malingering is a behavior, not a diagnosis. Report validity test results factually and let the data speak. If opining on response style, specify which domain (cognitive, psychiatric, somatic) and which specific indicators support the conclusion.</w:t>
      </w:r>
    </w:p>
    <w:p>
      <w:r>
        <w:br w:type="page"/>
      </w:r>
    </w:p>
    <w:p>
      <w:pPr>
        <w:pStyle w:val="Heading1"/>
        <w:spacing w:after="200" w:before="360"/>
      </w:pPr>
      <w:r>
        <w:rPr>
          <w:rFonts w:ascii="Times New Roman" w:cs="Times New Roman" w:eastAsia="Times New Roman" w:hAnsi="Times New Roman"/>
          <w:b/>
          <w:bCs/>
          <w:color w:val="1B3A5C"/>
          <w:sz w:val="28"/>
          <w:szCs w:val="28"/>
        </w:rPr>
        <w:t xml:space="preserve">6. Common Problems to Avoid</w:t>
      </w:r>
    </w:p>
    <w:p>
      <w:pPr>
        <w:spacing w:after="200" w:line="480"/>
      </w:pPr>
      <w:r>
        <w:rPr>
          <w:rFonts w:ascii="Times New Roman" w:cs="Times New Roman" w:eastAsia="Times New Roman" w:hAnsi="Times New Roman"/>
          <w:color w:val="333333"/>
          <w:sz w:val="24"/>
          <w:szCs w:val="24"/>
        </w:rPr>
        <w:t xml:space="preserve">Thomas Grisso identified 10 recurring problems in forensic reports that undermine credibility and admissibility. Psygil’s template and AI review systems are designed to flag these issues. Every report should be checked against this list before finalization.</w:t>
      </w:r>
    </w:p>
    <w:p>
      <w:pPr>
        <w:pStyle w:val="Heading2"/>
        <w:spacing w:after="160" w:before="280"/>
      </w:pPr>
      <w:r>
        <w:rPr>
          <w:rFonts w:ascii="Times New Roman" w:cs="Times New Roman" w:eastAsia="Times New Roman" w:hAnsi="Times New Roman"/>
          <w:b/>
          <w:bCs/>
          <w:color w:val="333333"/>
          <w:sz w:val="24"/>
          <w:szCs w:val="24"/>
        </w:rPr>
        <w:t xml:space="preserve">6.1 Grisso’s 10 Common Report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600"/>
        <w:gridCol w:w="316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Psygil Mitigation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Opinions without explanation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Stating a conclusion without showing the reasoning chain that supports it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Template requires “Supporting Data” subsection under every opinion</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Forensic purpose unclear</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Failing to clearly identify what legal question the evaluation addresses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Referral section is mandatory; psycholegal opinions must reference the referral question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Failure to answer referral question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Extensive clinical data but never directly addressing the legal question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Psycholegal Opinions section is structured as: Question → Opinion → Basis</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Organization problems</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scattered across sections, making the reasoning chain impossible to follow</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15-section structure enforces data-before-interpretation ordering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Jargon and technical language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Using terms the legal audience won’t understand without definitions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review flags undefined technical terms; terminology guide enforced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Mixing data and interpretation</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Embedding opinions in the data sections or data in the opinion sections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Strict section boundaries: Sections 5–9 are data; 10–12 are interpretation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Irrelevant data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Including extensive history or test results not related to the referral question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review flags sections with no connection to the psycholegal question</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Over-reliance on single source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Basing opinions primarily on one interview or one test without corroboration</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Template requires multi-source integration in Clinical Formulation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Improper test use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Using tests outside their validated purpose or with inappropriate norms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 battery linked to evaluation type; norming information required for each instrument</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Failure to consider alternatives</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addressing alternative diagnoses, explanations, or response styles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Diagnostic section requires differential diagnosis and rule-out discussion</w:t>
            </w:r>
          </w:p>
        </w:tc>
      </w:tr>
    </w:tbl>
    <w:p>
      <w:pPr>
        <w:spacing w:after="200"/>
      </w:pPr>
    </w:p>
    <w:p>
      <w:pPr>
        <w:pStyle w:val="Heading2"/>
        <w:spacing w:after="160" w:before="280"/>
      </w:pPr>
      <w:r>
        <w:rPr>
          <w:rFonts w:ascii="Times New Roman" w:cs="Times New Roman" w:eastAsia="Times New Roman" w:hAnsi="Times New Roman"/>
          <w:b/>
          <w:bCs/>
          <w:color w:val="333333"/>
          <w:sz w:val="24"/>
          <w:szCs w:val="24"/>
        </w:rPr>
        <w:t xml:space="preserve">6.2 Additional Quality Checks</w:t>
      </w:r>
    </w:p>
    <w:p>
      <w:pPr>
        <w:spacing w:after="200" w:line="480"/>
      </w:pPr>
      <w:r>
        <w:rPr>
          <w:rFonts w:ascii="Times New Roman" w:cs="Times New Roman" w:eastAsia="Times New Roman" w:hAnsi="Times New Roman"/>
          <w:b/>
          <w:bCs/>
          <w:color w:val="333333"/>
          <w:sz w:val="24"/>
          <w:szCs w:val="24"/>
        </w:rPr>
        <w:t xml:space="preserve">Cross-examination vulnerability: </w:t>
      </w:r>
      <w:r>
        <w:rPr>
          <w:rFonts w:ascii="Times New Roman" w:cs="Times New Roman" w:eastAsia="Times New Roman" w:hAnsi="Times New Roman"/>
          <w:color w:val="333333"/>
          <w:sz w:val="24"/>
          <w:szCs w:val="24"/>
        </w:rPr>
        <w:t xml:space="preserve">Read the Psycholegal Opinions section as if you were the opposing attorney. Can every claim be traced to a specific data point in the report? If not, it will be attacked on cross.</w:t>
      </w:r>
    </w:p>
    <w:p>
      <w:pPr>
        <w:spacing w:after="200" w:line="480"/>
      </w:pPr>
      <w:r>
        <w:rPr>
          <w:rFonts w:ascii="Times New Roman" w:cs="Times New Roman" w:eastAsia="Times New Roman" w:hAnsi="Times New Roman"/>
          <w:b/>
          <w:bCs/>
          <w:color w:val="333333"/>
          <w:sz w:val="24"/>
          <w:szCs w:val="24"/>
        </w:rPr>
        <w:t xml:space="preserve">Consistency check: </w:t>
      </w:r>
      <w:r>
        <w:rPr>
          <w:rFonts w:ascii="Times New Roman" w:cs="Times New Roman" w:eastAsia="Times New Roman" w:hAnsi="Times New Roman"/>
          <w:color w:val="333333"/>
          <w:sz w:val="24"/>
          <w:szCs w:val="24"/>
        </w:rPr>
        <w:t xml:space="preserve">Do the diagnostic impressions align with the test results and MSE findings? If a diagnosis of Major Depressive Disorder is given but the PHQ-9 score is 3, the contradiction must be explained.</w:t>
      </w:r>
    </w:p>
    <w:p>
      <w:pPr>
        <w:spacing w:after="200" w:line="480"/>
      </w:pPr>
      <w:r>
        <w:rPr>
          <w:rFonts w:ascii="Times New Roman" w:cs="Times New Roman" w:eastAsia="Times New Roman" w:hAnsi="Times New Roman"/>
          <w:b/>
          <w:bCs/>
          <w:color w:val="333333"/>
          <w:sz w:val="24"/>
          <w:szCs w:val="24"/>
        </w:rPr>
        <w:t xml:space="preserve">Completeness check: </w:t>
      </w:r>
      <w:r>
        <w:rPr>
          <w:rFonts w:ascii="Times New Roman" w:cs="Times New Roman" w:eastAsia="Times New Roman" w:hAnsi="Times New Roman"/>
          <w:color w:val="333333"/>
          <w:sz w:val="24"/>
          <w:szCs w:val="24"/>
        </w:rPr>
        <w:t xml:space="preserve">Are all tests listed in Sources of Information reported in Testing Results? Are all interviews listed actually referenced in the body? Missing data creates reasonable doubt about thoroughness.</w:t>
      </w:r>
    </w:p>
    <w:p>
      <w:pPr>
        <w:spacing w:after="200" w:line="480"/>
      </w:pPr>
      <w:r>
        <w:rPr>
          <w:rFonts w:ascii="Times New Roman" w:cs="Times New Roman" w:eastAsia="Times New Roman" w:hAnsi="Times New Roman"/>
          <w:b/>
          <w:bCs/>
          <w:color w:val="333333"/>
          <w:sz w:val="24"/>
          <w:szCs w:val="24"/>
        </w:rPr>
        <w:t xml:space="preserve">Temporal consistency: </w:t>
      </w:r>
      <w:r>
        <w:rPr>
          <w:rFonts w:ascii="Times New Roman" w:cs="Times New Roman" w:eastAsia="Times New Roman" w:hAnsi="Times New Roman"/>
          <w:color w:val="333333"/>
          <w:sz w:val="24"/>
          <w:szCs w:val="24"/>
        </w:rPr>
        <w:t xml:space="preserve">Are dates internally consistent? Does the chronology of events in Background History match dates in records reviewed? Date discrepancies are a common cross-examination target.</w:t>
      </w:r>
    </w:p>
    <w:p>
      <w:r>
        <w:br w:type="page"/>
      </w:r>
    </w:p>
    <w:p>
      <w:pPr>
        <w:pStyle w:val="Heading1"/>
        <w:spacing w:after="200" w:before="360"/>
      </w:pPr>
      <w:r>
        <w:rPr>
          <w:rFonts w:ascii="Times New Roman" w:cs="Times New Roman" w:eastAsia="Times New Roman" w:hAnsi="Times New Roman"/>
          <w:b/>
          <w:bCs/>
          <w:color w:val="1B3A5C"/>
          <w:sz w:val="28"/>
          <w:szCs w:val="28"/>
        </w:rPr>
        <w:t xml:space="preserve">7. Confidentiality Notice Templates</w:t>
      </w:r>
    </w:p>
    <w:p>
      <w:pPr>
        <w:spacing w:after="200" w:line="480"/>
      </w:pPr>
      <w:r>
        <w:rPr>
          <w:rFonts w:ascii="Times New Roman" w:cs="Times New Roman" w:eastAsia="Times New Roman" w:hAnsi="Times New Roman"/>
          <w:color w:val="333333"/>
          <w:sz w:val="24"/>
          <w:szCs w:val="24"/>
        </w:rPr>
        <w:t xml:space="preserve">Every forensic evaluation report must include a confidentiality notice that specifies the limits of confidentiality, the intended recipients, and informed consent status. The notice should appear as Section 4 of every report.</w:t>
      </w:r>
    </w:p>
    <w:p>
      <w:pPr>
        <w:pStyle w:val="Heading2"/>
        <w:spacing w:after="160" w:before="280"/>
      </w:pPr>
      <w:r>
        <w:rPr>
          <w:rFonts w:ascii="Times New Roman" w:cs="Times New Roman" w:eastAsia="Times New Roman" w:hAnsi="Times New Roman"/>
          <w:b/>
          <w:bCs/>
          <w:color w:val="333333"/>
          <w:sz w:val="24"/>
          <w:szCs w:val="24"/>
        </w:rPr>
        <w:t xml:space="preserve">7.1 Standard Forensic Confidentiality Notice</w:t>
      </w:r>
    </w:p>
    <w:p>
      <w:pPr>
        <w:spacing w:after="200" w:line="480"/>
      </w:pPr>
      <w:r>
        <w:rPr>
          <w:rFonts w:ascii="Times New Roman" w:cs="Times New Roman" w:eastAsia="Times New Roman" w:hAnsi="Times New Roman"/>
          <w:i/>
          <w:iCs/>
          <w:color w:val="333333"/>
          <w:sz w:val="24"/>
          <w:szCs w:val="24"/>
        </w:rPr>
        <w:t xml:space="preserve">This evaluation was conducted at the request of [REFERRAL SOURCE] for the purpose of [LEGAL QUESTION]. The evaluee, [NAME], was informed prior to the evaluation that this is not a treatment relationship, that the usual rules of therapist-patient confidentiality do not apply, and that the findings and opinions contained in this report may be disclosed to the court, the attorneys of record, and other parties as determined by the court. The evaluee was informed that the evaluator may be called to testify regarding the findings. The evaluee acknowledged understanding these conditions and agreed to participate. [If applicable: The evaluee’s attorney, [ATTORNEY NAME], was present during/notified of these advisements.]</w:t>
      </w:r>
    </w:p>
    <w:p>
      <w:pPr>
        <w:pStyle w:val="Heading2"/>
        <w:spacing w:after="160" w:before="280"/>
      </w:pPr>
      <w:r>
        <w:rPr>
          <w:rFonts w:ascii="Times New Roman" w:cs="Times New Roman" w:eastAsia="Times New Roman" w:hAnsi="Times New Roman"/>
          <w:b/>
          <w:bCs/>
          <w:color w:val="333333"/>
          <w:sz w:val="24"/>
          <w:szCs w:val="24"/>
        </w:rPr>
        <w:t xml:space="preserve">7.2 Court-Ordered Evaluation Notice</w:t>
      </w:r>
    </w:p>
    <w:p>
      <w:pPr>
        <w:spacing w:after="200" w:line="480"/>
      </w:pPr>
      <w:r>
        <w:rPr>
          <w:rFonts w:ascii="Times New Roman" w:cs="Times New Roman" w:eastAsia="Times New Roman" w:hAnsi="Times New Roman"/>
          <w:i/>
          <w:iCs/>
          <w:color w:val="333333"/>
          <w:sz w:val="24"/>
          <w:szCs w:val="24"/>
        </w:rPr>
        <w:t xml:space="preserve">This evaluation was ordered by [COURT NAME] pursuant to [STATUTE/ORDER]. The evaluee was informed that participation [is mandatory under the court order / is voluntary but refusal may be reported to the court]. The evaluee was advised that the contents of this report will be provided to the court and to all counsel of record. The evaluee acknowledged understanding these conditions.</w:t>
      </w:r>
    </w:p>
    <w:p>
      <w:pPr>
        <w:pStyle w:val="Heading2"/>
        <w:spacing w:after="160" w:before="280"/>
      </w:pPr>
      <w:r>
        <w:rPr>
          <w:rFonts w:ascii="Times New Roman" w:cs="Times New Roman" w:eastAsia="Times New Roman" w:hAnsi="Times New Roman"/>
          <w:b/>
          <w:bCs/>
          <w:color w:val="333333"/>
          <w:sz w:val="24"/>
          <w:szCs w:val="24"/>
        </w:rPr>
        <w:t xml:space="preserve">7.3 Custody Evaluation Multi-Party Notice</w:t>
      </w:r>
    </w:p>
    <w:p>
      <w:pPr>
        <w:spacing w:after="200" w:line="480"/>
      </w:pPr>
      <w:r>
        <w:rPr>
          <w:rFonts w:ascii="Times New Roman" w:cs="Times New Roman" w:eastAsia="Times New Roman" w:hAnsi="Times New Roman"/>
          <w:i/>
          <w:iCs/>
          <w:color w:val="333333"/>
          <w:sz w:val="24"/>
          <w:szCs w:val="24"/>
        </w:rPr>
        <w:t xml:space="preserve">This evaluation was conducted pursuant to [COURT ORDER/STIPULATION]. All parties—[PARENT 1 NAME] and [PARENT 2 NAME]—were informed that: (1) this is not a treatment relationship; (2) the evaluator is serving as an objective expert, not an advocate for either party; (3) information shared by one party may be discussed with the other party and included in this report; (4) the completed report will be provided to the court and to all counsel of record; and (5) the evaluator may be called to testify. All parties acknowledged understanding these conditions and agreed to participate.</w:t>
      </w:r>
    </w:p>
    <w:p>
      <w:pPr>
        <w:pBdr>
          <w:left w:val="single" w:color="2E75B6" w:sz="12" w:space="8"/>
        </w:pBdr>
        <w:spacing w:after="200" w:before="120"/>
        <w:ind w:left="360"/>
      </w:pPr>
      <w:r>
        <w:rPr>
          <w:rFonts w:ascii="Arial" w:cs="Arial" w:eastAsia="Arial" w:hAnsi="Arial"/>
          <w:sz w:val="20"/>
          <w:szCs w:val="20"/>
        </w:rPr>
        <w:t xml:space="preserve">ℹ️  </w:t>
      </w:r>
      <w:r>
        <w:rPr>
          <w:rFonts w:ascii="Arial" w:cs="Arial" w:eastAsia="Arial" w:hAnsi="Arial"/>
          <w:i/>
          <w:iCs/>
          <w:color w:val="666666"/>
          <w:sz w:val="20"/>
          <w:szCs w:val="20"/>
        </w:rPr>
        <w:t xml:space="preserve">State-specific requirements may modify these templates. California (Evidence Code §1017), Florida (F.S. 90.503), and other states have specific statutory language for forensic evaluation confidentiality advisements. Always verify jurisdiction-specific requirements.</w:t>
      </w:r>
    </w:p>
    <w:p>
      <w:r>
        <w:br w:type="page"/>
      </w:r>
    </w:p>
    <w:p>
      <w:pPr>
        <w:pStyle w:val="Heading1"/>
        <w:spacing w:after="200" w:before="360"/>
      </w:pPr>
      <w:r>
        <w:rPr>
          <w:rFonts w:ascii="Times New Roman" w:cs="Times New Roman" w:eastAsia="Times New Roman" w:hAnsi="Times New Roman"/>
          <w:b/>
          <w:bCs/>
          <w:color w:val="1B3A5C"/>
          <w:sz w:val="28"/>
          <w:szCs w:val="28"/>
        </w:rPr>
        <w:t xml:space="preserve">8. Signature Block &amp; Attestation</w:t>
      </w:r>
    </w:p>
    <w:p>
      <w:pPr>
        <w:spacing w:after="200" w:line="480"/>
      </w:pPr>
      <w:r>
        <w:rPr>
          <w:rFonts w:ascii="Times New Roman" w:cs="Times New Roman" w:eastAsia="Times New Roman" w:hAnsi="Times New Roman"/>
          <w:color w:val="333333"/>
          <w:sz w:val="24"/>
          <w:szCs w:val="24"/>
        </w:rPr>
        <w:t xml:space="preserve">The signature block is the final section of every report. It establishes the evaluator’s credentials, attests to the report’s accuracy, and provides a record of the completion date.</w:t>
      </w:r>
    </w:p>
    <w:p>
      <w:pPr>
        <w:pStyle w:val="Heading2"/>
        <w:spacing w:after="160" w:before="280"/>
      </w:pPr>
      <w:r>
        <w:rPr>
          <w:rFonts w:ascii="Times New Roman" w:cs="Times New Roman" w:eastAsia="Times New Roman" w:hAnsi="Times New Roman"/>
          <w:b/>
          <w:bCs/>
          <w:color w:val="333333"/>
          <w:sz w:val="24"/>
          <w:szCs w:val="24"/>
        </w:rPr>
        <w:t xml:space="preserve">8.1 Required Signature Block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legal 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Last, Degrees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Truck Irwin, Psy.D.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License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State license type + number</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Licensed Psychologist, CA #PSY12345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Board certification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ABPP specialty (if applicable)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Board Certified in Forensic Psychology (ABPP)</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signed</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 Day, Year</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April 1,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Contact information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Professional address, phone, email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123 Main St, Suite 400, Los Angeles, CA 90001</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Attestation statement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See 8.2 below</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default"/>
            </w:r>
          </w:p>
        </w:tc>
      </w:tr>
    </w:tbl>
    <w:p>
      <w:pPr>
        <w:pStyle w:val="Heading2"/>
        <w:spacing w:after="160" w:before="280"/>
      </w:pPr>
      <w:r>
        <w:rPr>
          <w:rFonts w:ascii="Times New Roman" w:cs="Times New Roman" w:eastAsia="Times New Roman" w:hAnsi="Times New Roman"/>
          <w:b/>
          <w:bCs/>
          <w:color w:val="333333"/>
          <w:sz w:val="24"/>
          <w:szCs w:val="24"/>
        </w:rPr>
        <w:t xml:space="preserve">8.2 Attestation Statement Template</w:t>
      </w:r>
    </w:p>
    <w:p>
      <w:pPr>
        <w:spacing w:after="200" w:line="480"/>
      </w:pPr>
      <w:r>
        <w:rPr>
          <w:rFonts w:ascii="Times New Roman" w:cs="Times New Roman" w:eastAsia="Times New Roman" w:hAnsi="Times New Roman"/>
          <w:i/>
          <w:iCs/>
          <w:color w:val="333333"/>
          <w:sz w:val="24"/>
          <w:szCs w:val="24"/>
        </w:rPr>
        <w:t xml:space="preserve">I, [FULL NAME, DEGREES], a licensed psychologist in the State of [STATE], hereby attest that the findings, opinions, and recommendations contained in this report are based on my professional education, training, and experience; my review of the records identified in this report; my clinical interview(s) with the evaluee; and the results of psychological testing administered and interpreted by me or under my direct supervision. This report represents my independent professional opinions, formed within reasonable psychological certainty.</w:t>
      </w:r>
    </w:p>
    <w:p>
      <w:pPr>
        <w:pStyle w:val="Heading2"/>
        <w:spacing w:after="160" w:before="280"/>
      </w:pPr>
      <w:r>
        <w:rPr>
          <w:rFonts w:ascii="Times New Roman" w:cs="Times New Roman" w:eastAsia="Times New Roman" w:hAnsi="Times New Roman"/>
          <w:b/>
          <w:bCs/>
          <w:color w:val="333333"/>
          <w:sz w:val="24"/>
          <w:szCs w:val="24"/>
        </w:rPr>
        <w:t xml:space="preserve">8.3 Compensation Disclosure (Federal Rule 26)</w:t>
      </w:r>
    </w:p>
    <w:p>
      <w:pPr>
        <w:spacing w:after="200" w:line="480"/>
      </w:pPr>
      <w:r>
        <w:rPr>
          <w:rFonts w:ascii="Times New Roman" w:cs="Times New Roman" w:eastAsia="Times New Roman" w:hAnsi="Times New Roman"/>
          <w:color w:val="333333"/>
          <w:sz w:val="24"/>
          <w:szCs w:val="24"/>
        </w:rPr>
        <w:t xml:space="preserve">When submitting expert reports in federal court under Rule 26, the signature block should include a compensation statement:</w:t>
      </w:r>
    </w:p>
    <w:p>
      <w:pPr>
        <w:spacing w:after="200" w:line="480"/>
      </w:pPr>
      <w:r>
        <w:rPr>
          <w:rFonts w:ascii="Times New Roman" w:cs="Times New Roman" w:eastAsia="Times New Roman" w:hAnsi="Times New Roman"/>
          <w:i/>
          <w:iCs/>
          <w:color w:val="333333"/>
          <w:sz w:val="24"/>
          <w:szCs w:val="24"/>
        </w:rPr>
        <w:t xml:space="preserve">Compensation: The undersigned’s fee for this evaluation was $[AMOUNT], which includes [clinical interview time, record review, testing, scoring, interpretation, and report writing]. Compensation is not contingent on the opinions expressed or the outcome of this matter.</w:t>
      </w:r>
    </w:p>
    <w:p>
      <w:r>
        <w:br w:type="page"/>
      </w:r>
    </w:p>
    <w:p>
      <w:pPr>
        <w:pStyle w:val="Heading1"/>
        <w:spacing w:after="200" w:before="360"/>
      </w:pPr>
      <w:r>
        <w:rPr>
          <w:rFonts w:ascii="Times New Roman" w:cs="Times New Roman" w:eastAsia="Times New Roman" w:hAnsi="Times New Roman"/>
          <w:b/>
          <w:bCs/>
          <w:color w:val="1B3A5C"/>
          <w:sz w:val="28"/>
          <w:szCs w:val="28"/>
        </w:rPr>
        <w:t xml:space="preserve">9. Appendix: Evaluation-Type Quick Reference</w:t>
      </w:r>
    </w:p>
    <w:p>
      <w:pPr>
        <w:spacing w:after="200" w:line="480"/>
      </w:pPr>
      <w:r>
        <w:rPr>
          <w:rFonts w:ascii="Times New Roman" w:cs="Times New Roman" w:eastAsia="Times New Roman" w:hAnsi="Times New Roman"/>
          <w:color w:val="333333"/>
          <w:sz w:val="24"/>
          <w:szCs w:val="24"/>
        </w:rPr>
        <w:t xml:space="preserve">This appendix provides a one-page quick reference card for each major evaluation type, summarizing the key instruments, typical structure modifications, and the essential legal standards.</w:t>
      </w:r>
    </w:p>
    <w:p>
      <w:pPr>
        <w:pStyle w:val="Heading2"/>
        <w:spacing w:after="160" w:before="280"/>
      </w:pPr>
      <w:r>
        <w:rPr>
          <w:rFonts w:ascii="Times New Roman" w:cs="Times New Roman" w:eastAsia="Times New Roman" w:hAnsi="Times New Roman"/>
          <w:b/>
          <w:bCs/>
          <w:color w:val="333333"/>
          <w:sz w:val="24"/>
          <w:szCs w:val="24"/>
        </w:rPr>
        <w:t xml:space="preserve">9.1 CST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Legal Standard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Dusky v. United States (1960): rational + factual understanding; ability to consult with counsel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Key Instruments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MacCAT-CA, ECST-R, CAST*MR (if intellectual disability suspected)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Prongs to Address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Understanding of proceedings, (2) Ability to consult with counsel, (3) Restorability (if incompetent)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Typical Length</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8–15 pages double-spaced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State Variations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Some states add “ability to assist in own defense” as a third prong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Common Pitfall</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Conflating competency with mental illness. A person can be psychotic and competent, or non-psychotic and incompetent.</w:t>
            </w:r>
          </w:p>
        </w:tc>
      </w:tr>
    </w:tbl>
    <w:p>
      <w:pPr>
        <w:spacing w:after="200"/>
      </w:pPr>
    </w:p>
    <w:p>
      <w:pPr>
        <w:pStyle w:val="Heading2"/>
        <w:spacing w:after="160" w:before="280"/>
      </w:pPr>
      <w:r>
        <w:rPr>
          <w:rFonts w:ascii="Times New Roman" w:cs="Times New Roman" w:eastAsia="Times New Roman" w:hAnsi="Times New Roman"/>
          <w:b/>
          <w:bCs/>
          <w:color w:val="333333"/>
          <w:sz w:val="24"/>
          <w:szCs w:val="24"/>
        </w:rPr>
        <w:t xml:space="preserve">9.2 Custody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Legal Standard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Best interests of the child (jurisdiction-specific factors)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Key Instruments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MMPI-2/3, PAI, PCRI, ASPECT; child: CBCL, sentence completion, projectives as appropriate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Required Contacts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Both parents, all children, collateral (teachers, therapists, pediatrician), home visit (if ordered)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Typical Length</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10–30 pages double-spaced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Key Standard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AFCC Model Standards for Child Custody Evaluation (2006)</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Common Pitfall</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Recommending a specific custody schedule. Stay in your lane—provide clinical data; the court decides custody.</w:t>
            </w:r>
          </w:p>
        </w:tc>
      </w:tr>
    </w:tbl>
    <w:p>
      <w:pPr>
        <w:spacing w:after="200"/>
      </w:pPr>
    </w:p>
    <w:p>
      <w:pPr>
        <w:pStyle w:val="Heading2"/>
        <w:spacing w:after="160" w:before="280"/>
      </w:pPr>
      <w:r>
        <w:rPr>
          <w:rFonts w:ascii="Times New Roman" w:cs="Times New Roman" w:eastAsia="Times New Roman" w:hAnsi="Times New Roman"/>
          <w:b/>
          <w:bCs/>
          <w:color w:val="333333"/>
          <w:sz w:val="24"/>
          <w:szCs w:val="24"/>
        </w:rPr>
        <w:t xml:space="preserve">9.3 Risk Assessment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Framework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Structured Professional Judgment (SPJ)</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Key Instruments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HCR-20 V3, PCL-R, VRAG-R (general); STATIC-99R, SVR-20 (sexual); SARA (IPV); SAM (stalking)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Risk Communication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 / Moderate / High with temporal qualifiers. NEVER use percentages.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Typical Length</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8–12 pages double-spaced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Essential Content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Static risk factors, dynamic risk factors, protective factors, risk management recommendations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Common Pitfall</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Presenting risk as a fixed trait rather than a contextual, time-bound probability.</w:t>
            </w:r>
          </w:p>
        </w:tc>
      </w:tr>
    </w:tbl>
    <w:p>
      <w:pPr>
        <w:spacing w:after="200"/>
      </w:pPr>
    </w:p>
    <w:p>
      <w:pPr>
        <w:pStyle w:val="Heading2"/>
        <w:spacing w:after="160" w:before="280"/>
      </w:pPr>
      <w:r>
        <w:rPr>
          <w:rFonts w:ascii="Times New Roman" w:cs="Times New Roman" w:eastAsia="Times New Roman" w:hAnsi="Times New Roman"/>
          <w:b/>
          <w:bCs/>
          <w:color w:val="333333"/>
          <w:sz w:val="24"/>
          <w:szCs w:val="24"/>
        </w:rPr>
        <w:t xml:space="preserve">9.4 PTSD / Personal Injury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Civil litigation; must establish causation between claimed event and psychological injury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Key Instruments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CAPS-5, PCL-5, TSI-2; validity: MMPI-2/3, SIMS, TOMM, MSVT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Essential Content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Pre-incident baseline, trauma timeline, symptom onset, functional impairment, causation opinion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Typical Length</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10–20 pages double-spaced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Daubert Focus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Clear methodology for establishing causal connection; address alternative explanations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Common Pitfall</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Failing to address malingering/symptom exaggeration in a litigation context.</w:t>
            </w:r>
          </w:p>
        </w:tc>
      </w:tr>
    </w:tbl>
    <w:p>
      <w:pPr>
        <w:spacing w:after="200"/>
      </w:pPr>
    </w:p>
    <w:p>
      <w:pPr>
        <w:pStyle w:val="Heading2"/>
        <w:spacing w:after="160" w:before="280"/>
      </w:pPr>
      <w:r>
        <w:rPr>
          <w:rFonts w:ascii="Times New Roman" w:cs="Times New Roman" w:eastAsia="Times New Roman" w:hAnsi="Times New Roman"/>
          <w:b/>
          <w:bCs/>
          <w:color w:val="333333"/>
          <w:sz w:val="24"/>
          <w:szCs w:val="24"/>
        </w:rPr>
        <w:t xml:space="preserve">9.5 Capacity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Legal Standard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Jurisdiction-specific; generally: understand nature/extent of property, natural objects of bounty, nature of act, ability to form a plan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Key Instruments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MoCA, MMSE, SLUMS; full neuropsych battery if warranted (WAIS-IV, WMS-IV, D-KEFS, WCST)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Essential Content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Specific capacity at issue, cognitive profile, temporal specificity (capacity at what point in time?)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Typical Length</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6–10 pages double-spaced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Key Consideration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Capacity is decision-specific and time-specific. A person may have capacity for one decision but not another.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Common Pitfall</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Overgeneralizing a capacity finding. Address only the specific decision or document in question.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Foundry SMB  |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66666"/>
        <w:sz w:val="18"/>
        <w:szCs w:val="18"/>
      </w:rPr>
      <w:t xml:space="preserve">Psygil — Forensic Report Style Guide v1.0</w:t>
    </w:r>
    <w:r>
      <w:rPr>
        <w:rFonts w:ascii="Arial" w:cs="Arial" w:eastAsia="Arial" w:hAnsi="Arial"/>
        <w:b/>
        <w:bCs/>
        <w:color w:val="2E75B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B3A5C"/>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333333"/>
      <w:sz w:val="24"/>
      <w:szCs w:val="24"/>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2026-04-01T15:50:23.490Z</dcterms:created>
  <dcterms:modified xsi:type="dcterms:W3CDTF">2026-04-01T15:50:23.490Z</dcterms:modified>
</cp:coreProperties>
</file>

<file path=docProps/custom.xml><?xml version="1.0" encoding="utf-8"?>
<Properties xmlns="http://schemas.openxmlformats.org/officeDocument/2006/custom-properties" xmlns:vt="http://schemas.openxmlformats.org/officeDocument/2006/docPropsVTypes"/>
</file>