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APA SPECIALTY GUIDELINES FOR FORENSIC PSYCHOLOGY</w:t>
      </w:r>
    </w:p>
    <w:p>
      <w:pPr>
        <w:spacing w:after="300"/>
        <w:jc w:val="center"/>
      </w:pPr>
      <w:r>
        <w:rPr>
          <w:i/>
          <w:iCs/>
          <w:sz w:val="22"/>
          <w:szCs w:val="22"/>
        </w:rPr>
        <w:t xml:space="preserve">Summary and Practice Implications (2013 Guidelines)</w:t>
      </w:r>
    </w:p>
    <w:p>
      <w:pPr>
        <w:pStyle w:val="Heading1"/>
      </w:pPr>
      <w:r>
        <w:t xml:space="preserve">1. RESPONSIBILITIES</w:t>
      </w:r>
    </w:p>
    <w:p>
      <w:pPr>
        <w:pStyle w:val="Heading2"/>
      </w:pPr>
      <w:r>
        <w:t xml:space="preserve">1.01 Integrity</w:t>
      </w:r>
    </w:p>
    <w:p>
      <w:pPr>
        <w:spacing w:after="120"/>
      </w:pPr>
      <w:r>
        <w:rPr>
          <w:sz w:val="24"/>
          <w:szCs w:val="24"/>
        </w:rPr>
        <w:t xml:space="preserve">Forensic practitioners strive for accuracy, honesty, and truthfulness. They do not deceive others through their work or omit information that could lead to false conclusions. In practice: state the basis for opinions clearly, acknowledge limitations, present alternative interpretations fairly.</w:t>
      </w:r>
    </w:p>
    <w:p>
      <w:pPr>
        <w:pStyle w:val="Heading2"/>
      </w:pPr>
      <w:r>
        <w:t xml:space="preserve">1.02 Impartiality and Fairness</w:t>
      </w:r>
    </w:p>
    <w:p>
      <w:pPr>
        <w:spacing w:after="120"/>
      </w:pPr>
      <w:r>
        <w:rPr>
          <w:sz w:val="24"/>
          <w:szCs w:val="24"/>
        </w:rPr>
        <w:t xml:space="preserve">Strive to be fair, unbiased, and objective. Recognize and manage the effect of the adversarial system on objectivity. In practice: use the same methodology regardless of who retains you; if your findings don't support the retaining party's position, report them accurately.</w:t>
      </w:r>
    </w:p>
    <w:p>
      <w:pPr>
        <w:pStyle w:val="Heading1"/>
      </w:pPr>
      <w:r>
        <w:t xml:space="preserve">2. COMPETENCE</w:t>
      </w:r>
    </w:p>
    <w:p>
      <w:pPr>
        <w:pStyle w:val="Heading2"/>
      </w:pPr>
      <w:r>
        <w:t xml:space="preserve">2.01 Scope of Competence</w:t>
      </w:r>
    </w:p>
    <w:p>
      <w:pPr>
        <w:spacing w:after="120"/>
      </w:pPr>
      <w:r>
        <w:rPr>
          <w:sz w:val="24"/>
          <w:szCs w:val="24"/>
        </w:rPr>
        <w:t xml:space="preserve">Provide services only within the boundaries of competence based on education, training, supervised experience, consultation, study, or professional experience. In practice: if you've never done a sex offender risk assessment, don't accept the referral without supervision or consultation.</w:t>
      </w:r>
    </w:p>
    <w:p>
      <w:pPr>
        <w:pStyle w:val="Heading2"/>
      </w:pPr>
      <w:r>
        <w:t xml:space="preserve">2.04 Use of Assessment Instruments</w:t>
      </w:r>
    </w:p>
    <w:p>
      <w:pPr>
        <w:spacing w:after="120"/>
      </w:pPr>
      <w:r>
        <w:rPr>
          <w:sz w:val="24"/>
          <w:szCs w:val="24"/>
        </w:rPr>
        <w:t xml:space="preserve">Select instruments that are psychometrically adequate for the purpose, relevant to the legal question, appropriate for the population being evaluated, and validated for the specific use. In practice: don't use the MMPI-3 alone to answer a competency question; use forensic-specific instruments.</w:t>
      </w:r>
    </w:p>
    <w:p>
      <w:pPr>
        <w:pStyle w:val="Heading1"/>
      </w:pPr>
      <w:r>
        <w:t xml:space="preserve">3. INFORMED CONSENT AND NOTIFICATION</w:t>
      </w:r>
    </w:p>
    <w:p>
      <w:pPr>
        <w:pStyle w:val="Heading2"/>
      </w:pPr>
      <w:r>
        <w:t xml:space="preserve">3.03 Communication with Forensic Examinees</w:t>
      </w:r>
    </w:p>
    <w:p>
      <w:pPr>
        <w:spacing w:after="120"/>
      </w:pPr>
      <w:r>
        <w:rPr>
          <w:sz w:val="24"/>
          <w:szCs w:val="24"/>
        </w:rPr>
        <w:t xml:space="preserve">Inform examinees about: the purpose of the evaluation, who requested it, the nature of the procedures, the limits of confidentiality, who will receive the results, and whether participation is voluntary or court-ordered. In practice: document this notification and the examinee's response in your report.</w:t>
      </w:r>
    </w:p>
    <w:p>
      <w:pPr>
        <w:pStyle w:val="Heading1"/>
      </w:pPr>
      <w:r>
        <w:t xml:space="preserve">4. FEES AND FINANCIAL ARRANGEMENTS</w:t>
      </w:r>
    </w:p>
    <w:p>
      <w:pPr>
        <w:pStyle w:val="Heading2"/>
      </w:pPr>
      <w:r>
        <w:t xml:space="preserve">4.02 Fee Arrangements</w:t>
      </w:r>
    </w:p>
    <w:p>
      <w:pPr>
        <w:spacing w:after="120"/>
      </w:pPr>
      <w:r>
        <w:rPr>
          <w:sz w:val="24"/>
          <w:szCs w:val="24"/>
        </w:rPr>
        <w:t xml:space="preserve">Clarify fees at the outset. Avoid contingency fees. In forensic contexts, fees should not be contingent on the outcome of the case. In practice: charge for your time, not your opinion. A flat fee per evaluation plus hourly for testimony is the standard model.</w:t>
      </w:r>
    </w:p>
    <w:p>
      <w:pPr>
        <w:pStyle w:val="Heading1"/>
      </w:pPr>
      <w:r>
        <w:t xml:space="preserve">5. METHODS AND PROCEDURES</w:t>
      </w:r>
    </w:p>
    <w:p>
      <w:pPr>
        <w:pStyle w:val="Heading2"/>
      </w:pPr>
      <w:r>
        <w:t xml:space="preserve">5.01 Scope of Evaluation</w:t>
      </w:r>
    </w:p>
    <w:p>
      <w:pPr>
        <w:spacing w:after="120"/>
      </w:pPr>
      <w:r>
        <w:rPr>
          <w:sz w:val="24"/>
          <w:szCs w:val="24"/>
        </w:rPr>
        <w:t xml:space="preserve">Consider the scope of the evaluation, the limitations of the methods used, the context in which the evaluation takes place, and the purposes for which the evaluation is being conducted. In practice: match your methods to the referral question, and document why you chose the approach you did.</w:t>
      </w:r>
    </w:p>
    <w:p>
      <w:pPr>
        <w:pStyle w:val="Heading2"/>
      </w:pPr>
      <w:r>
        <w:t xml:space="preserve">5.02 Use of Multiple Sources</w:t>
      </w:r>
    </w:p>
    <w:p>
      <w:pPr>
        <w:spacing w:after="120"/>
      </w:pPr>
      <w:r>
        <w:rPr>
          <w:sz w:val="24"/>
          <w:szCs w:val="24"/>
        </w:rPr>
        <w:t xml:space="preserve">Rely upon multiple sources of data, using converging information from different sources to inform opinions. Avoid basing opinions on a single source. In practice: clinical interview + psychological testing + record review + collateral contacts = defensible opinion.</w:t>
      </w:r>
    </w:p>
    <w:p>
      <w:pPr>
        <w:pStyle w:val="Heading2"/>
      </w:pPr>
      <w:r>
        <w:t xml:space="preserve">5.04 Third-Party Observations</w:t>
      </w:r>
    </w:p>
    <w:p>
      <w:pPr>
        <w:spacing w:after="120"/>
      </w:pPr>
      <w:r>
        <w:rPr>
          <w:sz w:val="24"/>
          <w:szCs w:val="24"/>
        </w:rPr>
        <w:t xml:space="preserve">When third parties are present during an evaluation, consider and manage the potential impact on the validity of the data. In practice: note who was present, whether their presence affected the examinee's behavior, and any impact on test validity.</w:t>
      </w:r>
    </w:p>
    <w:p>
      <w:pPr>
        <w:pStyle w:val="Heading1"/>
      </w:pPr>
      <w:r>
        <w:t xml:space="preserve">6. WRITTEN AND ORAL COMMUNICATIONS</w:t>
      </w:r>
    </w:p>
    <w:p>
      <w:pPr>
        <w:pStyle w:val="Heading2"/>
      </w:pPr>
      <w:r>
        <w:t xml:space="preserve">6.01 Documentation</w:t>
      </w:r>
    </w:p>
    <w:p>
      <w:pPr>
        <w:spacing w:after="120"/>
      </w:pPr>
      <w:r>
        <w:rPr>
          <w:sz w:val="24"/>
          <w:szCs w:val="24"/>
        </w:rPr>
        <w:t xml:space="preserve">Create and maintain records sufficient to allow for reasonable judicial scrutiny and review. In practice: retain raw data, test protocols, notes, recordings (with consent), and drafts for the period required by law and ethics.</w:t>
      </w:r>
    </w:p>
    <w:p>
      <w:pPr>
        <w:pStyle w:val="Heading2"/>
      </w:pPr>
      <w:r>
        <w:t xml:space="preserve">6.04 Reports</w:t>
      </w:r>
    </w:p>
    <w:p>
      <w:pPr>
        <w:spacing w:after="120"/>
      </w:pPr>
      <w:r>
        <w:rPr>
          <w:sz w:val="24"/>
          <w:szCs w:val="24"/>
        </w:rPr>
        <w:t xml:space="preserve">Distinguish clearly between observations, inferences, and conclusions. Identify the sources of information and the basis for opinions. In practice: when you state an opinion, immediately state the data that supports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2026-04-01T19:28:12.815Z</dcterms:created>
  <dcterms:modified xsi:type="dcterms:W3CDTF">2026-04-01T19:28:12.815Z</dcterms:modified>
</cp:coreProperties>
</file>

<file path=docProps/custom.xml><?xml version="1.0" encoding="utf-8"?>
<Properties xmlns="http://schemas.openxmlformats.org/officeDocument/2006/custom-properties" xmlns:vt="http://schemas.openxmlformats.org/officeDocument/2006/docPropsVTypes"/>
</file>