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DAUBERT STANDARD AND EXPERT TESTIMONY REFERENCE</w:t>
      </w:r>
    </w:p>
    <w:p>
      <w:pPr>
        <w:spacing w:after="300"/>
        <w:jc w:val="center"/>
      </w:pPr>
      <w:r>
        <w:rPr>
          <w:i/>
          <w:iCs/>
          <w:sz w:val="22"/>
          <w:szCs w:val="22"/>
        </w:rPr>
        <w:t xml:space="preserve">Quick Reference for Forensic Psychologists</w:t>
      </w:r>
    </w:p>
    <w:p>
      <w:pPr>
        <w:pStyle w:val="Heading1"/>
      </w:pPr>
      <w:r>
        <w:t xml:space="preserve">THE DAUBERT FRAMEWORK</w:t>
      </w:r>
    </w:p>
    <w:p>
      <w:pPr>
        <w:spacing w:after="120"/>
      </w:pPr>
      <w:r>
        <w:rPr>
          <w:sz w:val="24"/>
          <w:szCs w:val="24"/>
        </w:rPr>
        <w:t xml:space="preserve">Daubert v. Merrell Dow Pharmaceuticals, Inc., 509 U.S. 579 (1993) established the trial court as gatekeeper for expert testimony under Federal Rule of Evidence 702. The Court identified four non-exclusive factors for assessing the reliability of scientific testimony:</w:t>
      </w:r>
    </w:p>
    <w:p>
      <w:pPr>
        <w:pStyle w:val="ListParagraph"/>
        <w:numPr>
          <w:ilvl w:val="0"/>
          <w:numId w:val="2"/>
        </w:numPr>
        <w:spacing w:after="60"/>
      </w:pPr>
      <w:r>
        <w:rPr>
          <w:sz w:val="24"/>
          <w:szCs w:val="24"/>
        </w:rPr>
        <w:t xml:space="preserve">Testability: Can the theory or technique be (and has it been) tested?</w:t>
      </w:r>
    </w:p>
    <w:p>
      <w:pPr>
        <w:pStyle w:val="ListParagraph"/>
        <w:numPr>
          <w:ilvl w:val="0"/>
          <w:numId w:val="2"/>
        </w:numPr>
        <w:spacing w:after="60"/>
      </w:pPr>
      <w:r>
        <w:rPr>
          <w:sz w:val="24"/>
          <w:szCs w:val="24"/>
        </w:rPr>
        <w:t xml:space="preserve">Peer review: Has it been subjected to peer review and publication?</w:t>
      </w:r>
    </w:p>
    <w:p>
      <w:pPr>
        <w:pStyle w:val="ListParagraph"/>
        <w:numPr>
          <w:ilvl w:val="0"/>
          <w:numId w:val="2"/>
        </w:numPr>
        <w:spacing w:after="60"/>
      </w:pPr>
      <w:r>
        <w:rPr>
          <w:sz w:val="24"/>
          <w:szCs w:val="24"/>
        </w:rPr>
        <w:t xml:space="preserve">Error rate: What is the known or potential rate of error, and are there standards controlling its operation?</w:t>
      </w:r>
    </w:p>
    <w:p>
      <w:pPr>
        <w:pStyle w:val="ListParagraph"/>
        <w:numPr>
          <w:ilvl w:val="0"/>
          <w:numId w:val="2"/>
        </w:numPr>
        <w:spacing w:after="60"/>
      </w:pPr>
      <w:r>
        <w:rPr>
          <w:sz w:val="24"/>
          <w:szCs w:val="24"/>
        </w:rPr>
        <w:t xml:space="preserve">General acceptance: Is the theory or technique generally accepted in the relevant scientific community?</w:t>
      </w:r>
    </w:p>
    <w:p>
      <w:pPr>
        <w:spacing w:after="60"/>
      </w:pPr>
    </w:p>
    <w:p>
      <w:pPr>
        <w:spacing w:after="120"/>
      </w:pPr>
      <w:r>
        <w:rPr>
          <w:sz w:val="24"/>
          <w:szCs w:val="24"/>
        </w:rPr>
        <w:t xml:space="preserve">Note: Colorado adopted the Daubert standard effective January 1, 2024 (CRE 702), replacing the prior Frye general acceptance standard. All four Daubert factors are now applicable in Colorado courts.</w:t>
      </w:r>
    </w:p>
    <w:p>
      <w:pPr>
        <w:pStyle w:val="Heading1"/>
      </w:pPr>
      <w:r>
        <w:t xml:space="preserve">KEY SUBSEQUENT CASES</w:t>
      </w:r>
    </w:p>
    <w:p>
      <w:pPr>
        <w:pStyle w:val="Heading2"/>
      </w:pPr>
      <w:r>
        <w:t xml:space="preserve">General Electric Co. v. Joiner, 522 U.S. 136 (1997)</w:t>
      </w:r>
    </w:p>
    <w:p>
      <w:pPr>
        <w:spacing w:after="120"/>
      </w:pPr>
      <w:r>
        <w:rPr>
          <w:sz w:val="24"/>
          <w:szCs w:val="24"/>
        </w:rPr>
        <w:t xml:space="preserve">Standard of review for Daubert rulings is abuse of discretion. The court may examine the analytical gap between the data and the opinion offered. Experts cannot simply assert conclusions without methodological support.</w:t>
      </w:r>
    </w:p>
    <w:p>
      <w:pPr>
        <w:pStyle w:val="Heading2"/>
      </w:pPr>
      <w:r>
        <w:t xml:space="preserve">Kumho Tire Co. v. Carmichael, 526 U.S. 137 (1999)</w:t>
      </w:r>
    </w:p>
    <w:p>
      <w:pPr>
        <w:spacing w:after="120"/>
      </w:pPr>
      <w:r>
        <w:rPr>
          <w:sz w:val="24"/>
          <w:szCs w:val="24"/>
        </w:rPr>
        <w:t xml:space="preserve">Extended Daubert gatekeeping to ALL expert testimony, not just scientific testimony. Applies to experience-based, technical, and clinical opinions. The Daubert factors are flexible and non-exhaustive.</w:t>
      </w:r>
    </w:p>
    <w:p>
      <w:pPr>
        <w:pStyle w:val="Heading2"/>
      </w:pPr>
      <w:r>
        <w:t xml:space="preserve">People v. Shreck, 22 P.3d 68 (Colo. 2001)</w:t>
      </w:r>
    </w:p>
    <w:p>
      <w:pPr>
        <w:spacing w:after="120"/>
      </w:pPr>
      <w:r>
        <w:rPr>
          <w:sz w:val="24"/>
          <w:szCs w:val="24"/>
        </w:rPr>
        <w:t xml:space="preserve">Colorado's pre-Daubert gatekeeping standard (now superseded). Established a multi-factor test that was more permissive than Daubert. Historical reference for cases decided before 2024.</w:t>
      </w:r>
    </w:p>
    <w:p>
      <w:pPr>
        <w:pStyle w:val="Heading1"/>
      </w:pPr>
      <w:r>
        <w:t xml:space="preserve">FRE 702 (AS AMENDED DECEMBER 2023)</w:t>
      </w:r>
    </w:p>
    <w:p>
      <w:pPr>
        <w:spacing w:after="120"/>
      </w:pPr>
      <w:r>
        <w:rPr>
          <w:sz w:val="24"/>
          <w:szCs w:val="24"/>
        </w:rPr>
        <w:t xml:space="preserve">A witness who is qualified as an expert by knowledge, skill, experience, training, or education may testify in the form of an opinion or otherwise if the proponent demonstrates to the court that it is more likely than not that:</w:t>
      </w:r>
    </w:p>
    <w:p>
      <w:pPr>
        <w:pStyle w:val="ListParagraph"/>
        <w:numPr>
          <w:ilvl w:val="0"/>
          <w:numId w:val="2"/>
        </w:numPr>
        <w:spacing w:after="60"/>
      </w:pPr>
      <w:r>
        <w:rPr>
          <w:sz w:val="24"/>
          <w:szCs w:val="24"/>
        </w:rPr>
        <w:t xml:space="preserve">(a) the expert's scientific, technical, or other specialized knowledge will help the trier of fact to understand the evidence or to determine a fact in issue;</w:t>
      </w:r>
    </w:p>
    <w:p>
      <w:pPr>
        <w:pStyle w:val="ListParagraph"/>
        <w:numPr>
          <w:ilvl w:val="0"/>
          <w:numId w:val="2"/>
        </w:numPr>
        <w:spacing w:after="60"/>
      </w:pPr>
      <w:r>
        <w:rPr>
          <w:sz w:val="24"/>
          <w:szCs w:val="24"/>
        </w:rPr>
        <w:t xml:space="preserve">(b) the testimony is based on sufficient facts or data;</w:t>
      </w:r>
    </w:p>
    <w:p>
      <w:pPr>
        <w:pStyle w:val="ListParagraph"/>
        <w:numPr>
          <w:ilvl w:val="0"/>
          <w:numId w:val="2"/>
        </w:numPr>
        <w:spacing w:after="60"/>
      </w:pPr>
      <w:r>
        <w:rPr>
          <w:sz w:val="24"/>
          <w:szCs w:val="24"/>
        </w:rPr>
        <w:t xml:space="preserve">(c) the testimony is the product of reliable principles and methods; and</w:t>
      </w:r>
    </w:p>
    <w:p>
      <w:pPr>
        <w:pStyle w:val="ListParagraph"/>
        <w:numPr>
          <w:ilvl w:val="0"/>
          <w:numId w:val="2"/>
        </w:numPr>
        <w:spacing w:after="60"/>
      </w:pPr>
      <w:r>
        <w:rPr>
          <w:sz w:val="24"/>
          <w:szCs w:val="24"/>
        </w:rPr>
        <w:t xml:space="preserve">(d) the expert's opinion reflects a reliable application of the principles and methods to the facts of the case.</w:t>
      </w:r>
    </w:p>
    <w:p>
      <w:pPr>
        <w:spacing w:after="60"/>
      </w:pPr>
    </w:p>
    <w:p>
      <w:pPr>
        <w:pStyle w:val="Heading1"/>
      </w:pPr>
      <w:r>
        <w:t xml:space="preserve">IMPLICATIONS FOR FORENSIC PSYCHOLOGY</w:t>
      </w:r>
    </w:p>
    <w:p>
      <w:pPr>
        <w:pStyle w:val="Heading2"/>
      </w:pPr>
      <w:r>
        <w:t xml:space="preserve">Instrument Selection</w:t>
      </w:r>
    </w:p>
    <w:p>
      <w:pPr>
        <w:spacing w:after="120"/>
      </w:pPr>
      <w:r>
        <w:rPr>
          <w:sz w:val="24"/>
          <w:szCs w:val="24"/>
        </w:rPr>
        <w:t xml:space="preserve">Use instruments with established reliability and validity in forensic populations. Prefer instruments with published error rates and normative data. The MMPI-3, PAI, and forensic-specific instruments (MacCAT-CA, HCR-20 V3, Static-99R) generally satisfy Daubert requirements.</w:t>
      </w:r>
    </w:p>
    <w:p>
      <w:pPr>
        <w:pStyle w:val="Heading2"/>
      </w:pPr>
      <w:r>
        <w:t xml:space="preserve">Methodology Documentation</w:t>
      </w:r>
    </w:p>
    <w:p>
      <w:pPr>
        <w:spacing w:after="120"/>
      </w:pPr>
      <w:r>
        <w:rPr>
          <w:sz w:val="24"/>
          <w:szCs w:val="24"/>
        </w:rPr>
        <w:t xml:space="preserve">Document your methodology explicitly in every report: what you did, why you did it, what alternatives you considered. If challenged, you need to demonstrate that your approach was systematic, not ad hoc.</w:t>
      </w:r>
    </w:p>
    <w:p>
      <w:pPr>
        <w:pStyle w:val="Heading2"/>
      </w:pPr>
      <w:r>
        <w:t xml:space="preserve">Common Daubert Challenges to Forensic Psychology</w:t>
      </w:r>
    </w:p>
    <w:p>
      <w:pPr>
        <w:pStyle w:val="ListParagraph"/>
        <w:numPr>
          <w:ilvl w:val="0"/>
          <w:numId w:val="2"/>
        </w:numPr>
        <w:spacing w:after="60"/>
      </w:pPr>
      <w:r>
        <w:rPr>
          <w:sz w:val="24"/>
          <w:szCs w:val="24"/>
        </w:rPr>
        <w:t xml:space="preserve">Clinical judgment without structured instruments</w:t>
      </w:r>
    </w:p>
    <w:p>
      <w:pPr>
        <w:pStyle w:val="ListParagraph"/>
        <w:numPr>
          <w:ilvl w:val="0"/>
          <w:numId w:val="2"/>
        </w:numPr>
        <w:spacing w:after="60"/>
      </w:pPr>
      <w:r>
        <w:rPr>
          <w:sz w:val="24"/>
          <w:szCs w:val="24"/>
        </w:rPr>
        <w:t xml:space="preserve">Single-instrument opinions (e.g., MMPI-3 alone for competency)</w:t>
      </w:r>
    </w:p>
    <w:p>
      <w:pPr>
        <w:pStyle w:val="ListParagraph"/>
        <w:numPr>
          <w:ilvl w:val="0"/>
          <w:numId w:val="2"/>
        </w:numPr>
        <w:spacing w:after="60"/>
      </w:pPr>
      <w:r>
        <w:rPr>
          <w:sz w:val="24"/>
          <w:szCs w:val="24"/>
        </w:rPr>
        <w:t xml:space="preserve">Opinions that exceed the data (e.g., predicting specific behavior from personality test)</w:t>
      </w:r>
    </w:p>
    <w:p>
      <w:pPr>
        <w:pStyle w:val="ListParagraph"/>
        <w:numPr>
          <w:ilvl w:val="0"/>
          <w:numId w:val="2"/>
        </w:numPr>
        <w:spacing w:after="60"/>
      </w:pPr>
      <w:r>
        <w:rPr>
          <w:sz w:val="24"/>
          <w:szCs w:val="24"/>
        </w:rPr>
        <w:t xml:space="preserve">Use of instruments outside their validated purpose</w:t>
      </w:r>
    </w:p>
    <w:p>
      <w:pPr>
        <w:pStyle w:val="ListParagraph"/>
        <w:numPr>
          <w:ilvl w:val="0"/>
          <w:numId w:val="2"/>
        </w:numPr>
        <w:spacing w:after="60"/>
      </w:pPr>
      <w:r>
        <w:rPr>
          <w:sz w:val="24"/>
          <w:szCs w:val="24"/>
        </w:rPr>
        <w:t xml:space="preserve">Failure to assess response style/malingering</w:t>
      </w:r>
    </w:p>
    <w:p>
      <w:pPr>
        <w:pStyle w:val="ListParagraph"/>
        <w:numPr>
          <w:ilvl w:val="0"/>
          <w:numId w:val="2"/>
        </w:numPr>
        <w:spacing w:after="60"/>
      </w:pPr>
      <w:r>
        <w:rPr>
          <w:sz w:val="24"/>
          <w:szCs w:val="24"/>
        </w:rPr>
        <w:t xml:space="preserve">Reliance on clinical interview alone without corroborating data</w:t>
      </w:r>
    </w:p>
    <w:p>
      <w:pPr>
        <w:pStyle w:val="Heading2"/>
      </w:pPr>
      <w:r>
        <w:t xml:space="preserve">Surviving a Daubert Challenge</w:t>
      </w:r>
    </w:p>
    <w:p>
      <w:pPr>
        <w:pStyle w:val="ListParagraph"/>
        <w:numPr>
          <w:ilvl w:val="0"/>
          <w:numId w:val="2"/>
        </w:numPr>
        <w:spacing w:after="60"/>
      </w:pPr>
      <w:r>
        <w:rPr>
          <w:sz w:val="24"/>
          <w:szCs w:val="24"/>
        </w:rPr>
        <w:t xml:space="preserve">Multi-method, multi-source approach to every evaluation</w:t>
      </w:r>
    </w:p>
    <w:p>
      <w:pPr>
        <w:pStyle w:val="ListParagraph"/>
        <w:numPr>
          <w:ilvl w:val="0"/>
          <w:numId w:val="2"/>
        </w:numPr>
        <w:spacing w:after="60"/>
      </w:pPr>
      <w:r>
        <w:rPr>
          <w:sz w:val="24"/>
          <w:szCs w:val="24"/>
        </w:rPr>
        <w:t xml:space="preserve">Response style assessment in every forensic evaluation</w:t>
      </w:r>
    </w:p>
    <w:p>
      <w:pPr>
        <w:pStyle w:val="ListParagraph"/>
        <w:numPr>
          <w:ilvl w:val="0"/>
          <w:numId w:val="2"/>
        </w:numPr>
        <w:spacing w:after="60"/>
      </w:pPr>
      <w:r>
        <w:rPr>
          <w:sz w:val="24"/>
          <w:szCs w:val="24"/>
        </w:rPr>
        <w:t xml:space="preserve">Clear linkage between data, methodology, and opinion</w:t>
      </w:r>
    </w:p>
    <w:p>
      <w:pPr>
        <w:pStyle w:val="ListParagraph"/>
        <w:numPr>
          <w:ilvl w:val="0"/>
          <w:numId w:val="2"/>
        </w:numPr>
        <w:spacing w:after="60"/>
      </w:pPr>
      <w:r>
        <w:rPr>
          <w:sz w:val="24"/>
          <w:szCs w:val="24"/>
        </w:rPr>
        <w:t xml:space="preserve">Acknowledgment of limitations and alternative interpretations</w:t>
      </w:r>
    </w:p>
    <w:p>
      <w:pPr>
        <w:pStyle w:val="ListParagraph"/>
        <w:numPr>
          <w:ilvl w:val="0"/>
          <w:numId w:val="2"/>
        </w:numPr>
        <w:spacing w:after="60"/>
      </w:pPr>
      <w:r>
        <w:rPr>
          <w:sz w:val="24"/>
          <w:szCs w:val="24"/>
        </w:rPr>
        <w:t xml:space="preserve">Opinions stated to appropriate level of certainty</w:t>
      </w:r>
    </w:p>
    <w:p>
      <w:pPr>
        <w:pStyle w:val="ListParagraph"/>
        <w:numPr>
          <w:ilvl w:val="0"/>
          <w:numId w:val="2"/>
        </w:numPr>
        <w:spacing w:after="60"/>
      </w:pPr>
      <w:r>
        <w:rPr>
          <w:sz w:val="24"/>
          <w:szCs w:val="24"/>
        </w:rPr>
        <w:t xml:space="preserve">Familiarity with relevant literature, including studies that may contradict your opinion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2026-04-01T19:28:12.802Z</dcterms:created>
  <dcterms:modified xsi:type="dcterms:W3CDTF">2026-04-01T19:28:12.802Z</dcterms:modified>
</cp:coreProperties>
</file>

<file path=docProps/custom.xml><?xml version="1.0" encoding="utf-8"?>
<Properties xmlns="http://schemas.openxmlformats.org/officeDocument/2006/custom-properties" xmlns:vt="http://schemas.openxmlformats.org/officeDocument/2006/docPropsVTypes"/>
</file>