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MMPI-3 FORENSIC INTERPRETATION QUICK REFERENCE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Compiled by Truck Irwin, Psy.D. — For internal clinical use only</w:t>
      </w:r>
    </w:p>
    <w:p>
      <w:pPr>
        <w:pStyle w:val="Heading1"/>
      </w:pPr>
      <w:r>
        <w:t xml:space="preserve">VALIDITY SCALES — FORENSIC THRESHOLDS</w:t>
      </w:r>
    </w:p>
    <w:p>
      <w:pPr>
        <w:spacing w:after="120"/>
      </w:pPr>
      <w:r>
        <w:rPr>
          <w:sz w:val="24"/>
          <w:szCs w:val="24"/>
        </w:rPr>
        <w:t xml:space="preserve">Note: Forensic thresholds are generally more conservative than clinical settings. Always interpret validity in context of referral question and population base rates.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3360"/>
        <w:gridCol w:w="25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Measures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Forensic Cutoff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VRIN-r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Variable Response Inconsistency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Random/inconsistent responding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&lt;80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TRIN-r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True Response Inconsistency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Acquiescence/nay-saying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&lt;80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F-r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Infrequent Responses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Overreporting/genuine distress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&lt;100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Fp-r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Infrequent Psychopathology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Overreporting rare symptoms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&lt;70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Infrequent Somatic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Somatic overreporting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&lt;80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FBS-r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Symptom Validity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Non-credible somatic/cognitive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&lt;80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RBS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Response Bias Scale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Overreported memory complaints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&lt;80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L-r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Uncommon Virtues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Underreporting/impression mgmt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&lt;70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K-r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Adjustment Validity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Defensiveness/self-favorable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&lt;70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FORENSIC-RELEVANT SUBSTANTIVE SCALES</w:t>
      </w:r>
    </w:p>
    <w:p>
      <w:pPr>
        <w:pStyle w:val="Heading2"/>
      </w:pPr>
      <w:r>
        <w:t xml:space="preserve">RC Scales of Particular Forensic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RC1 (Somatic Complaints): Elevated in personal injury, disability. Interpret with FBS-r.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RC3 (Cynicism): Elevated profiles common in criminal defendants. Consider base rates.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RC4 (Antisocial Behavior): Critical in risk assessment, criminal evaluations.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RC6 (Ideas of Persecution): Relevant to competency, insanity, risk assessment.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RC7 (Dysfunctional Negative Emotions): Relevant to PTSD, personal injury claims.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RC8 (Aberrant Experiences): Screen for psychotic processes. Critical in CST/NGRI.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RC9 (Hypomanic Activation): Relevant to risk assessment, impulsivity concerns.</w:t>
      </w:r>
    </w:p>
    <w:p>
      <w:pPr>
        <w:spacing w:after="60"/>
      </w:pPr>
    </w:p>
    <w:p>
      <w:pPr>
        <w:pStyle w:val="Heading2"/>
      </w:pPr>
      <w:r>
        <w:t xml:space="preserve">PSY-5 Scales in Forensic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AGGR-r (Aggressiveness): Instrumental aggression, dominance. Key in violence risk.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PSYC-r (Psychoticism): Broad psychotic features. Pair with RC6, RC8.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DISC-r (Disconstraint): Impulsivity, risk-taking. Pair with RC4, RC9.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NEGE-r (Negative Emotionality): General distress. Relevant in personal injury.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INTR-r (Introversion): Low positive emotions. Consider in depression claims.</w:t>
      </w:r>
    </w:p>
    <w:p>
      <w:pPr>
        <w:spacing w:after="60"/>
      </w:pPr>
    </w:p>
    <w:p>
      <w:pPr>
        <w:pStyle w:val="Heading1"/>
      </w:pPr>
      <w:r>
        <w:t xml:space="preserve">COMMON FORENSIC PROFILES</w:t>
      </w:r>
    </w:p>
    <w:p>
      <w:pPr>
        <w:pStyle w:val="Heading2"/>
      </w:pPr>
      <w:r>
        <w:t xml:space="preserve">Personal Injury / PTSD Claimant</w:t>
      </w:r>
    </w:p>
    <w:p>
      <w:pPr>
        <w:spacing w:after="120"/>
      </w:pPr>
      <w:r>
        <w:rPr>
          <w:sz w:val="24"/>
          <w:szCs w:val="24"/>
        </w:rPr>
        <w:t xml:space="preserve">Typical elevation pattern: RC7 &gt; RC1 &gt; RC2. Validate with FBS-r, F-r, RBS. Compare with CAPS-5 and TSI-2 for convergent validity. Watch for defensive profiles (elevated L-r, K-r) in defense-referred evaluations.</w:t>
      </w:r>
    </w:p>
    <w:p>
      <w:pPr>
        <w:pStyle w:val="Heading2"/>
      </w:pPr>
      <w:r>
        <w:t xml:space="preserve">Criminal Defendant (Competency)</w:t>
      </w:r>
    </w:p>
    <w:p>
      <w:pPr>
        <w:spacing w:after="120"/>
      </w:pPr>
      <w:r>
        <w:rPr>
          <w:sz w:val="24"/>
          <w:szCs w:val="24"/>
        </w:rPr>
        <w:t xml:space="preserve">Look for RC6 and RC8 elevations in genuinely psychotic defendants. F-r will often be elevated but should be interpreted against base rates for psychiatric inpatients. Pair with Fp-r to distinguish genuine from exaggerated psychopathology.</w:t>
      </w:r>
    </w:p>
    <w:p>
      <w:pPr>
        <w:pStyle w:val="Heading2"/>
      </w:pPr>
      <w:r>
        <w:t xml:space="preserve">Custody Evaluation</w:t>
      </w:r>
    </w:p>
    <w:p>
      <w:pPr>
        <w:spacing w:after="120"/>
      </w:pPr>
      <w:r>
        <w:rPr>
          <w:sz w:val="24"/>
          <w:szCs w:val="24"/>
        </w:rPr>
        <w:t xml:space="preserve">Expect mildly elevated L-r and K-r in both parents (impression management). Profiles with T-scores 65+ on L-r warrant cautious interpretation. Substantive scales should be interpreted conservatively given the demand characteristics of custody evaluations.</w:t>
      </w:r>
    </w:p>
    <w:p>
      <w:pPr>
        <w:pStyle w:val="Heading2"/>
      </w:pPr>
      <w:r>
        <w:t xml:space="preserve">Sex Offender Risk Assessment</w:t>
      </w:r>
    </w:p>
    <w:p>
      <w:pPr>
        <w:spacing w:after="120"/>
      </w:pPr>
      <w:r>
        <w:rPr>
          <w:sz w:val="24"/>
          <w:szCs w:val="24"/>
        </w:rPr>
        <w:t xml:space="preserve">RC4 and DISC-r provide antisocial/impulsivity context. RC3 (interpersonal hostility) relevant to victim empathy deficits. Use as complement to actuarial instruments, not as standalone risk predictor.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2026-04-01T19:28:12.788Z</dcterms:created>
  <dcterms:modified xsi:type="dcterms:W3CDTF">2026-04-01T19:28:12.788Z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