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VIOLENCE RISK ASSESSMENT</w:t>
      </w:r>
    </w:p>
    <w:p>
      <w:pPr>
        <w:spacing w:after="60"/>
      </w:pPr>
      <w:r>
        <w:rPr>
          <w:b/>
          <w:bCs/>
          <w:sz w:val="24"/>
          <w:szCs w:val="24"/>
        </w:rPr>
        <w:t xml:space="preserve">Evaluator: </w:t>
      </w:r>
      <w:r>
        <w:rPr>
          <w:sz w:val="24"/>
          <w:szCs w:val="24"/>
        </w:rPr>
        <w:t xml:space="preserve">Truck Irwin, Psy.D.</w:t>
      </w:r>
    </w:p>
    <w:p>
      <w:pPr>
        <w:spacing w:after="60"/>
      </w:pPr>
      <w:r>
        <w:rPr>
          <w:b/>
          <w:bCs/>
          <w:sz w:val="24"/>
          <w:szCs w:val="24"/>
        </w:rPr>
        <w:t xml:space="preserve">Date of Report: </w:t>
      </w:r>
      <w:r>
        <w:rPr>
          <w:sz w:val="24"/>
          <w:szCs w:val="24"/>
        </w:rPr>
        <w:t xml:space="preserve">January 15, 2026</w:t>
      </w:r>
    </w:p>
    <w:p>
      <w:pPr>
        <w:spacing w:after="60"/>
      </w:pPr>
      <w:r>
        <w:rPr>
          <w:b/>
          <w:bCs/>
          <w:sz w:val="24"/>
          <w:szCs w:val="24"/>
        </w:rPr>
        <w:t xml:space="preserve">Defendant: </w:t>
      </w:r>
      <w:r>
        <w:rPr>
          <w:sz w:val="24"/>
          <w:szCs w:val="24"/>
        </w:rPr>
        <w:t xml:space="preserve">Marcus L. Thompson</w:t>
      </w:r>
    </w:p>
    <w:p>
      <w:pPr>
        <w:spacing w:after="60"/>
      </w:pPr>
      <w:r>
        <w:rPr>
          <w:b/>
          <w:bCs/>
          <w:sz w:val="24"/>
          <w:szCs w:val="24"/>
        </w:rPr>
        <w:t xml:space="preserve">DOB: </w:t>
      </w:r>
      <w:r>
        <w:rPr>
          <w:sz w:val="24"/>
          <w:szCs w:val="24"/>
        </w:rPr>
        <w:t xml:space="preserve">04/22/1991</w:t>
      </w:r>
    </w:p>
    <w:p>
      <w:pPr>
        <w:spacing w:after="60"/>
      </w:pPr>
      <w:r>
        <w:rPr>
          <w:b/>
          <w:bCs/>
          <w:sz w:val="24"/>
          <w:szCs w:val="24"/>
        </w:rPr>
        <w:t xml:space="preserve">Case Number: </w:t>
      </w:r>
      <w:r>
        <w:rPr>
          <w:sz w:val="24"/>
          <w:szCs w:val="24"/>
        </w:rPr>
        <w:t xml:space="preserve">2025CR02190</w:t>
      </w:r>
    </w:p>
    <w:p>
      <w:pPr>
        <w:spacing w:after="60"/>
      </w:pPr>
      <w:r>
        <w:rPr>
          <w:b/>
          <w:bCs/>
          <w:sz w:val="24"/>
          <w:szCs w:val="24"/>
        </w:rPr>
        <w:t xml:space="preserve">Charges: </w:t>
      </w:r>
      <w:r>
        <w:rPr>
          <w:sz w:val="24"/>
          <w:szCs w:val="24"/>
        </w:rPr>
        <w:t xml:space="preserve">Second Degree Assault (F4), Criminal Mischief (M2)</w:t>
      </w:r>
    </w:p>
    <w:p>
      <w:pPr>
        <w:spacing w:after="60"/>
      </w:pPr>
      <w:r>
        <w:rPr>
          <w:b/>
          <w:bCs/>
          <w:sz w:val="24"/>
          <w:szCs w:val="24"/>
        </w:rPr>
        <w:t xml:space="preserve">Referral Source: </w:t>
      </w:r>
      <w:r>
        <w:rPr>
          <w:sz w:val="24"/>
          <w:szCs w:val="24"/>
        </w:rPr>
        <w:t xml:space="preserve">Defense counsel, Michael Rosen, Esq.</w:t>
      </w:r>
    </w:p>
    <w:p>
      <w:pPr>
        <w:spacing w:after="60"/>
      </w:pPr>
    </w:p>
    <w:p>
      <w:pPr>
        <w:pStyle w:val="Heading1"/>
      </w:pPr>
      <w:r>
        <w:t xml:space="preserve">REFERRAL AND PURPOSE</w:t>
      </w:r>
    </w:p>
    <w:p>
      <w:pPr>
        <w:spacing w:after="120"/>
      </w:pPr>
      <w:r>
        <w:rPr>
          <w:sz w:val="24"/>
          <w:szCs w:val="24"/>
        </w:rPr>
        <w:t xml:space="preserve">This evaluation was requested by defense counsel for use in sentencing mitigation. The purpose is to provide the Court with a structured assessment of Mr. Thompson's risk for future violence, identify modifiable risk factors that could be targeted through intervention, and offer treatment recommendations that may inform sentencing disposition.</w:t>
      </w:r>
    </w:p>
    <w:p>
      <w:pPr>
        <w:pStyle w:val="Heading1"/>
      </w:pPr>
      <w:r>
        <w:t xml:space="preserve">ASSESSMENT INSTRUMENTS</w:t>
      </w:r>
    </w:p>
    <w:p>
      <w:pPr>
        <w:pStyle w:val="ListParagraph"/>
        <w:numPr>
          <w:ilvl w:val="0"/>
          <w:numId w:val="2"/>
        </w:numPr>
        <w:spacing w:after="60"/>
      </w:pPr>
      <w:r>
        <w:rPr>
          <w:sz w:val="24"/>
          <w:szCs w:val="24"/>
        </w:rPr>
        <w:t xml:space="preserve">Historical-Clinical-Risk Management-20, Version 3 (HCR-20 V3)</w:t>
      </w:r>
    </w:p>
    <w:p>
      <w:pPr>
        <w:pStyle w:val="ListParagraph"/>
        <w:numPr>
          <w:ilvl w:val="0"/>
          <w:numId w:val="2"/>
        </w:numPr>
        <w:spacing w:after="60"/>
      </w:pPr>
      <w:r>
        <w:rPr>
          <w:sz w:val="24"/>
          <w:szCs w:val="24"/>
        </w:rPr>
        <w:t xml:space="preserve">Level of Service/Case Management Inventory (LS/CMI)</w:t>
      </w:r>
    </w:p>
    <w:p>
      <w:pPr>
        <w:pStyle w:val="ListParagraph"/>
        <w:numPr>
          <w:ilvl w:val="0"/>
          <w:numId w:val="2"/>
        </w:numPr>
        <w:spacing w:after="60"/>
      </w:pPr>
      <w:r>
        <w:rPr>
          <w:sz w:val="24"/>
          <w:szCs w:val="24"/>
        </w:rPr>
        <w:t xml:space="preserve">Personality Assessment Inventory (PAI)</w:t>
      </w:r>
    </w:p>
    <w:p>
      <w:pPr>
        <w:pStyle w:val="ListParagraph"/>
        <w:numPr>
          <w:ilvl w:val="0"/>
          <w:numId w:val="2"/>
        </w:numPr>
        <w:spacing w:after="60"/>
      </w:pPr>
      <w:r>
        <w:rPr>
          <w:sz w:val="24"/>
          <w:szCs w:val="24"/>
        </w:rPr>
        <w:t xml:space="preserve">Minnesota Multiphasic Personality Inventory-3 (MMPI-3)</w:t>
      </w:r>
    </w:p>
    <w:p>
      <w:pPr>
        <w:pStyle w:val="ListParagraph"/>
        <w:numPr>
          <w:ilvl w:val="0"/>
          <w:numId w:val="2"/>
        </w:numPr>
        <w:spacing w:after="60"/>
      </w:pPr>
      <w:r>
        <w:rPr>
          <w:sz w:val="24"/>
          <w:szCs w:val="24"/>
        </w:rPr>
        <w:t xml:space="preserve">Structured Assessment of Violence Risk in Youth (SAVRY) — adapted items for historical reference</w:t>
      </w:r>
    </w:p>
    <w:p>
      <w:pPr>
        <w:pStyle w:val="Heading1"/>
      </w:pPr>
      <w:r>
        <w:t xml:space="preserve">HCR-20 V3 RESULTS</w:t>
      </w:r>
    </w:p>
    <w:p>
      <w:pPr>
        <w:pStyle w:val="Heading2"/>
      </w:pPr>
      <w:r>
        <w:t xml:space="preserve">Historical Scale</w:t>
      </w:r>
    </w:p>
    <w:p>
      <w:pPr>
        <w:spacing w:after="120"/>
      </w:pPr>
      <w:r>
        <w:rPr>
          <w:sz w:val="24"/>
          <w:szCs w:val="24"/>
        </w:rPr>
        <w:t xml:space="preserve">Mr. Thompson's history includes prior violence (H1: Present) consisting of two prior misdemeanor assault convictions in 2018 and 2021, both involving altercations at bars. He has a history of substance use problems (H5: Present), particularly alcohol use that has been directly linked to all prior violent incidents. Relationship instability (H6: Partially Present), employment problems (H7: Partially Present), and early maladjustment (H9: Present) were also identified as relevant historical factors.</w:t>
      </w:r>
    </w:p>
    <w:p>
      <w:pPr>
        <w:pStyle w:val="Heading2"/>
      </w:pPr>
      <w:r>
        <w:t xml:space="preserve">Clinical Scale</w:t>
      </w:r>
    </w:p>
    <w:p>
      <w:pPr>
        <w:spacing w:after="120"/>
      </w:pPr>
      <w:r>
        <w:rPr>
          <w:sz w:val="24"/>
          <w:szCs w:val="24"/>
        </w:rPr>
        <w:t xml:space="preserve">Currently, Mr. Thompson demonstrates insight into his violent behavior (C1: Partially Present), acknowledging the role of alcohol in his aggression but minimizing his responsibility for the index offense. He reports negative attitudes (C2: Partially Present), particularly toward authority figures, though these appear situational rather than pervasive. Active symptoms of major mental illness are absent (C3: Absent). Impulsivity (C5: Present) remains a significant concern, as Mr. Thompson demonstrates difficulty with emotional regulation, particularly anger, that is exacerbated by alcohol use.</w:t>
      </w:r>
    </w:p>
    <w:p>
      <w:pPr>
        <w:pStyle w:val="Heading2"/>
      </w:pPr>
      <w:r>
        <w:t xml:space="preserve">Risk Management Scale</w:t>
      </w:r>
    </w:p>
    <w:p>
      <w:pPr>
        <w:spacing w:after="120"/>
      </w:pPr>
      <w:r>
        <w:rPr>
          <w:sz w:val="24"/>
          <w:szCs w:val="24"/>
        </w:rPr>
        <w:t xml:space="preserve">Mr. Thompson's risk management considerations include the availability of professional services (R1: Present) through the VA system, where he is eligible for both substance use and anger management treatment. Personal support (R2: Partially Present) exists through his brother and a small network of sober friends from a prior AA involvement. Treatment adherence (R3: Partially Present) has been inconsistent historically, with two incomplete programs.</w:t>
      </w:r>
    </w:p>
    <w:p>
      <w:pPr>
        <w:pStyle w:val="Heading1"/>
      </w:pPr>
      <w:r>
        <w:t xml:space="preserve">FORMULATION AND OPINION</w:t>
      </w:r>
    </w:p>
    <w:p>
      <w:pPr>
        <w:spacing w:after="120"/>
      </w:pPr>
      <w:r>
        <w:rPr>
          <w:sz w:val="24"/>
          <w:szCs w:val="24"/>
        </w:rPr>
        <w:t xml:space="preserve">Mr. Thompson presents a moderate risk for future violence. His risk is primarily contextual — driven by the intersection of alcohol intoxication, interpersonal provocation, and poor emotional regulation. Notably, he has no history of premeditated or instrumental violence, and his offenses have all occurred in contexts involving alcohol and social conflict.</w:t>
      </w:r>
    </w:p>
    <w:p>
      <w:pPr>
        <w:spacing w:after="120"/>
      </w:pPr>
      <w:r>
        <w:rPr>
          <w:sz w:val="24"/>
          <w:szCs w:val="24"/>
        </w:rPr>
        <w:t xml:space="preserve">Key risk factors amenable to intervention include: (1) alcohol use disorder, (2) impulsivity and anger dysregulation, (3) treatment noncompliance, and (4) limited prosocial support networks. If these factors are adequately addressed through structured intervention, his risk would be expected to decrease to low-moderate.</w:t>
      </w:r>
    </w:p>
    <w:p>
      <w:pPr>
        <w:pStyle w:val="Heading1"/>
      </w:pPr>
      <w:r>
        <w:t xml:space="preserve">RECOMMENDATIONS</w:t>
      </w:r>
    </w:p>
    <w:p>
      <w:pPr>
        <w:pStyle w:val="ListParagraph"/>
        <w:numPr>
          <w:ilvl w:val="0"/>
          <w:numId w:val="2"/>
        </w:numPr>
        <w:spacing w:after="60"/>
      </w:pPr>
      <w:r>
        <w:rPr>
          <w:sz w:val="24"/>
          <w:szCs w:val="24"/>
        </w:rPr>
        <w:t xml:space="preserve">Intensive outpatient substance use treatment with random monitoring</w:t>
      </w:r>
    </w:p>
    <w:p>
      <w:pPr>
        <w:pStyle w:val="ListParagraph"/>
        <w:numPr>
          <w:ilvl w:val="0"/>
          <w:numId w:val="2"/>
        </w:numPr>
        <w:spacing w:after="60"/>
      </w:pPr>
      <w:r>
        <w:rPr>
          <w:sz w:val="24"/>
          <w:szCs w:val="24"/>
        </w:rPr>
        <w:t xml:space="preserve">Cognitive-behavioral anger management program (minimum 26 sessions)</w:t>
      </w:r>
    </w:p>
    <w:p>
      <w:pPr>
        <w:pStyle w:val="ListParagraph"/>
        <w:numPr>
          <w:ilvl w:val="0"/>
          <w:numId w:val="2"/>
        </w:numPr>
        <w:spacing w:after="60"/>
      </w:pPr>
      <w:r>
        <w:rPr>
          <w:sz w:val="24"/>
          <w:szCs w:val="24"/>
        </w:rPr>
        <w:t xml:space="preserve">Probation supervision with structured compliance monitoring</w:t>
      </w:r>
    </w:p>
    <w:p>
      <w:pPr>
        <w:pStyle w:val="ListParagraph"/>
        <w:numPr>
          <w:ilvl w:val="0"/>
          <w:numId w:val="2"/>
        </w:numPr>
        <w:spacing w:after="60"/>
      </w:pPr>
      <w:r>
        <w:rPr>
          <w:sz w:val="24"/>
          <w:szCs w:val="24"/>
        </w:rPr>
        <w:t xml:space="preserve">Abstinence from alcohol as a condition of supervision</w:t>
      </w:r>
    </w:p>
    <w:p>
      <w:pPr>
        <w:pStyle w:val="ListParagraph"/>
        <w:numPr>
          <w:ilvl w:val="0"/>
          <w:numId w:val="2"/>
        </w:numPr>
        <w:spacing w:after="60"/>
      </w:pPr>
      <w:r>
        <w:rPr>
          <w:sz w:val="24"/>
          <w:szCs w:val="24"/>
        </w:rPr>
        <w:t xml:space="preserve">Re-evaluation in 12 months to assess progress and updated risk level</w:t>
      </w:r>
    </w:p>
    <w:p>
      <w:pPr>
        <w:spacing w:after="60"/>
      </w:pPr>
    </w:p>
    <w:p>
      <w:pPr>
        <w:spacing w:after="60"/>
      </w:pPr>
    </w:p>
    <w:p>
      <w:pPr>
        <w:spacing w:after="0"/>
      </w:pPr>
      <w:r>
        <w:rPr>
          <w:sz w:val="24"/>
          <w:szCs w:val="24"/>
        </w:rPr>
        <w:t xml:space="preserve">____________________________________</w:t>
      </w:r>
    </w:p>
    <w:p>
      <w:pPr>
        <w:spacing w:after="120"/>
      </w:pPr>
      <w:r>
        <w:rPr>
          <w:sz w:val="24"/>
          <w:szCs w:val="24"/>
        </w:rPr>
        <w:t xml:space="preserve">Truck Irwin, Psy.D.</w:t>
      </w:r>
    </w:p>
    <w:p>
      <w:pPr>
        <w:spacing w:after="120"/>
      </w:pPr>
      <w:r>
        <w:rPr>
          <w:sz w:val="24"/>
          <w:szCs w:val="24"/>
        </w:rPr>
        <w:t xml:space="preserve">Licensed Psychologist, State of Colorado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pBdr>
      <w:jc w:val="center"/>
    </w:pPr>
    <w:r>
      <w:rPr>
        <w:sz w:val="18"/>
        <w:szCs w:val="18"/>
      </w:rPr>
      <w:t xml:space="preserve">CONFIDENTIAL - </w:t>
    </w: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pBdr>
      <w:tabs>
        <w:tab w:val="right" w:pos="9026"/>
      </w:tabs>
    </w:pPr>
    <w:r>
      <w:rPr>
        <w:i/>
        <w:iCs/>
        <w:sz w:val="18"/>
        <w:szCs w:val="18"/>
      </w:rPr>
      <w:t xml:space="preserve">Violence Risk Assessment</w:t>
    </w:r>
    <w:r>
      <w:rPr>
        <w:i/>
        <w:iCs/>
        <w:sz w:val="18"/>
        <w:szCs w:val="18"/>
      </w:rPr>
      <w:t xml:space="preserve">	State v. Thompson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2026-04-01T19:28:12.704Z</dcterms:created>
  <dcterms:modified xsi:type="dcterms:W3CDTF">2026-04-01T19:28:12.704Z</dcterms:modified>
</cp:coreProperties>
</file>

<file path=docProps/custom.xml><?xml version="1.0" encoding="utf-8"?>
<Properties xmlns="http://schemas.openxmlformats.org/officeDocument/2006/custom-properties" xmlns:vt="http://schemas.openxmlformats.org/officeDocument/2006/docPropsVTypes"/>
</file>