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72"/>
          <w:szCs w:val="72"/>
        </w:rPr>
        <w:t xml:space="preserve">FORENSAI</w:t>
      </w:r>
    </w:p>
    <w:p>
      <w:pPr>
        <w:spacing w:after="400"/>
        <w:jc w:val="center"/>
      </w:pPr>
      <w:r>
        <w:rPr>
          <w:rFonts w:ascii="Arial" w:cs="Arial" w:eastAsia="Arial" w:hAnsi="Arial"/>
          <w:color w:val="4472C4"/>
          <w:sz w:val="36"/>
          <w:szCs w:val="36"/>
        </w:rPr>
        <w:t xml:space="preserve">Technical &amp; Functional Analysis</w:t>
      </w:r>
    </w:p>
    <w:p>
      <w:pPr>
        <w:spacing w:after="100"/>
        <w:jc w:val="center"/>
      </w:pPr>
      <w:r>
        <w:rPr>
          <w:rFonts w:ascii="Arial" w:cs="Arial" w:eastAsia="Arial" w:hAnsi="Arial"/>
          <w:color w:val="666666"/>
          <w:sz w:val="24"/>
          <w:szCs w:val="24"/>
        </w:rPr>
        <w:t xml:space="preserve">Revised Architecture — March 18, 2026</w:t>
      </w:r>
    </w:p>
    <w:p>
      <w:pPr>
        <w:spacing w:after="100"/>
        <w:jc w:val="center"/>
      </w:pPr>
      <w:r>
        <w:rPr>
          <w:rFonts w:ascii="Arial" w:cs="Arial" w:eastAsia="Arial" w:hAnsi="Arial"/>
          <w:color w:val="666666"/>
          <w:sz w:val="24"/>
          <w:szCs w:val="24"/>
        </w:rPr>
        <w:t xml:space="preserve">Prepared for Truck Irwin, CEO — Foundry SMB</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pBdr>
          <w:top w:val="single" w:color="1F4E79" w:sz="2" w:space="8"/>
        </w:pBdr>
        <w:spacing w:before="200"/>
        <w:jc w:val="center"/>
      </w:pPr>
      <w:r>
        <w:rPr>
          <w:rFonts w:ascii="Arial" w:cs="Arial" w:eastAsia="Arial" w:hAnsi="Arial"/>
          <w:i/>
          <w:iCs/>
          <w:color w:val="999999"/>
          <w:sz w:val="18"/>
          <w:szCs w:val="18"/>
        </w:rPr>
        <w:t xml:space="preserve">CONFIDENTIAL — FOUNDRY SMB INTERNAL</w:t>
      </w:r>
    </w:p>
    <w:p>
      <w:r>
        <w:br w:type="page"/>
      </w:r>
    </w:p>
    <w:p>
      <w:pPr>
        <w:pStyle w:val="Heading1"/>
      </w:pPr>
      <w:r>
        <w:t xml:space="preserve">I. Executive Assessment</w:t>
      </w:r>
    </w:p>
    <w:p>
      <w:pPr>
        <w:pBdr>
          <w:bottom w:val="single" w:color="1F4E79" w:sz="6" w:space="1"/>
        </w:pBdr>
        <w:spacing w:after="200"/>
      </w:pPr>
    </w:p>
    <w:p>
      <w:pPr>
        <w:spacing w:after="120" w:line="276"/>
      </w:pPr>
      <w:r>
        <w:rPr>
          <w:rFonts w:ascii="Arial" w:cs="Arial" w:eastAsia="Arial" w:hAnsi="Arial"/>
          <w:sz w:val="22"/>
          <w:szCs w:val="22"/>
        </w:rPr>
        <w:t xml:space="preserve">Forensai is a purpose-built AI writing tool for licensed psychologists — forensic and clinical. The core value proposition is precise: reduce the time to produce a comprehensive, defensible evaluation report from 8 hours to 2. No purpose-built tool exists for formal psychological evaluations of any kind. The 8,000 forensic psychologists and 65,000 clinical psychologists who conduct evaluations in the US use Word, dictation software, and memory. That’s the gap.</w:t>
      </w:r>
    </w:p>
    <w:p>
      <w:pPr>
        <w:spacing w:after="120" w:line="276"/>
      </w:pPr>
      <w:r>
        <w:rPr>
          <w:rFonts w:ascii="Arial" w:cs="Arial" w:eastAsia="Arial" w:hAnsi="Arial"/>
          <w:sz w:val="22"/>
          <w:szCs w:val="22"/>
        </w:rPr>
        <w:t xml:space="preserve">This revised analysis reflects architectural decisions made after the initial review. The changes are significant and improve the product’s viability across every dimension: Python replaces WASM for PII detection (bulletproof over clever), pre-computed style rules replace RAG (lighter, faster, more predictable), OPFS/SQLite replaces IndexedDB (robust clinical-grade storage), and the agent system consolidates from eight to four (Ingestor Agent, Diagnostician Agent, Writer Agent, Editor/Legal Reviewer Agent). The scope covers forensic and general clinical psychology evaluations from day one, with a built-in diagnosis catalog of the 10 most common clinical diagnoses and a comprehensive instrument library that accommodates real-world practice breadth.</w:t>
      </w:r>
    </w:p>
    <w:p>
      <w:pPr>
        <w:spacing w:after="120" w:line="276"/>
      </w:pPr>
      <w:r>
        <w:rPr>
          <w:rFonts w:ascii="Arial" w:cs="Arial" w:eastAsia="Arial" w:hAnsi="Arial"/>
          <w:sz w:val="22"/>
          <w:szCs w:val="22"/>
        </w:rPr>
        <w:t xml:space="preserve">One principle governs the entire product and must be understood before reading any further:</w:t>
      </w:r>
    </w:p>
    <w:p>
      <w:pPr>
        <w:pBdr>
          <w:top w:val="single" w:color="C00000" w:sz="4" w:space="8"/>
          <w:bottom w:val="single" w:color="C00000" w:sz="4" w:space="8"/>
          <w:left w:val="single" w:color="C00000" w:sz="4" w:space="8"/>
          <w:right w:val="single" w:color="C00000" w:sz="4" w:space="8"/>
        </w:pBdr>
        <w:spacing w:after="200" w:before="200"/>
        <w:jc w:val="center"/>
      </w:pPr>
      <w:r>
        <w:rPr>
          <w:rFonts w:ascii="Arial" w:cs="Arial" w:eastAsia="Arial" w:hAnsi="Arial"/>
          <w:b/>
          <w:bCs/>
          <w:color w:val="C00000"/>
          <w:sz w:val="24"/>
          <w:szCs w:val="24"/>
        </w:rPr>
        <w:t xml:space="preserve">THE DOCTOR ALWAYS DIAGNOSES. NEVER THE AI.</w:t>
      </w:r>
    </w:p>
    <w:p>
      <w:pPr>
        <w:spacing w:after="120" w:line="276"/>
      </w:pPr>
      <w:r>
        <w:rPr>
          <w:rFonts w:ascii="Arial" w:cs="Arial" w:eastAsia="Arial" w:hAnsi="Arial"/>
          <w:sz w:val="22"/>
          <w:szCs w:val="22"/>
        </w:rPr>
        <w:t xml:space="preserve">Forensai is a writing and evidence organization tool. It summarizes transcripts, accumulates test scores, structures case data, maps evidence to diagnostic criteria, and generates report prose in the clinician’s voice. It may present diagnostic options and supporting evidence. But the diagnostic decision — which diagnoses to render, which to rule out, which to defer — is always, exclusively, and non-negotiably made by the licensed psychologist. The AI suggests. The doctor decides. This is not a feature toggle. It is the ethical and legal foundation of the product, and it is enforced architecturally at every layer.</w:t>
      </w:r>
    </w:p>
    <w:p>
      <w:pPr>
        <w:spacing w:after="60"/>
      </w:pPr>
    </w:p>
    <w:p>
      <w:r>
        <w:br w:type="page"/>
      </w:r>
    </w:p>
    <w:p>
      <w:pPr>
        <w:pStyle w:val="Heading1"/>
      </w:pPr>
      <w:r>
        <w:t xml:space="preserve">II. Technical Analysis</w:t>
      </w:r>
    </w:p>
    <w:p>
      <w:pPr>
        <w:pBdr>
          <w:bottom w:val="single" w:color="1F4E79" w:sz="6" w:space="1"/>
        </w:pBdr>
        <w:spacing w:after="200"/>
      </w:pPr>
    </w:p>
    <w:p>
      <w:pPr>
        <w:pStyle w:val="Heading2"/>
      </w:pPr>
      <w:r>
        <w:t xml:space="preserve">A. Foundational Principle: Doctor-Diagnoses-Always</w:t>
      </w:r>
    </w:p>
    <w:p>
      <w:pPr>
        <w:spacing w:after="120" w:line="276"/>
      </w:pPr>
      <w:r>
        <w:rPr>
          <w:rFonts w:ascii="Arial" w:cs="Arial" w:eastAsia="Arial" w:hAnsi="Arial"/>
          <w:sz w:val="22"/>
          <w:szCs w:val="22"/>
        </w:rPr>
        <w:t xml:space="preserve">Before addressing any architectural decision, this principle must be stated clearly because it shapes every component of the system:</w:t>
      </w:r>
    </w:p>
    <w:p>
      <w:pPr>
        <w:spacing w:after="120" w:line="276"/>
      </w:pPr>
      <w:r>
        <w:rPr>
          <w:rFonts w:ascii="Arial" w:cs="Arial" w:eastAsia="Arial" w:hAnsi="Arial"/>
          <w:b/>
          <w:bCs/>
          <w:sz w:val="22"/>
          <w:szCs w:val="22"/>
        </w:rPr>
        <w:t xml:space="preserve">The AI never renders a diagnosis. </w:t>
      </w:r>
      <w:r>
        <w:rPr>
          <w:rFonts w:ascii="Arial" w:cs="Arial" w:eastAsia="Arial" w:hAnsi="Arial"/>
          <w:sz w:val="22"/>
          <w:szCs w:val="22"/>
        </w:rPr>
        <w:t xml:space="preserve">It never selects a diagnosis. It never confirms a diagnosis. It never presents a diagnosis as its conclusion. The AI’s role is to organize evidence, map that evidence to diagnostic criteria, identify which criteria appear met or unmet based on the data, and present this analysis to the clinician as structured options. The clinician — and only the clinician — exercises diagnostic judgment.</w:t>
      </w:r>
    </w:p>
    <w:p>
      <w:pPr>
        <w:spacing w:after="120" w:line="276"/>
      </w:pPr>
      <w:r>
        <w:rPr>
          <w:rFonts w:ascii="Arial" w:cs="Arial" w:eastAsia="Arial" w:hAnsi="Arial"/>
          <w:sz w:val="22"/>
          <w:szCs w:val="22"/>
        </w:rPr>
        <w:t xml:space="preserve">This is enforced at three levels: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 Mechanism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Agent Design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Diagnostician Agent is explicitly scoped as an evidence organization tool, not a diagnostic engine. Its system prompt prohibits rendering diagnoses. Its output schema contains no “selected diagnosis” field — only evidence-to-criterion mappings with supporting and contradicting data. Language like “the diagnosis is” or “the patient meets criteria for” is architecturally blocked in the agent’s output schema.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Gate Design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Gate 2 (Diagnostic Decision) is the point where the clinician makes the diagnostic call. The UI presents the evidence map and requires the clinician to actively select each diagnosis, not confirm an AI recommendation. The default state for every potential diagnosis is “No Decision” — not “Recommended” or “Suggested.” The clinician must affirmatively choose.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Audit Trail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attestation record logs that the diagnostic decisions were made by the clinician at Gate 2, with timestamp, the evidence reviewed, and the clinician’s selections. If cross-examined, the record demonstrates that the AI organized evidence and the doctor exercised clinical judgment. This is the legal firewall.</w:t>
            </w:r>
          </w:p>
        </w:tc>
      </w:tr>
    </w:tbl>
    <w:p>
      <w:pPr>
        <w:spacing w:after="60"/>
      </w:pPr>
    </w:p>
    <w:p>
      <w:pPr>
        <w:spacing w:after="120" w:line="276"/>
      </w:pPr>
      <w:r>
        <w:rPr>
          <w:rFonts w:ascii="Arial" w:cs="Arial" w:eastAsia="Arial" w:hAnsi="Arial"/>
          <w:sz w:val="22"/>
          <w:szCs w:val="22"/>
        </w:rPr>
        <w:t xml:space="preserve">This principle also governs how the Writer agent handles the diagnostic impressions section of the report. The Writer does not write diagnostic conclusions independently — it writes the diagnostic section based exclusively on the clinician’s selections at Gate 2. If the clinician selected Major Depressive Disorder, the Writer explains the supporting evidence for that diagnosis in the clinician’s voice. But the Writer never chose that diagnosis. The doctor did.</w:t>
      </w:r>
    </w:p>
    <w:p>
      <w:pPr>
        <w:spacing w:after="60"/>
      </w:pPr>
    </w:p>
    <w:p>
      <w:pPr>
        <w:pStyle w:val="Heading2"/>
      </w:pPr>
      <w:r>
        <w:t xml:space="preserve">B. Revised Architecture Decisions</w:t>
      </w:r>
    </w:p>
    <w:p>
      <w:pPr>
        <w:spacing w:after="120" w:line="276"/>
      </w:pPr>
      <w:r>
        <w:rPr>
          <w:rFonts w:ascii="Arial" w:cs="Arial" w:eastAsia="Arial" w:hAnsi="Arial"/>
          <w:b/>
          <w:bCs/>
          <w:sz w:val="22"/>
          <w:szCs w:val="22"/>
        </w:rPr>
        <w:t xml:space="preserve">1. PII Detection: Python Sidecar (Local, Bulletproof)</w:t>
      </w:r>
    </w:p>
    <w:p>
      <w:pPr>
        <w:spacing w:after="120" w:line="276"/>
      </w:pPr>
      <w:r>
        <w:rPr>
          <w:rFonts w:ascii="Arial" w:cs="Arial" w:eastAsia="Arial" w:hAnsi="Arial"/>
          <w:sz w:val="22"/>
          <w:szCs w:val="22"/>
        </w:rPr>
        <w:t xml:space="preserve">The WASM-compiled Presidio approach from the original spec was clever but introduced accuracy risk in a domain where a single leaked name can compromise a case. The revised architecture uses a Python sidecar running natively via Electron. Microsoft Presidio with full spaCy models (en_core_web_lg) runs locally with no network dependency, achieving &gt;99% sensitivity on named entities and &gt;97% specificity. The sidecar launches automatically with Electron, communicates over a local Unix socket, and processes documents in parallel.</w:t>
      </w:r>
    </w:p>
    <w:p>
      <w:pPr>
        <w:spacing w:after="120" w:line="276"/>
      </w:pPr>
      <w:r>
        <w:rPr>
          <w:rFonts w:ascii="Arial" w:cs="Arial" w:eastAsia="Arial" w:hAnsi="Arial"/>
          <w:sz w:val="22"/>
          <w:szCs w:val="22"/>
        </w:rPr>
        <w:t xml:space="preserve">This eliminates the WASM accuracy concern entirely. Python’s NLP ecosystem is mature, well-tested, and forensic-grade. The sidecar adds ~200MB to the install footprint — a trivial cost for bulletproof PHI protection. The architecture remains fully local: no PHI leaves the machine, ever.</w:t>
      </w:r>
    </w:p>
    <w:p>
      <w:pPr>
        <w:spacing w:after="60"/>
      </w:pPr>
    </w:p>
    <w:p>
      <w:pPr>
        <w:spacing w:after="120" w:line="276"/>
      </w:pPr>
      <w:r>
        <w:rPr>
          <w:rFonts w:ascii="Arial" w:cs="Arial" w:eastAsia="Arial" w:hAnsi="Arial"/>
          <w:b/>
          <w:bCs/>
          <w:sz w:val="22"/>
          <w:szCs w:val="22"/>
        </w:rPr>
        <w:t xml:space="preserve">2. Style System: Pre-Computed Rules, Not RAG</w:t>
      </w:r>
    </w:p>
    <w:p>
      <w:pPr>
        <w:spacing w:after="120" w:line="276"/>
      </w:pPr>
      <w:r>
        <w:rPr>
          <w:rFonts w:ascii="Arial" w:cs="Arial" w:eastAsia="Arial" w:hAnsi="Arial"/>
          <w:sz w:val="22"/>
          <w:szCs w:val="22"/>
        </w:rPr>
        <w:t xml:space="preserve">The original architecture proposed local RAG with all-MiniLM-L6-v2 embeddings and LanceDB for voice matching against prior reports. This introduced first-run latency problems (indexing hundreds of documents in-browser), unpredictable retrieval quality, and unnecessary LLM load at inference time.</w:t>
      </w:r>
    </w:p>
    <w:p>
      <w:pPr>
        <w:spacing w:after="120" w:line="276"/>
      </w:pPr>
      <w:r>
        <w:rPr>
          <w:rFonts w:ascii="Arial" w:cs="Arial" w:eastAsia="Arial" w:hAnsi="Arial"/>
          <w:sz w:val="22"/>
          <w:szCs w:val="22"/>
        </w:rPr>
        <w:t xml:space="preserve">The revised approach is simpler and more effective. During setup and configuration, the clinician uploads 5–20 writing samples and reference documents. The AI processes these once to extract and generate: a personal style guide (sentence structure patterns, vocabulary preferences, hedging language, citation style), structured examples organized by report section (clinical observations, test interpretation, diagnostic formulation, recommendations), guardrails and constraints (terms to avoid, required disclaimers, court-specific formatting rules), and section-by-section templates derived from the clinician’s actual prior work.</w:t>
      </w:r>
    </w:p>
    <w:p>
      <w:pPr>
        <w:spacing w:after="120" w:line="276"/>
      </w:pPr>
      <w:r>
        <w:rPr>
          <w:rFonts w:ascii="Arial" w:cs="Arial" w:eastAsia="Arial" w:hAnsi="Arial"/>
          <w:sz w:val="22"/>
          <w:szCs w:val="22"/>
        </w:rPr>
        <w:t xml:space="preserve">These artifacts are stored as structured JSON/Markdown files locally. At inference time, the Writer agent loads the relevant style guide and templates as context — no embedding, no vector search, no retrieval pipeline. The result is faster, more predictable, and easier to debug. Clinicians can review and edit their style rules directly, giving them transparent control over how the AI writes in their voice.</w:t>
      </w:r>
    </w:p>
    <w:p>
      <w:pPr>
        <w:spacing w:after="60"/>
      </w:pPr>
    </w:p>
    <w:p>
      <w:pPr>
        <w:spacing w:after="120" w:line="276"/>
      </w:pPr>
      <w:r>
        <w:rPr>
          <w:rFonts w:ascii="Arial" w:cs="Arial" w:eastAsia="Arial" w:hAnsi="Arial"/>
          <w:b/>
          <w:bCs/>
          <w:sz w:val="22"/>
          <w:szCs w:val="22"/>
        </w:rPr>
        <w:t xml:space="preserve">3. Storage: OPFS + SQLite (Clinical-Grade)</w:t>
      </w:r>
    </w:p>
    <w:p>
      <w:pPr>
        <w:spacing w:after="120" w:line="276"/>
      </w:pPr>
      <w:r>
        <w:rPr>
          <w:rFonts w:ascii="Arial" w:cs="Arial" w:eastAsia="Arial" w:hAnsi="Arial"/>
          <w:sz w:val="22"/>
          <w:szCs w:val="22"/>
        </w:rPr>
        <w:t xml:space="preserve">IndexedDB was adequate for prototyping but carries real risks for clinical data: inconsistent storage quotas across browsers, no native full-text search, vulnerability to browser cache clears, and no built-in backup mechanism. For a forensic psychologist managing 200+ active cases with version history, these aren’t edge cases — they’re operational realities.</w:t>
      </w:r>
    </w:p>
    <w:p>
      <w:pPr>
        <w:spacing w:after="120" w:line="276"/>
      </w:pPr>
      <w:r>
        <w:rPr>
          <w:rFonts w:ascii="Arial" w:cs="Arial" w:eastAsia="Arial" w:hAnsi="Arial"/>
          <w:sz w:val="22"/>
          <w:szCs w:val="22"/>
        </w:rPr>
        <w:t xml:space="preserve">The revised architecture uses OPFS (Origin Private File System) with SQLite compiled to WASM (via sql.js or wa-sqlite) as the primary storage engine. SQLite provides ACID transactions, full-text search (FTS5), robust schema management, and proven reliability across billions of deployments. Encrypted at rest using AES-256 with a key derived from the clinician’s master passphrase.</w:t>
      </w:r>
    </w:p>
    <w:p>
      <w:pPr>
        <w:spacing w:after="120" w:line="276"/>
      </w:pPr>
      <w:r>
        <w:rPr>
          <w:rFonts w:ascii="Arial" w:cs="Arial" w:eastAsia="Arial" w:hAnsi="Arial"/>
          <w:sz w:val="22"/>
          <w:szCs w:val="22"/>
        </w:rPr>
        <w:t xml:space="preserve">Automatic encrypted backups run on a configurable schedule (default: daily) to a local directory the clinician controls. Completed evaluations auto-archive to a compressed, encrypted vault file. The Electron shell provides native file system access for backup export, import, and disaster recovery. This is the storage posture a clinical product requires.</w:t>
      </w:r>
    </w:p>
    <w:p>
      <w:pPr>
        <w:spacing w:after="60"/>
      </w:pPr>
    </w:p>
    <w:p>
      <w:pPr>
        <w:spacing w:after="120" w:line="276"/>
      </w:pPr>
      <w:r>
        <w:rPr>
          <w:rFonts w:ascii="Arial" w:cs="Arial" w:eastAsia="Arial" w:hAnsi="Arial"/>
          <w:b/>
          <w:bCs/>
          <w:sz w:val="22"/>
          <w:szCs w:val="22"/>
        </w:rPr>
        <w:t xml:space="preserve">4. Agent System: Four Agents, Clear Boundaries</w:t>
      </w:r>
    </w:p>
    <w:p>
      <w:pPr>
        <w:spacing w:after="120" w:line="276"/>
      </w:pPr>
      <w:r>
        <w:rPr>
          <w:rFonts w:ascii="Arial" w:cs="Arial" w:eastAsia="Arial" w:hAnsi="Arial"/>
          <w:sz w:val="22"/>
          <w:szCs w:val="22"/>
        </w:rPr>
        <w:t xml:space="preserve">The original eight-agent pipeline was elegant but introduced latency, cost, and failure-mode complexity that exceeded the value of fine-grained specialization. The revised system consolidates to four named agents: Ingestor Agent, Diagnostician Agent, Writer Agent, and Editor/Legal Reviewer Agent. The Diagnostician Agent is explicitly scoped as an evidence organization tool — it maps case data to diagnostic criteria and presents options, but the diagnostic decision is always the clinician’s.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80"/>
        <w:gridCol w:w="258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Ingestor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Parse and structure all case data: transcripts, test scores, collateral records, clinical notes. Summarize interview transcripts into structured observations. Accumulate and organize test score data. Extract timeline events. Confirm completeness.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Raw documents (PDF, DOCX, VTT, audio via Whisper, manual entry)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Structured case record: demographics, referral questions, test results with score summaries, behavioral observations, interview summaries, timeline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Diagnostician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Map case evidence to DSM-5-TR diagnostic criteria from the diagnosis catalog. For each potentially relevant diagnosis, show which criteria have supporting evidence, which have contradicting evidence, and which lack data. Present differential considerations. THE DIAGNOSTICIAN AGENT NEVER SELECTS OR RECOMMENDS A DIAGNOSIS. It organizes evidence. The doctor decides.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Structured case record from Ingestor Agent (confirmed at Gate 1) + diagnosis catalog + instrument library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Evidence map: criterion-by-criterion analysis per potential diagnosis, with supporting/contradicting evidence citations and data gaps. NO diagnostic conclusions.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Writer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Generate the evaluation report: background history, behavioral observations, test result summaries and interpretation, clinical formulation, and recommendations. Write the diagnostic impressions section ONLY based on the clinician’s diagnostic selections from Gate 2. Apply style guide, templates, and section structure. This agent automates time-consuming documentation tasks.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Clinician’s diagnostic decisions (from Gate 2) + case record + style guide + templates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Complete draft report: all sections, proper citations, voice-matched prose, formatted for court. Diagnostic section reflects ONLY what the doctor selected.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Editor / Legal Reviewer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Adversarial review: flag speculative language, unsupported conclusions, legal vulnerabilities, factual inconsistencies. Check Daubert/Frye compliance. Verify every claim traces to source data. Ensure diagnostic impressions section accurately reflects the clinician’s Gate 2 decisions and doesn’t overstate or editorialize.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Draft report + case record + clinician’s diagnostic decisions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Annotated report with flags, suggested revisions, fact-check results, legal risk assessment</w:t>
            </w:r>
          </w:p>
        </w:tc>
      </w:tr>
    </w:tbl>
    <w:p>
      <w:pPr>
        <w:spacing w:after="60"/>
      </w:pPr>
    </w:p>
    <w:p>
      <w:pPr>
        <w:spacing w:after="120" w:line="276"/>
      </w:pPr>
      <w:r>
        <w:rPr>
          <w:rFonts w:ascii="Arial" w:cs="Arial" w:eastAsia="Arial" w:hAnsi="Arial"/>
          <w:sz w:val="22"/>
          <w:szCs w:val="22"/>
        </w:rPr>
        <w:t xml:space="preserve">This four-agent model preserves the core value of the original design — separation of concerns, auditable reasoning, gate-controlled quality — while cutting LLM calls roughly in half. The Writer is the workhorse: it summarizes transcripts, organizes test data, synthesizes background information, and generates the vast majority of the report text. But it writes the diagnostic conclusions only as directed by the clinician. Three gate reviews remain: post-ingest data confirmation (Gate 1), diagnostic decision by the clinician (Gate 2), and final attestation after editing/legal review (Gate 3).</w:t>
      </w:r>
    </w:p>
    <w:p>
      <w:pPr>
        <w:spacing w:after="60"/>
      </w:pPr>
    </w:p>
    <w:p>
      <w:pPr>
        <w:pStyle w:val="Heading2"/>
      </w:pPr>
      <w:r>
        <w:t xml:space="preserve">C. Revised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React 18 + TypeScript + Vite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Industry standard SPA. No SSR needed. Clean WASM integration for SQLite.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Editor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OnlyOffice Document Editor (embedded)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MS Word-compatible editing: styles, headers/footers, track changes, comments, tables, images, page breaks. Native .docx format — no conversion layer. AGPL Community Edition for dev/test; Developer Edition ($6K) for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Desktop Shell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Electron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Required for Python sidecar, native file system, auto-update, code signing. Primary distribution path.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Local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OPFS + SQLite (WASM)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ACID transactions, FTS5, encrypted at rest. Clinical-grade reliability.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PII Detection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Python sidecar: Presidio + spaCy (en_core_web_lg)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Local, no network. &gt;99% sensitivity. Bulletproof for forensic contexts.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Style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Pre-computed JSON/MD rules + templates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One-time extraction from writing samples. No embedding, no vector search. Fast, predictable, editable.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LLM Gateway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Sonnet (primary) + GPT-4o (fallback)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BAA-covered, large context, instruction-following quality. Vendor-agnostic abstraction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Voice Transcription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Whisper.cpp via Python sidecar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Local transcription for interview recordings. No cloud dependency.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DSM-5-TR Reference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sql.js (SQLite WASM) — licensed or code-reference fallback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Structured diagnostic criteria for evidence mapping. Licensing engagement with APA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Export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OnlyOffice native .docx + PDF export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Reports are authored and stored as native .docx — no conversion needed. PDF export via OnlyOffice print. Court-ready formatting preserved exactly as edited.</w:t>
            </w:r>
          </w:p>
        </w:tc>
      </w:tr>
    </w:tbl>
    <w:p>
      <w:pPr>
        <w:spacing w:after="60"/>
      </w:pPr>
    </w:p>
    <w:p>
      <w:pPr>
        <w:pStyle w:val="Heading2"/>
      </w:pPr>
      <w:r>
        <w:t xml:space="preserve">D. Document Editor: OnlyOffice</w:t>
      </w:r>
    </w:p>
    <w:p>
      <w:pPr>
        <w:spacing w:after="120" w:line="276"/>
      </w:pPr>
      <w:r>
        <w:rPr>
          <w:rFonts w:ascii="Arial" w:cs="Arial" w:eastAsia="Arial" w:hAnsi="Arial"/>
          <w:sz w:val="22"/>
          <w:szCs w:val="22"/>
        </w:rPr>
        <w:t xml:space="preserve">Forensic and clinical evaluation reports are Word documents. They go to courts, attorneys, insurance companies, and opposing counsel. They require headers, footers, page numbers, tables of contents, numbered paragraphs, tracked changes, comments, and precise formatting that survives round-tripping through Microsoft Word. A lightweight rich-text editor (TipTap, ProseMirror, Quill) cannot deliver this fidelity. The product needs a full Word-compatible editor.</w:t>
      </w:r>
    </w:p>
    <w:p>
      <w:pPr>
        <w:spacing w:after="60"/>
      </w:pPr>
    </w:p>
    <w:p>
      <w:pPr>
        <w:spacing w:after="120" w:line="276"/>
      </w:pPr>
      <w:r>
        <w:rPr>
          <w:rFonts w:ascii="Arial" w:cs="Arial" w:eastAsia="Arial" w:hAnsi="Arial"/>
          <w:b/>
          <w:bCs/>
          <w:sz w:val="22"/>
          <w:szCs w:val="22"/>
        </w:rPr>
        <w:t xml:space="preserve">OnlyOffice Document Editor</w:t>
      </w:r>
      <w:r>
        <w:rPr>
          <w:rFonts w:ascii="Arial" w:cs="Arial" w:eastAsia="Arial" w:hAnsi="Arial"/>
          <w:sz w:val="22"/>
          <w:szCs w:val="22"/>
        </w:rPr>
        <w:t xml:space="preserve"> is an open-source, full-featured Word processor that runs entirely in the browser (or Electron). It handles native .docx files with complete formatting fidelity: styles, section breaks, headers/footers, track changes, comments, tables, images, footnotes, and page layout. Documents are edited in .docx format natively — there is no conversion layer, no intermediate format, no fidelity loss.</w:t>
      </w:r>
    </w:p>
    <w:p>
      <w:pPr>
        <w:spacing w:after="60"/>
      </w:pPr>
    </w:p>
    <w:p>
      <w:pPr>
        <w:spacing w:after="120" w:line="276"/>
      </w:pPr>
      <w:r>
        <w:rPr>
          <w:rFonts w:ascii="Arial" w:cs="Arial" w:eastAsia="Arial" w:hAnsi="Arial"/>
          <w:b/>
          <w:bCs/>
          <w:sz w:val="22"/>
          <w:szCs w:val="22"/>
        </w:rPr>
        <w:t xml:space="preserve">Licensing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License</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Development &amp; 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Community Edition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AGPL v3 (open source)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Production Release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Developer Edition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Commercial (white-label, proprietary code protected)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$6,000 (single server)</w:t>
            </w:r>
          </w:p>
        </w:tc>
      </w:tr>
    </w:tbl>
    <w:p>
      <w:pPr>
        <w:spacing w:after="60"/>
      </w:pPr>
    </w:p>
    <w:p>
      <w:pPr>
        <w:spacing w:after="120" w:line="276"/>
      </w:pPr>
      <w:r>
        <w:rPr>
          <w:rFonts w:ascii="Arial" w:cs="Arial" w:eastAsia="Arial" w:hAnsi="Arial"/>
          <w:sz w:val="22"/>
          <w:szCs w:val="22"/>
        </w:rPr>
        <w:t xml:space="preserve">The Community Edition and Developer Edition are functionally identical — same editor, same capabilities, same .docx fidelity. The difference is licensing: AGPL requires open-sourcing derivative work if distributed, while the Developer Edition allows embedding in proprietary products under your own brand. This means zero editor cost during the entire development cycle; the $6K license is a production-readiness expense, not a development expense.</w:t>
      </w:r>
    </w:p>
    <w:p>
      <w:pPr>
        <w:spacing w:after="60"/>
      </w:pPr>
    </w:p>
    <w:p>
      <w:pPr>
        <w:spacing w:after="120" w:line="276"/>
      </w:pPr>
      <w:r>
        <w:rPr>
          <w:rFonts w:ascii="Arial" w:cs="Arial" w:eastAsia="Arial" w:hAnsi="Arial"/>
          <w:b/>
          <w:bCs/>
          <w:sz w:val="22"/>
          <w:szCs w:val="22"/>
        </w:rPr>
        <w:t xml:space="preserve">Integration Architecture:</w:t>
      </w:r>
    </w:p>
    <w:p>
      <w:pPr>
        <w:pStyle w:val="ListParagraph"/>
        <w:numPr>
          <w:ilvl w:val="0"/>
          <w:numId w:val="2"/>
        </w:numPr>
        <w:spacing w:after="80" w:line="276"/>
      </w:pPr>
      <w:r>
        <w:rPr>
          <w:rFonts w:ascii="Arial" w:cs="Arial" w:eastAsia="Arial" w:hAnsi="Arial"/>
          <w:b/>
          <w:bCs/>
          <w:sz w:val="22"/>
          <w:szCs w:val="22"/>
        </w:rPr>
        <w:t xml:space="preserve">Electron host: </w:t>
      </w:r>
      <w:r>
        <w:rPr>
          <w:rFonts w:ascii="Arial" w:cs="Arial" w:eastAsia="Arial" w:hAnsi="Arial"/>
          <w:sz w:val="22"/>
          <w:szCs w:val="22"/>
        </w:rPr>
        <w:t xml:space="preserve">OnlyOffice runs inside the Electron shell as an embedded component. The Electron app manages the document lifecycle (create, open, save, version) while OnlyOffice handles all editing.</w:t>
      </w:r>
    </w:p>
    <w:p>
      <w:pPr>
        <w:pStyle w:val="ListParagraph"/>
        <w:numPr>
          <w:ilvl w:val="0"/>
          <w:numId w:val="2"/>
        </w:numPr>
        <w:spacing w:after="80" w:line="276"/>
      </w:pPr>
      <w:r>
        <w:rPr>
          <w:rFonts w:ascii="Arial" w:cs="Arial" w:eastAsia="Arial" w:hAnsi="Arial"/>
          <w:b/>
          <w:bCs/>
          <w:sz w:val="22"/>
          <w:szCs w:val="22"/>
        </w:rPr>
        <w:t xml:space="preserve">Agent output injection: </w:t>
      </w:r>
      <w:r>
        <w:rPr>
          <w:rFonts w:ascii="Arial" w:cs="Arial" w:eastAsia="Arial" w:hAnsi="Arial"/>
          <w:sz w:val="22"/>
          <w:szCs w:val="22"/>
        </w:rPr>
        <w:t xml:space="preserve">The Writer Agent generates .docx content programmatically (via the OnlyOffice Document Builder API or direct OOXML construction). The generated document opens directly in the embedded editor — no format conversion, no content loss. The clinician sees a fully formatted Word document they can edit with all the tools they’re used to.</w:t>
      </w:r>
    </w:p>
    <w:p>
      <w:pPr>
        <w:pStyle w:val="ListParagraph"/>
        <w:numPr>
          <w:ilvl w:val="0"/>
          <w:numId w:val="2"/>
        </w:numPr>
        <w:spacing w:after="80" w:line="276"/>
      </w:pPr>
      <w:r>
        <w:rPr>
          <w:rFonts w:ascii="Arial" w:cs="Arial" w:eastAsia="Arial" w:hAnsi="Arial"/>
          <w:b/>
          <w:bCs/>
          <w:sz w:val="22"/>
          <w:szCs w:val="22"/>
        </w:rPr>
        <w:t xml:space="preserve">Track changes for AI content: </w:t>
      </w:r>
      <w:r>
        <w:rPr>
          <w:rFonts w:ascii="Arial" w:cs="Arial" w:eastAsia="Arial" w:hAnsi="Arial"/>
          <w:sz w:val="22"/>
          <w:szCs w:val="22"/>
        </w:rPr>
        <w:t xml:space="preserve">AI-generated content can be inserted with track changes enabled, so the clinician can see exactly what the Writer Agent produced and accept/reject each section. This reinforces the “doctor in control” principle at the document level.</w:t>
      </w:r>
    </w:p>
    <w:p>
      <w:pPr>
        <w:pStyle w:val="ListParagraph"/>
        <w:numPr>
          <w:ilvl w:val="0"/>
          <w:numId w:val="2"/>
        </w:numPr>
        <w:spacing w:after="80" w:line="276"/>
      </w:pPr>
      <w:r>
        <w:rPr>
          <w:rFonts w:ascii="Arial" w:cs="Arial" w:eastAsia="Arial" w:hAnsi="Arial"/>
          <w:b/>
          <w:bCs/>
          <w:sz w:val="22"/>
          <w:szCs w:val="22"/>
        </w:rPr>
        <w:t xml:space="preserve">Editor/Legal Reviewer annotations: </w:t>
      </w:r>
      <w:r>
        <w:rPr>
          <w:rFonts w:ascii="Arial" w:cs="Arial" w:eastAsia="Arial" w:hAnsi="Arial"/>
          <w:sz w:val="22"/>
          <w:szCs w:val="22"/>
        </w:rPr>
        <w:t xml:space="preserve">The Editor/Legal Reviewer Agent’s flags are inserted as Word comments in the .docx document. The clinician reviews and resolves them using standard Word comment workflows — no custom UI needed for this interaction.</w:t>
      </w:r>
    </w:p>
    <w:p>
      <w:pPr>
        <w:pStyle w:val="ListParagraph"/>
        <w:numPr>
          <w:ilvl w:val="0"/>
          <w:numId w:val="2"/>
        </w:numPr>
        <w:spacing w:after="80" w:line="276"/>
      </w:pPr>
      <w:r>
        <w:rPr>
          <w:rFonts w:ascii="Arial" w:cs="Arial" w:eastAsia="Arial" w:hAnsi="Arial"/>
          <w:b/>
          <w:bCs/>
          <w:sz w:val="22"/>
          <w:szCs w:val="22"/>
        </w:rPr>
        <w:t xml:space="preserve">Export: </w:t>
      </w:r>
      <w:r>
        <w:rPr>
          <w:rFonts w:ascii="Arial" w:cs="Arial" w:eastAsia="Arial" w:hAnsi="Arial"/>
          <w:sz w:val="22"/>
          <w:szCs w:val="22"/>
        </w:rPr>
        <w:t xml:space="preserve">The document is already .docx. “Export” means saving a copy to the clinician’s file system. PDF export uses OnlyOffice’s built-in print-to-PDF. No conversion pipeline, no formatting loss.</w:t>
      </w:r>
    </w:p>
    <w:p>
      <w:pPr>
        <w:spacing w:after="60"/>
      </w:pPr>
    </w:p>
    <w:p>
      <w:pPr>
        <w:spacing w:after="120" w:line="276"/>
      </w:pPr>
      <w:r>
        <w:rPr>
          <w:rFonts w:ascii="Arial" w:cs="Arial" w:eastAsia="Arial" w:hAnsi="Arial"/>
          <w:b/>
          <w:bCs/>
          <w:sz w:val="22"/>
          <w:szCs w:val="22"/>
        </w:rPr>
        <w:t xml:space="preserve">Why not Microsoft Office 365 (WOPI)?</w:t>
      </w:r>
    </w:p>
    <w:p>
      <w:pPr>
        <w:spacing w:after="120" w:line="276"/>
      </w:pPr>
      <w:r>
        <w:rPr>
          <w:rFonts w:ascii="Arial" w:cs="Arial" w:eastAsia="Arial" w:hAnsi="Arial"/>
          <w:sz w:val="22"/>
          <w:szCs w:val="22"/>
        </w:rPr>
        <w:t xml:space="preserve">The WOPI protocol can embed Word Online, but it requires sending documents to Microsoft’s servers for rendering — which violates the local-first PHI architecture. It also requires Microsoft Cloud Storage Partner Program membership, an internet connection, and an Office 365 license for every user. All of these conflict with Forensai’s core design principles.</w:t>
      </w:r>
    </w:p>
    <w:p>
      <w:pPr>
        <w:spacing w:after="60"/>
      </w:pPr>
    </w:p>
    <w:p>
      <w:pPr>
        <w:spacing w:after="120" w:line="276"/>
      </w:pPr>
      <w:r>
        <w:rPr>
          <w:rFonts w:ascii="Arial" w:cs="Arial" w:eastAsia="Arial" w:hAnsi="Arial"/>
          <w:b/>
          <w:bCs/>
          <w:sz w:val="22"/>
          <w:szCs w:val="22"/>
        </w:rPr>
        <w:t xml:space="preserve">Why not Syncfusion Document Editor?</w:t>
      </w:r>
    </w:p>
    <w:p>
      <w:pPr>
        <w:spacing w:after="120" w:line="276"/>
      </w:pPr>
      <w:r>
        <w:rPr>
          <w:rFonts w:ascii="Arial" w:cs="Arial" w:eastAsia="Arial" w:hAnsi="Arial"/>
          <w:sz w:val="22"/>
          <w:szCs w:val="22"/>
        </w:rPr>
        <w:t xml:space="preserve">Syncfusion’s JavaScript Word processor is capable but requires a server-side ASP.NET Core component for .docx import/export conversion. While this could be bundled in Electron, it introduces a .NET runtime dependency and a conversion layer that OnlyOffice avoids entirely by working in native .docx format.</w:t>
      </w:r>
    </w:p>
    <w:p>
      <w:pPr>
        <w:spacing w:after="60"/>
      </w:pPr>
    </w:p>
    <w:p>
      <w:pPr>
        <w:pStyle w:val="Heading2"/>
      </w:pPr>
      <w:r>
        <w:t xml:space="preserve">E. Architecture Principles</w:t>
      </w:r>
    </w:p>
    <w:p>
      <w:pPr>
        <w:pStyle w:val="ListParagraph"/>
        <w:numPr>
          <w:ilvl w:val="0"/>
          <w:numId w:val="3"/>
        </w:numPr>
        <w:spacing w:after="80" w:line="276"/>
      </w:pPr>
      <w:r>
        <w:rPr>
          <w:rFonts w:ascii="Arial" w:cs="Arial" w:eastAsia="Arial" w:hAnsi="Arial"/>
          <w:b/>
          <w:bCs/>
          <w:sz w:val="22"/>
          <w:szCs w:val="22"/>
        </w:rPr>
        <w:t xml:space="preserve">The Doctor Always Diagnoses. Never the AI. </w:t>
      </w:r>
      <w:r>
        <w:rPr>
          <w:rFonts w:ascii="Arial" w:cs="Arial" w:eastAsia="Arial" w:hAnsi="Arial"/>
          <w:sz w:val="22"/>
          <w:szCs w:val="22"/>
        </w:rPr>
        <w:t xml:space="preserve">This is Principle Zero. The Diagnostician Agent organizes evidence and maps criteria. The Writer Agent generates prose. The Editor/Legal Reviewer Agent checks quality. But the diagnostic decision is exclusively the clinician’s. This is enforced in agent design (no diagnostic output fields), gate design (clinician actively selects diagnoses), and the audit trail (logs clinician as decision-maker). Every other principle is subordinate to this one.</w:t>
      </w:r>
    </w:p>
    <w:p>
      <w:pPr>
        <w:pStyle w:val="ListParagraph"/>
        <w:numPr>
          <w:ilvl w:val="0"/>
          <w:numId w:val="3"/>
        </w:numPr>
        <w:spacing w:after="80" w:line="276"/>
      </w:pPr>
      <w:r>
        <w:rPr>
          <w:rFonts w:ascii="Arial" w:cs="Arial" w:eastAsia="Arial" w:hAnsi="Arial"/>
          <w:b/>
          <w:bCs/>
          <w:sz w:val="22"/>
          <w:szCs w:val="22"/>
        </w:rPr>
        <w:t xml:space="preserve">PHI Never Leaves the Machine. </w:t>
      </w:r>
      <w:r>
        <w:rPr>
          <w:rFonts w:ascii="Arial" w:cs="Arial" w:eastAsia="Arial" w:hAnsi="Arial"/>
          <w:sz w:val="22"/>
          <w:szCs w:val="22"/>
        </w:rPr>
        <w:t xml:space="preserve">All PII/PHI detection, storage, and processing happens locally. The LLM receives only de-identified text. The Python sidecar and SQLite database are local-only. No exceptions.</w:t>
      </w:r>
    </w:p>
    <w:p>
      <w:pPr>
        <w:pStyle w:val="ListParagraph"/>
        <w:numPr>
          <w:ilvl w:val="0"/>
          <w:numId w:val="3"/>
        </w:numPr>
        <w:spacing w:after="80" w:line="276"/>
      </w:pPr>
      <w:r>
        <w:rPr>
          <w:rFonts w:ascii="Arial" w:cs="Arial" w:eastAsia="Arial" w:hAnsi="Arial"/>
          <w:b/>
          <w:bCs/>
          <w:sz w:val="22"/>
          <w:szCs w:val="22"/>
        </w:rPr>
        <w:t xml:space="preserve">The AI Writes. The Doctor Decides. </w:t>
      </w:r>
      <w:r>
        <w:rPr>
          <w:rFonts w:ascii="Arial" w:cs="Arial" w:eastAsia="Arial" w:hAnsi="Arial"/>
          <w:sz w:val="22"/>
          <w:szCs w:val="22"/>
        </w:rPr>
        <w:t xml:space="preserve">The Writer Agent automates time-consuming documentation tasks — summaries, interpretations, formulations, recommendations. But every substantive clinical conclusion flows from clinician input at Gates 1 and 2. The AI is the pen. The doctor is the author.</w:t>
      </w:r>
    </w:p>
    <w:p>
      <w:pPr>
        <w:pStyle w:val="ListParagraph"/>
        <w:numPr>
          <w:ilvl w:val="0"/>
          <w:numId w:val="3"/>
        </w:numPr>
        <w:spacing w:after="80" w:line="276"/>
      </w:pPr>
      <w:r>
        <w:rPr>
          <w:rFonts w:ascii="Arial" w:cs="Arial" w:eastAsia="Arial" w:hAnsi="Arial"/>
          <w:b/>
          <w:bCs/>
          <w:sz w:val="22"/>
          <w:szCs w:val="22"/>
        </w:rPr>
        <w:t xml:space="preserve">Doctor in Control at Every Gate. </w:t>
      </w:r>
      <w:r>
        <w:rPr>
          <w:rFonts w:ascii="Arial" w:cs="Arial" w:eastAsia="Arial" w:hAnsi="Arial"/>
          <w:sz w:val="22"/>
          <w:szCs w:val="22"/>
        </w:rPr>
        <w:t xml:space="preserve">No AI output reaches the final report without explicit clinician review. Three gates with active review UX (not passive checkboxes). The system drafts; the doctor decides.</w:t>
      </w:r>
    </w:p>
    <w:p>
      <w:pPr>
        <w:pStyle w:val="ListParagraph"/>
        <w:numPr>
          <w:ilvl w:val="0"/>
          <w:numId w:val="3"/>
        </w:numPr>
        <w:spacing w:after="80" w:line="276"/>
      </w:pPr>
      <w:r>
        <w:rPr>
          <w:rFonts w:ascii="Arial" w:cs="Arial" w:eastAsia="Arial" w:hAnsi="Arial"/>
          <w:b/>
          <w:bCs/>
          <w:sz w:val="22"/>
          <w:szCs w:val="22"/>
        </w:rPr>
        <w:t xml:space="preserve">Audit Trail as Product Feature. </w:t>
      </w:r>
      <w:r>
        <w:rPr>
          <w:rFonts w:ascii="Arial" w:cs="Arial" w:eastAsia="Arial" w:hAnsi="Arial"/>
          <w:sz w:val="22"/>
          <w:szCs w:val="22"/>
        </w:rPr>
        <w:t xml:space="preserve">Every gate approval, every diagnostic selection, and every attestation is logged with date stamp and source. The audit trail is configurable with two modes: (1) Decision Record Only (default) logs diagnostic gate approvals, diagnostic selections made, attestation events, and date stamps; (2) Full Detail mode logs all system events including timestamps. CRITICAL: rejected diagnostic options are NEVER logged, preserving clinical thinking privacy. By default, the system uses date stamps rather than minute-level timestamps. This creates the clinician’s legal defense record: proof that the doctor diagnosed, not the AI.</w:t>
      </w:r>
    </w:p>
    <w:p>
      <w:pPr>
        <w:pStyle w:val="ListParagraph"/>
        <w:numPr>
          <w:ilvl w:val="0"/>
          <w:numId w:val="3"/>
        </w:numPr>
        <w:spacing w:after="80" w:line="276"/>
      </w:pPr>
      <w:r>
        <w:rPr>
          <w:rFonts w:ascii="Arial" w:cs="Arial" w:eastAsia="Arial" w:hAnsi="Arial"/>
          <w:b/>
          <w:bCs/>
          <w:sz w:val="22"/>
          <w:szCs w:val="22"/>
        </w:rPr>
        <w:t xml:space="preserve">Simple Over Clever. </w:t>
      </w:r>
      <w:r>
        <w:rPr>
          <w:rFonts w:ascii="Arial" w:cs="Arial" w:eastAsia="Arial" w:hAnsi="Arial"/>
          <w:sz w:val="22"/>
          <w:szCs w:val="22"/>
        </w:rPr>
        <w:t xml:space="preserve">Python over WASM for PII. Pre-computed rules over RAG. SQLite over IndexedDB. Four agents over eight. Every architectural decision favors reliability, debuggability, and predictability.</w:t>
      </w:r>
    </w:p>
    <w:p>
      <w:pPr>
        <w:pStyle w:val="ListParagraph"/>
        <w:numPr>
          <w:ilvl w:val="0"/>
          <w:numId w:val="3"/>
        </w:numPr>
        <w:spacing w:after="80" w:line="276"/>
      </w:pPr>
      <w:r>
        <w:rPr>
          <w:rFonts w:ascii="Arial" w:cs="Arial" w:eastAsia="Arial" w:hAnsi="Arial"/>
          <w:b/>
          <w:bCs/>
          <w:sz w:val="22"/>
          <w:szCs w:val="22"/>
        </w:rPr>
        <w:t xml:space="preserve">Forensic + Clinical Psychology from Day One. </w:t>
      </w:r>
      <w:r>
        <w:rPr>
          <w:rFonts w:ascii="Arial" w:cs="Arial" w:eastAsia="Arial" w:hAnsi="Arial"/>
          <w:sz w:val="22"/>
          <w:szCs w:val="22"/>
        </w:rPr>
        <w:t xml:space="preserve">The MVP serves forensic and clinical psychologists who conduct formal evaluations. Forensic evaluations (competency, custody, risk assessment) and clinical evaluations (diagnostic assessments, neuropsychological screenings, disability determinations). The 10-diagnosis catalog and 30+ instrument library support both specialties. Expansion to neuropsych-specific and school psychology follows after initial product-market fit is proven.</w:t>
      </w:r>
    </w:p>
    <w:p>
      <w:pPr>
        <w:spacing w:after="60"/>
      </w:pPr>
    </w:p>
    <w:p>
      <w:r>
        <w:br w:type="page"/>
      </w:r>
    </w:p>
    <w:p>
      <w:pPr>
        <w:pStyle w:val="Heading1"/>
      </w:pPr>
      <w:r>
        <w:t xml:space="preserve">III. Functional Analysis</w:t>
      </w:r>
    </w:p>
    <w:p>
      <w:pPr>
        <w:pBdr>
          <w:bottom w:val="single" w:color="1F4E79" w:sz="6" w:space="1"/>
        </w:pBdr>
        <w:spacing w:after="200"/>
      </w:pPr>
    </w:p>
    <w:p>
      <w:pPr>
        <w:pStyle w:val="Heading2"/>
      </w:pPr>
      <w:r>
        <w:t xml:space="preserve">A. Core Workflow: Forensic Evaluation Pipeline</w:t>
      </w:r>
    </w:p>
    <w:p>
      <w:pPr>
        <w:spacing w:after="120" w:line="276"/>
      </w:pPr>
      <w:r>
        <w:rPr>
          <w:rFonts w:ascii="Arial" w:cs="Arial" w:eastAsia="Arial" w:hAnsi="Arial"/>
          <w:sz w:val="22"/>
          <w:szCs w:val="22"/>
        </w:rPr>
        <w:t xml:space="preserve">The product’s functional core is a four-stage pipeline that mirrors how psychologists conducting formal evaluations actually work — whether forensic or clinical — compressed from days to hours. The Writer Agent automates time-consuming documentation tasks. It’s the engine that makes the 8-to-2-hour compression possible. The clinician’s time is focused where it matters most: reviewing evidence, making diagnostic decisions, and approving the final product.</w:t>
      </w:r>
    </w:p>
    <w:p>
      <w:pPr>
        <w:spacing w:after="120" w:line="276"/>
      </w:pPr>
      <w:r>
        <w:rPr>
          <w:rFonts w:ascii="Arial" w:cs="Arial" w:eastAsia="Arial" w:hAnsi="Arial"/>
          <w:sz w:val="22"/>
          <w:szCs w:val="22"/>
        </w:rPr>
        <w:t xml:space="preserve">The pipeline supports non-linear, iterative workflows appropriate to real clinical practice. Clinicians can generate partial reports and re-ingest new materials without resetting prior work. Diagnostic gates are revisitable, allowing evidence refinement and reconsideration as new data emerges. This flexibility accommodates the reality that evaluation cases develop over time and often require multiple sessions or follow-up materials.</w:t>
      </w:r>
    </w:p>
    <w:p>
      <w:pPr>
        <w:spacing w:after="60"/>
      </w:pPr>
    </w:p>
    <w:p>
      <w:pPr>
        <w:spacing w:after="120" w:line="276"/>
      </w:pPr>
      <w:r>
        <w:rPr>
          <w:rFonts w:ascii="Arial" w:cs="Arial" w:eastAsia="Arial" w:hAnsi="Arial"/>
          <w:b/>
          <w:bCs/>
          <w:sz w:val="22"/>
          <w:szCs w:val="22"/>
        </w:rPr>
        <w:t xml:space="preserve">Stage 1: Case Ingestion (Ingestor Agent)</w:t>
      </w:r>
    </w:p>
    <w:p>
      <w:pPr>
        <w:spacing w:after="120" w:line="276"/>
      </w:pPr>
      <w:r>
        <w:rPr>
          <w:rFonts w:ascii="Arial" w:cs="Arial" w:eastAsia="Arial" w:hAnsi="Arial"/>
          <w:sz w:val="22"/>
          <w:szCs w:val="22"/>
        </w:rPr>
        <w:t xml:space="preserve">The Ingestor Agent is the data workhorse. It parses all uploaded case materials: referral documents, prior records, test score sheets, interview transcripts (Zoom VTT, audio files transcribed via Whisper, or manual notes), and collateral reports. Using the instrument library, it correctly identifies and structures test scores. It can parse publisher-generated score reports (Q-global, PARiConnect PDFs) to extract raw scores and interpretive ranges, always deferring to the published materials as the source of truth for normative context and clinical interpretation.</w:t>
      </w:r>
    </w:p>
    <w:p>
      <w:pPr>
        <w:spacing w:after="120" w:line="276"/>
      </w:pPr>
      <w:r>
        <w:rPr>
          <w:rFonts w:ascii="Arial" w:cs="Arial" w:eastAsia="Arial" w:hAnsi="Arial"/>
          <w:sz w:val="22"/>
          <w:szCs w:val="22"/>
        </w:rPr>
        <w:t xml:space="preserve">It summarizes interview transcripts into structured behavioral observations, accumulates and organizes test scores with normative comparisons, extracts demographics and timeline events, and presents a structured case summary for review. The Ingestor Agent also captures cultural and linguistic context: primary language, interpreters used, cultural background relevant to symptom interpretation, language of test administration, and any adjustments made for cultural factors. This context is threaded through evidence mapping to flag instrument norms that may not apply cross-culturally and help clinicians make culturally-informed interpretations.</w:t>
      </w:r>
    </w:p>
    <w:p>
      <w:pPr>
        <w:spacing w:after="120" w:line="276"/>
      </w:pPr>
      <w:r>
        <w:rPr>
          <w:rFonts w:ascii="Arial" w:cs="Arial" w:eastAsia="Arial" w:hAnsi="Arial"/>
          <w:b/>
          <w:bCs/>
          <w:sz w:val="22"/>
          <w:szCs w:val="22"/>
        </w:rPr>
        <w:t xml:space="preserve">Gate 1 — Data Confirmation: </w:t>
      </w:r>
      <w:r>
        <w:rPr>
          <w:rFonts w:ascii="Arial" w:cs="Arial" w:eastAsia="Arial" w:hAnsi="Arial"/>
          <w:sz w:val="22"/>
          <w:szCs w:val="22"/>
        </w:rPr>
        <w:t xml:space="preserve">Clinician confirms the case record is complete and accurate. Adds manual observations, corrects any extraction errors, flags missing data. This is an active review — a structured checklist with side-by-side source verification, not a single “approve” button.</w:t>
      </w:r>
    </w:p>
    <w:p>
      <w:pPr>
        <w:spacing w:after="60"/>
      </w:pPr>
    </w:p>
    <w:p>
      <w:pPr>
        <w:spacing w:after="120" w:line="276"/>
      </w:pPr>
      <w:r>
        <w:rPr>
          <w:rFonts w:ascii="Arial" w:cs="Arial" w:eastAsia="Arial" w:hAnsi="Arial"/>
          <w:b/>
          <w:bCs/>
          <w:sz w:val="22"/>
          <w:szCs w:val="22"/>
        </w:rPr>
        <w:t xml:space="preserve">Stage 2: Evidence Mapping (Diagnostician Agent)</w:t>
      </w:r>
    </w:p>
    <w:p>
      <w:pPr>
        <w:spacing w:after="120" w:line="276"/>
      </w:pPr>
      <w:r>
        <w:rPr>
          <w:rFonts w:ascii="Arial" w:cs="Arial" w:eastAsia="Arial" w:hAnsi="Arial"/>
          <w:sz w:val="22"/>
          <w:szCs w:val="22"/>
        </w:rPr>
        <w:t xml:space="preserve">Using the confirmed case record and the diagnosis catalog, the Diagnostician Agent organizes evidence against DSM-5-TR diagnostic criteria. It draws from the 10 built-in diagnoses plus any custom diagnoses the clinician has configured. The system processes validity and effort assessment FIRST: tests with validity concerns (TOMM, SIRS-2, MMPI-3 validity scales) are flagged and their interpretation caveated, since poor effort undermines all other clinical conclusions. Only after validity is established does the Agent map remaining evidence. For each potentially relevant diagnosis, it presents: which criteria have supporting evidence (with source citations and instrument scores), which have contradicting evidence, which lack sufficient data, and what differential diagnoses should be considered. The output is a structured evidence map — not a diagnostic recommendation.</w:t>
      </w:r>
    </w:p>
    <w:p>
      <w:pPr>
        <w:spacing w:after="120" w:line="276"/>
      </w:pPr>
      <w:r>
        <w:rPr>
          <w:rFonts w:ascii="Arial" w:cs="Arial" w:eastAsia="Arial" w:hAnsi="Arial"/>
          <w:sz w:val="22"/>
          <w:szCs w:val="22"/>
        </w:rPr>
        <w:t xml:space="preserve">For forensic evaluations, the Diagnostician Agent also maps evidence to applicable legal standards alongside DSM-5-TR criteria. Legal frameworks differ from diagnostic criteria: Dusky competency assessment, M'Naghten insanity standards, best interests of the child in custody disputes. The system flags when evidence is relevant to both clinical diagnosis and legal standards, helping the clinician prepare coherent court testimony.</w:t>
      </w:r>
    </w:p>
    <w:p>
      <w:pPr>
        <w:pBdr>
          <w:top w:val="single" w:color="C00000" w:sz="4" w:space="8"/>
          <w:bottom w:val="single" w:color="C00000" w:sz="4" w:space="8"/>
          <w:left w:val="single" w:color="C00000" w:sz="4" w:space="8"/>
          <w:right w:val="single" w:color="C00000" w:sz="4" w:space="8"/>
        </w:pBdr>
        <w:spacing w:after="200" w:before="200"/>
        <w:jc w:val="center"/>
      </w:pPr>
      <w:r>
        <w:rPr>
          <w:rFonts w:ascii="Arial" w:cs="Arial" w:eastAsia="Arial" w:hAnsi="Arial"/>
          <w:b/>
          <w:bCs/>
          <w:color w:val="C00000"/>
          <w:sz w:val="24"/>
          <w:szCs w:val="24"/>
        </w:rPr>
        <w:t xml:space="preserve">CRITICAL: The Evidence Mapper presents options. The doctor makes every diagnostic decision.</w:t>
      </w:r>
    </w:p>
    <w:p>
      <w:pPr>
        <w:spacing w:after="120" w:line="276"/>
      </w:pPr>
      <w:r>
        <w:rPr>
          <w:rFonts w:ascii="Arial" w:cs="Arial" w:eastAsia="Arial" w:hAnsi="Arial"/>
          <w:b/>
          <w:bCs/>
          <w:sz w:val="22"/>
          <w:szCs w:val="22"/>
        </w:rPr>
        <w:t xml:space="preserve">Gate 2 — Diagnostic Decision (CLINICIAN ONLY): </w:t>
      </w:r>
      <w:r>
        <w:rPr>
          <w:rFonts w:ascii="Arial" w:cs="Arial" w:eastAsia="Arial" w:hAnsi="Arial"/>
          <w:sz w:val="22"/>
          <w:szCs w:val="22"/>
        </w:rPr>
        <w:t xml:space="preserve">This is the most important gate in the entire system. The clinician reviews the evidence map and makes all diagnostic decisions. The UI presents each potential diagnosis with its evidence, but the default state is “No Decision” — not “Recommended.” The clinician must actively select each diagnosis they wish to render, actively rule out diagnoses they wish to exclude, and note diagnoses they wish to defer. There is no “Accept All” button. There is no AI recommendation to confirm. The clinician exercises independent clinical judgment, and the system records their decisions as the authoritative diagnostic determination.</w:t>
      </w:r>
    </w:p>
    <w:p>
      <w:pPr>
        <w:spacing w:after="60"/>
      </w:pPr>
    </w:p>
    <w:p>
      <w:pPr>
        <w:spacing w:after="120" w:line="276"/>
      </w:pPr>
      <w:r>
        <w:rPr>
          <w:rFonts w:ascii="Arial" w:cs="Arial" w:eastAsia="Arial" w:hAnsi="Arial"/>
          <w:b/>
          <w:bCs/>
          <w:sz w:val="22"/>
          <w:szCs w:val="22"/>
        </w:rPr>
        <w:t xml:space="preserve">Stage 3: Report Generation (Writer Agent)</w:t>
      </w:r>
    </w:p>
    <w:p>
      <w:pPr>
        <w:spacing w:after="120" w:line="276"/>
      </w:pPr>
      <w:r>
        <w:rPr>
          <w:rFonts w:ascii="Arial" w:cs="Arial" w:eastAsia="Arial" w:hAnsi="Arial"/>
          <w:sz w:val="22"/>
          <w:szCs w:val="22"/>
        </w:rPr>
        <w:t xml:space="preserve">The Writer Agent is the workhorse of the system. It automates time-consuming documentation tasks including background history, test interpretations, clinical formulations, and recommendations.</w:t>
      </w:r>
    </w:p>
    <w:p>
      <w:pPr>
        <w:spacing w:after="120" w:line="276"/>
      </w:pPr>
      <w:r>
        <w:rPr>
          <w:rFonts w:ascii="Arial" w:cs="Arial" w:eastAsia="Arial" w:hAnsi="Arial"/>
          <w:sz w:val="22"/>
          <w:szCs w:val="22"/>
        </w:rPr>
        <w:t xml:space="preserve">This includes: summarizing background history from collateral records and intake documents, writing behavioral observation sections from interview transcripts and session notes, interpreting and summarizing test results with normative context, formulating the clinical narrative that connects history, observations, and test data, writing the diagnostic impressions section based exclusively on the clinician’s selections from Gate 2, and generating recommendations tied to the diagnostic picture.</w:t>
      </w:r>
    </w:p>
    <w:p>
      <w:pPr>
        <w:spacing w:after="120" w:line="276"/>
      </w:pPr>
      <w:r>
        <w:rPr>
          <w:rFonts w:ascii="Arial" w:cs="Arial" w:eastAsia="Arial" w:hAnsi="Arial"/>
          <w:sz w:val="22"/>
          <w:szCs w:val="22"/>
        </w:rPr>
        <w:t xml:space="preserve">The Writer applies the clinician’s personal style guide, section templates, and examples extracted during setup. Every factual claim is cited to its source in the case record. The prose matches the clinician’s established voice — their sentence patterns, vocabulary, hedging conventions, and citation style. This is where the time savings happen: the Writer does in minutes what previously took hours of manual drafting.</w:t>
      </w:r>
    </w:p>
    <w:p>
      <w:pPr>
        <w:spacing w:after="120" w:line="276"/>
      </w:pPr>
      <w:r>
        <w:rPr>
          <w:rFonts w:ascii="Arial" w:cs="Arial" w:eastAsia="Arial" w:hAnsi="Arial"/>
          <w:b/>
          <w:bCs/>
          <w:sz w:val="22"/>
          <w:szCs w:val="22"/>
        </w:rPr>
        <w:t xml:space="preserve">Critical constraint: </w:t>
      </w:r>
      <w:r>
        <w:rPr>
          <w:rFonts w:ascii="Arial" w:cs="Arial" w:eastAsia="Arial" w:hAnsi="Arial"/>
          <w:sz w:val="22"/>
          <w:szCs w:val="22"/>
        </w:rPr>
        <w:t xml:space="preserve">The Writer’s diagnostic impressions section contains only what the clinician selected at Gate 2. If the clinician selected Major Depressive Disorder and ruled out Bipolar II, the Writer explains the supporting evidence for MDD and the reasoning for excluding Bipolar II — but these were the doctor’s decisions. The Writer is the pen, not the diagnostician.</w:t>
      </w:r>
    </w:p>
    <w:p>
      <w:pPr>
        <w:spacing w:after="60"/>
      </w:pPr>
    </w:p>
    <w:p>
      <w:pPr>
        <w:spacing w:after="120" w:line="276"/>
      </w:pPr>
      <w:r>
        <w:rPr>
          <w:rFonts w:ascii="Arial" w:cs="Arial" w:eastAsia="Arial" w:hAnsi="Arial"/>
          <w:b/>
          <w:bCs/>
          <w:sz w:val="22"/>
          <w:szCs w:val="22"/>
        </w:rPr>
        <w:t xml:space="preserve">Stage 4: Editing &amp; Legal Review (Editor/Legal Reviewer Agent)</w:t>
      </w:r>
    </w:p>
    <w:p>
      <w:pPr>
        <w:spacing w:after="120" w:line="276"/>
      </w:pPr>
      <w:r>
        <w:rPr>
          <w:rFonts w:ascii="Arial" w:cs="Arial" w:eastAsia="Arial" w:hAnsi="Arial"/>
          <w:sz w:val="22"/>
          <w:szCs w:val="22"/>
        </w:rPr>
        <w:t xml:space="preserve">The Editor/Legal Reviewer Agent performs an adversarial review of the draft report.</w:t>
      </w:r>
    </w:p>
    <w:p>
      <w:pPr>
        <w:spacing w:after="120" w:line="276"/>
      </w:pPr>
      <w:r>
        <w:rPr>
          <w:rFonts w:ascii="Arial" w:cs="Arial" w:eastAsia="Arial" w:hAnsi="Arial"/>
          <w:sz w:val="22"/>
          <w:szCs w:val="22"/>
        </w:rPr>
        <w:t xml:space="preserve">It flags: speculative language that could be challenged on cross-examination, unsupported causal claims, conclusions that exceed the data, unjustified certainty in risk predictions, missing caveats or limitations, Daubert/Frye standard compliance issues, factual inconsistencies between the report and the underlying case record, and any instance where the diagnostic impressions section appears to overstate or editorialize beyond the clinician’s Gate 2 selections.</w:t>
      </w:r>
    </w:p>
    <w:p>
      <w:pPr>
        <w:spacing w:after="120" w:line="276"/>
      </w:pPr>
      <w:r>
        <w:rPr>
          <w:rFonts w:ascii="Arial" w:cs="Arial" w:eastAsia="Arial" w:hAnsi="Arial"/>
          <w:b/>
          <w:bCs/>
          <w:sz w:val="22"/>
          <w:szCs w:val="22"/>
        </w:rPr>
        <w:t xml:space="preserve">Gate 3 — Final Attestation: </w:t>
      </w:r>
      <w:r>
        <w:rPr>
          <w:rFonts w:ascii="Arial" w:cs="Arial" w:eastAsia="Arial" w:hAnsi="Arial"/>
          <w:sz w:val="22"/>
          <w:szCs w:val="22"/>
        </w:rPr>
        <w:t xml:space="preserve">The clinician reviews all Editor/Legal flags, resolves each one, makes final edits in the OnlyOffice editor, and signs off. The system generates a timestamped attestation record documenting: every gate decision, every diagnostic selection (with clinician as decision-maker), every flag resolution, and every manual edit. This is the clinician’s defense record for cross-examination — proof that the AI organized and wrote, but the doctor decided and approved.</w:t>
      </w:r>
    </w:p>
    <w:p>
      <w:pPr>
        <w:spacing w:after="60"/>
      </w:pPr>
    </w:p>
    <w:p>
      <w:pPr>
        <w:pStyle w:val="Heading2"/>
      </w:pPr>
      <w:r>
        <w:t xml:space="preserve">B. Key Functional Features (MVP Scope)</w:t>
      </w:r>
    </w:p>
    <w:p>
      <w:pPr>
        <w:spacing w:after="120" w:line="276"/>
      </w:pPr>
      <w:r>
        <w:rPr>
          <w:rFonts w:ascii="Arial" w:cs="Arial" w:eastAsia="Arial" w:hAnsi="Arial"/>
          <w:b/>
          <w:bCs/>
          <w:sz w:val="22"/>
          <w:szCs w:val="22"/>
        </w:rPr>
        <w:t xml:space="preserve">What the Writer Agent Generates (Bulk of the Document):</w:t>
      </w:r>
    </w:p>
    <w:p>
      <w:pPr>
        <w:spacing w:after="120" w:line="276"/>
      </w:pPr>
      <w:r>
        <w:rPr>
          <w:rFonts w:ascii="Arial" w:cs="Arial" w:eastAsia="Arial" w:hAnsi="Arial"/>
          <w:sz w:val="22"/>
          <w:szCs w:val="22"/>
        </w:rPr>
        <w:t xml:space="preserve">Fully Generated Sections (Ready for Use): </w:t>
      </w:r>
      <w:r>
        <w:rPr>
          <w:rFonts w:ascii="Arial" w:cs="Arial" w:eastAsia="Arial" w:hAnsi="Arial"/>
          <w:sz w:val="22"/>
          <w:szCs w:val="22"/>
        </w:rPr>
        <w:t xml:space="preserve">Background history synthesis from multiple collateral sources, test result summaries with score tables and normative comparisons, diagnostic impressions (based exclusively on clinician’s Gate 2 selections), boilerplate sections, and recommendations. These sections are generated wholesale and require clinician acceptance/edit approval.</w:t>
      </w:r>
    </w:p>
    <w:p>
      <w:pPr>
        <w:pStyle w:val="ListParagraph"/>
        <w:numPr>
          <w:ilvl w:val="0"/>
          <w:numId w:val="2"/>
        </w:numPr>
        <w:spacing w:after="80" w:line="276"/>
      </w:pPr>
      <w:r>
        <w:rPr>
          <w:rFonts w:ascii="Arial" w:cs="Arial" w:eastAsia="Arial" w:hAnsi="Arial"/>
          <w:sz w:val="22"/>
          <w:szCs w:val="22"/>
        </w:rPr>
        <w:t xml:space="preserve">Background history synthesis from multiple collateral sources</w:t>
      </w:r>
    </w:p>
    <w:p>
      <w:pPr>
        <w:pStyle w:val="ListParagraph"/>
        <w:numPr>
          <w:ilvl w:val="0"/>
          <w:numId w:val="2"/>
        </w:numPr>
        <w:spacing w:after="80" w:line="276"/>
      </w:pPr>
      <w:r>
        <w:rPr>
          <w:rFonts w:ascii="Arial" w:cs="Arial" w:eastAsia="Arial" w:hAnsi="Arial"/>
          <w:sz w:val="22"/>
          <w:szCs w:val="22"/>
        </w:rPr>
        <w:t xml:space="preserve">Test result summaries with score tables, normative comparisons, and interpretation</w:t>
      </w:r>
    </w:p>
    <w:p>
      <w:pPr>
        <w:pStyle w:val="ListParagraph"/>
        <w:numPr>
          <w:ilvl w:val="0"/>
          <w:numId w:val="2"/>
        </w:numPr>
        <w:spacing w:after="80" w:line="276"/>
      </w:pPr>
      <w:r>
        <w:rPr>
          <w:rFonts w:ascii="Arial" w:cs="Arial" w:eastAsia="Arial" w:hAnsi="Arial"/>
          <w:sz w:val="22"/>
          <w:szCs w:val="22"/>
        </w:rPr>
        <w:t xml:space="preserve">Diagnostic impressions (based exclusively on clinician’s Gate 2 selections)</w:t>
      </w:r>
    </w:p>
    <w:p>
      <w:pPr>
        <w:pStyle w:val="ListParagraph"/>
        <w:numPr>
          <w:ilvl w:val="0"/>
          <w:numId w:val="2"/>
        </w:numPr>
        <w:spacing w:after="80" w:line="276"/>
      </w:pPr>
      <w:r>
        <w:rPr>
          <w:rFonts w:ascii="Arial" w:cs="Arial" w:eastAsia="Arial" w:hAnsi="Arial"/>
          <w:sz w:val="22"/>
          <w:szCs w:val="22"/>
        </w:rPr>
        <w:t xml:space="preserve">Recommendations tied to diagnostic picture and referral questions</w:t>
      </w:r>
    </w:p>
    <w:p>
      <w:pPr>
        <w:spacing w:after="120" w:line="276"/>
      </w:pPr>
      <w:r>
        <w:rPr>
          <w:rFonts w:ascii="Arial" w:cs="Arial" w:eastAsia="Arial" w:hAnsi="Arial"/>
          <w:sz w:val="22"/>
          <w:szCs w:val="22"/>
        </w:rPr>
        <w:t xml:space="preserve">Draft Sections Requiring Clinician Revision: </w:t>
      </w:r>
      <w:r>
        <w:rPr>
          <w:rFonts w:ascii="Arial" w:cs="Arial" w:eastAsia="Arial" w:hAnsi="Arial"/>
          <w:sz w:val="22"/>
          <w:szCs w:val="22"/>
        </w:rPr>
        <w:t xml:space="preserve">Behavioral observations extracted from interview transcripts and clinical formulation require clinician review and revision. Behavioral observation narratives are marked “Extracted from transcript — requires clinician review” and may contain inferences needing clinical judgment. The clinician rewrites these sections to match their clinical impressions and ensure accuracy. The Writer Agent provides the structured raw material; the doctor exercises clinical observation.</w:t>
      </w:r>
    </w:p>
    <w:p>
      <w:pPr>
        <w:pStyle w:val="ListParagraph"/>
        <w:numPr>
          <w:ilvl w:val="0"/>
          <w:numId w:val="2"/>
        </w:numPr>
        <w:spacing w:after="80" w:line="276"/>
      </w:pPr>
      <w:r>
        <w:rPr>
          <w:rFonts w:ascii="Arial" w:cs="Arial" w:eastAsia="Arial" w:hAnsi="Arial"/>
          <w:sz w:val="22"/>
          <w:szCs w:val="22"/>
        </w:rPr>
        <w:t xml:space="preserve">Behavioral observation narratives from interview transcripts and session notes (marked as extracted, requires review)</w:t>
      </w:r>
    </w:p>
    <w:p>
      <w:pPr>
        <w:pStyle w:val="ListParagraph"/>
        <w:numPr>
          <w:ilvl w:val="0"/>
          <w:numId w:val="2"/>
        </w:numPr>
        <w:spacing w:after="80" w:line="276"/>
      </w:pPr>
      <w:r>
        <w:rPr>
          <w:rFonts w:ascii="Arial" w:cs="Arial" w:eastAsia="Arial" w:hAnsi="Arial"/>
          <w:sz w:val="22"/>
          <w:szCs w:val="22"/>
        </w:rPr>
        <w:t xml:space="preserve">Clinical formulation connecting history, observations, and test data (draft for clinician refinement)</w:t>
      </w:r>
    </w:p>
    <w:p>
      <w:pPr>
        <w:spacing w:after="120" w:line="276"/>
      </w:pPr>
      <w:r>
        <w:rPr>
          <w:rFonts w:ascii="Arial" w:cs="Arial" w:eastAsia="Arial" w:hAnsi="Arial"/>
          <w:sz w:val="22"/>
          <w:szCs w:val="22"/>
        </w:rPr>
        <w:t xml:space="preserve">All content is written in the clinician’s voice using pre-computed style rules and can be edited in the embedded Word editor before finalization.</w:t>
      </w:r>
    </w:p>
    <w:p>
      <w:pPr>
        <w:spacing w:after="60"/>
      </w:pPr>
    </w:p>
    <w:p>
      <w:pPr>
        <w:spacing w:after="120" w:line="276"/>
      </w:pPr>
      <w:r>
        <w:rPr>
          <w:rFonts w:ascii="Arial" w:cs="Arial" w:eastAsia="Arial" w:hAnsi="Arial"/>
          <w:b/>
          <w:bCs/>
          <w:sz w:val="22"/>
          <w:szCs w:val="22"/>
        </w:rPr>
        <w:t xml:space="preserve">What the Doctor Decides (Never the AI):</w:t>
      </w:r>
    </w:p>
    <w:p>
      <w:pPr>
        <w:pStyle w:val="ListParagraph"/>
        <w:numPr>
          <w:ilvl w:val="0"/>
          <w:numId w:val="2"/>
        </w:numPr>
        <w:spacing w:after="80" w:line="276"/>
      </w:pPr>
      <w:r>
        <w:rPr>
          <w:rFonts w:ascii="Arial" w:cs="Arial" w:eastAsia="Arial" w:hAnsi="Arial"/>
          <w:sz w:val="22"/>
          <w:szCs w:val="22"/>
        </w:rPr>
        <w:t xml:space="preserve">All diagnostic determinations — which diagnoses to render, rule out, or defer</w:t>
      </w:r>
    </w:p>
    <w:p>
      <w:pPr>
        <w:pStyle w:val="ListParagraph"/>
        <w:numPr>
          <w:ilvl w:val="0"/>
          <w:numId w:val="2"/>
        </w:numPr>
        <w:spacing w:after="80" w:line="276"/>
      </w:pPr>
      <w:r>
        <w:rPr>
          <w:rFonts w:ascii="Arial" w:cs="Arial" w:eastAsia="Arial" w:hAnsi="Arial"/>
          <w:sz w:val="22"/>
          <w:szCs w:val="22"/>
        </w:rPr>
        <w:t xml:space="preserve">Clinical judgment calls on ambiguous evidence</w:t>
      </w:r>
    </w:p>
    <w:p>
      <w:pPr>
        <w:pStyle w:val="ListParagraph"/>
        <w:numPr>
          <w:ilvl w:val="0"/>
          <w:numId w:val="2"/>
        </w:numPr>
        <w:spacing w:after="80" w:line="276"/>
      </w:pPr>
      <w:r>
        <w:rPr>
          <w:rFonts w:ascii="Arial" w:cs="Arial" w:eastAsia="Arial" w:hAnsi="Arial"/>
          <w:sz w:val="22"/>
          <w:szCs w:val="22"/>
        </w:rPr>
        <w:t xml:space="preserve">Risk level assessments and predictions</w:t>
      </w:r>
    </w:p>
    <w:p>
      <w:pPr>
        <w:pStyle w:val="ListParagraph"/>
        <w:numPr>
          <w:ilvl w:val="0"/>
          <w:numId w:val="2"/>
        </w:numPr>
        <w:spacing w:after="80" w:line="276"/>
      </w:pPr>
      <w:r>
        <w:rPr>
          <w:rFonts w:ascii="Arial" w:cs="Arial" w:eastAsia="Arial" w:hAnsi="Arial"/>
          <w:sz w:val="22"/>
          <w:szCs w:val="22"/>
        </w:rPr>
        <w:t xml:space="preserve">Final recommendations and their clinical rationale</w:t>
      </w:r>
    </w:p>
    <w:p>
      <w:pPr>
        <w:pStyle w:val="ListParagraph"/>
        <w:numPr>
          <w:ilvl w:val="0"/>
          <w:numId w:val="2"/>
        </w:numPr>
        <w:spacing w:after="80" w:line="276"/>
      </w:pPr>
      <w:r>
        <w:rPr>
          <w:rFonts w:ascii="Arial" w:cs="Arial" w:eastAsia="Arial" w:hAnsi="Arial"/>
          <w:sz w:val="22"/>
          <w:szCs w:val="22"/>
        </w:rPr>
        <w:t xml:space="preserve">Approval of all AI-generated content before it enters the final report</w:t>
      </w:r>
    </w:p>
    <w:p>
      <w:pPr>
        <w:spacing w:after="60"/>
      </w:pPr>
    </w:p>
    <w:p>
      <w:pPr>
        <w:spacing w:after="120" w:line="276"/>
      </w:pPr>
      <w:r>
        <w:rPr>
          <w:rFonts w:ascii="Arial" w:cs="Arial" w:eastAsia="Arial" w:hAnsi="Arial"/>
          <w:b/>
          <w:bCs/>
          <w:sz w:val="22"/>
          <w:szCs w:val="22"/>
        </w:rPr>
        <w:t xml:space="preserve">Forensic Evaluation Types (Launch):</w:t>
      </w:r>
    </w:p>
    <w:p>
      <w:pPr>
        <w:pStyle w:val="ListParagraph"/>
        <w:numPr>
          <w:ilvl w:val="0"/>
          <w:numId w:val="2"/>
        </w:numPr>
        <w:spacing w:after="80" w:line="276"/>
      </w:pPr>
      <w:r>
        <w:rPr>
          <w:rFonts w:ascii="Arial" w:cs="Arial" w:eastAsia="Arial" w:hAnsi="Arial"/>
          <w:sz w:val="22"/>
          <w:szCs w:val="22"/>
        </w:rPr>
        <w:t xml:space="preserve">Competency to Stand Trial (CST) evaluations</w:t>
      </w:r>
    </w:p>
    <w:p>
      <w:pPr>
        <w:pStyle w:val="ListParagraph"/>
        <w:numPr>
          <w:ilvl w:val="0"/>
          <w:numId w:val="2"/>
        </w:numPr>
        <w:spacing w:after="80" w:line="276"/>
      </w:pPr>
      <w:r>
        <w:rPr>
          <w:rFonts w:ascii="Arial" w:cs="Arial" w:eastAsia="Arial" w:hAnsi="Arial"/>
          <w:sz w:val="22"/>
          <w:szCs w:val="22"/>
        </w:rPr>
        <w:t xml:space="preserve">Child custody evaluations</w:t>
      </w:r>
    </w:p>
    <w:p>
      <w:pPr>
        <w:pStyle w:val="ListParagraph"/>
        <w:numPr>
          <w:ilvl w:val="0"/>
          <w:numId w:val="2"/>
        </w:numPr>
        <w:spacing w:after="80" w:line="276"/>
      </w:pPr>
      <w:r>
        <w:rPr>
          <w:rFonts w:ascii="Arial" w:cs="Arial" w:eastAsia="Arial" w:hAnsi="Arial"/>
          <w:sz w:val="22"/>
          <w:szCs w:val="22"/>
        </w:rPr>
        <w:t xml:space="preserve">Violence risk assessments</w:t>
      </w:r>
    </w:p>
    <w:p>
      <w:pPr>
        <w:spacing w:after="60"/>
      </w:pPr>
    </w:p>
    <w:p>
      <w:pPr>
        <w:spacing w:after="120" w:line="276"/>
      </w:pPr>
      <w:r>
        <w:rPr>
          <w:rFonts w:ascii="Arial" w:cs="Arial" w:eastAsia="Arial" w:hAnsi="Arial"/>
          <w:b/>
          <w:bCs/>
          <w:sz w:val="22"/>
          <w:szCs w:val="22"/>
        </w:rPr>
        <w:t xml:space="preserve">Clinical Evaluation Types (Launch):</w:t>
      </w:r>
    </w:p>
    <w:p>
      <w:pPr>
        <w:pStyle w:val="ListParagraph"/>
        <w:numPr>
          <w:ilvl w:val="0"/>
          <w:numId w:val="2"/>
        </w:numPr>
        <w:spacing w:after="80" w:line="276"/>
      </w:pPr>
      <w:r>
        <w:rPr>
          <w:rFonts w:ascii="Arial" w:cs="Arial" w:eastAsia="Arial" w:hAnsi="Arial"/>
          <w:sz w:val="22"/>
          <w:szCs w:val="22"/>
        </w:rPr>
        <w:t xml:space="preserve">Comprehensive diagnostic assessments (depression, anxiety, PTSD, ADHD, ASD)</w:t>
      </w:r>
    </w:p>
    <w:p>
      <w:pPr>
        <w:pStyle w:val="ListParagraph"/>
        <w:numPr>
          <w:ilvl w:val="0"/>
          <w:numId w:val="2"/>
        </w:numPr>
        <w:spacing w:after="80" w:line="276"/>
      </w:pPr>
      <w:r>
        <w:rPr>
          <w:rFonts w:ascii="Arial" w:cs="Arial" w:eastAsia="Arial" w:hAnsi="Arial"/>
          <w:sz w:val="22"/>
          <w:szCs w:val="22"/>
        </w:rPr>
        <w:t xml:space="preserve">Cognitive/dementia screening evaluations</w:t>
      </w:r>
    </w:p>
    <w:p>
      <w:pPr>
        <w:pStyle w:val="ListParagraph"/>
        <w:numPr>
          <w:ilvl w:val="0"/>
          <w:numId w:val="2"/>
        </w:numPr>
        <w:spacing w:after="80" w:line="276"/>
      </w:pPr>
      <w:r>
        <w:rPr>
          <w:rFonts w:ascii="Arial" w:cs="Arial" w:eastAsia="Arial" w:hAnsi="Arial"/>
          <w:sz w:val="22"/>
          <w:szCs w:val="22"/>
        </w:rPr>
        <w:t xml:space="preserve">Disability determination evaluations</w:t>
      </w:r>
    </w:p>
    <w:p>
      <w:pPr>
        <w:pStyle w:val="ListParagraph"/>
        <w:numPr>
          <w:ilvl w:val="0"/>
          <w:numId w:val="2"/>
        </w:numPr>
        <w:spacing w:after="80" w:line="276"/>
      </w:pPr>
      <w:r>
        <w:rPr>
          <w:rFonts w:ascii="Arial" w:cs="Arial" w:eastAsia="Arial" w:hAnsi="Arial"/>
          <w:sz w:val="22"/>
          <w:szCs w:val="22"/>
        </w:rPr>
        <w:t xml:space="preserve">Fitness-for-duty assessments</w:t>
      </w:r>
    </w:p>
    <w:p>
      <w:pPr>
        <w:spacing w:after="60"/>
      </w:pPr>
    </w:p>
    <w:p>
      <w:pPr>
        <w:spacing w:after="120" w:line="276"/>
      </w:pPr>
      <w:r>
        <w:rPr>
          <w:rFonts w:ascii="Arial" w:cs="Arial" w:eastAsia="Arial" w:hAnsi="Arial"/>
          <w:b/>
          <w:bCs/>
          <w:sz w:val="22"/>
          <w:szCs w:val="22"/>
        </w:rPr>
        <w:t xml:space="preserve">Supported Instruments (Launch):</w:t>
      </w:r>
    </w:p>
    <w:p>
      <w:pPr>
        <w:pStyle w:val="ListParagraph"/>
        <w:numPr>
          <w:ilvl w:val="0"/>
          <w:numId w:val="2"/>
        </w:numPr>
        <w:spacing w:after="80" w:line="276"/>
      </w:pPr>
      <w:r>
        <w:rPr>
          <w:rFonts w:ascii="Arial" w:cs="Arial" w:eastAsia="Arial" w:hAnsi="Arial"/>
          <w:sz w:val="22"/>
          <w:szCs w:val="22"/>
        </w:rPr>
        <w:t xml:space="preserve">HCR-20v3 (violence risk), PCL-R (psychopathy), Static-99R (sexual violence risk)</w:t>
      </w:r>
    </w:p>
    <w:p>
      <w:pPr>
        <w:pStyle w:val="ListParagraph"/>
        <w:numPr>
          <w:ilvl w:val="0"/>
          <w:numId w:val="2"/>
        </w:numPr>
        <w:spacing w:after="80" w:line="276"/>
      </w:pPr>
      <w:r>
        <w:rPr>
          <w:rFonts w:ascii="Arial" w:cs="Arial" w:eastAsia="Arial" w:hAnsi="Arial"/>
          <w:sz w:val="22"/>
          <w:szCs w:val="22"/>
        </w:rPr>
        <w:t xml:space="preserve">MMPI-3 validity scales (malingering detection), MacCAT-CA (competency)</w:t>
      </w:r>
    </w:p>
    <w:p>
      <w:pPr>
        <w:pStyle w:val="ListParagraph"/>
        <w:numPr>
          <w:ilvl w:val="0"/>
          <w:numId w:val="2"/>
        </w:numPr>
        <w:spacing w:after="80" w:line="276"/>
      </w:pPr>
      <w:r>
        <w:rPr>
          <w:rFonts w:ascii="Arial" w:cs="Arial" w:eastAsia="Arial" w:hAnsi="Arial"/>
          <w:sz w:val="22"/>
          <w:szCs w:val="22"/>
        </w:rPr>
        <w:t xml:space="preserve">Additional instruments added iteratively based on user demand</w:t>
      </w:r>
    </w:p>
    <w:p>
      <w:pPr>
        <w:spacing w:after="60"/>
      </w:pPr>
    </w:p>
    <w:p>
      <w:pPr>
        <w:spacing w:after="120" w:line="276"/>
      </w:pPr>
      <w:r>
        <w:rPr>
          <w:rFonts w:ascii="Arial" w:cs="Arial" w:eastAsia="Arial" w:hAnsi="Arial"/>
          <w:b/>
          <w:bCs/>
          <w:sz w:val="22"/>
          <w:szCs w:val="22"/>
        </w:rPr>
        <w:t xml:space="preserve">Interview &amp; Session Processing:</w:t>
      </w:r>
    </w:p>
    <w:p>
      <w:pPr>
        <w:pStyle w:val="ListParagraph"/>
        <w:numPr>
          <w:ilvl w:val="0"/>
          <w:numId w:val="2"/>
        </w:numPr>
        <w:spacing w:after="80" w:line="276"/>
      </w:pPr>
      <w:r>
        <w:rPr>
          <w:rFonts w:ascii="Arial" w:cs="Arial" w:eastAsia="Arial" w:hAnsi="Arial"/>
          <w:sz w:val="22"/>
          <w:szCs w:val="22"/>
        </w:rPr>
        <w:t xml:space="preserve">Zoom .vtt transcript import; audio file upload (WAV, MP3, M4A) with local Whisper transcription</w:t>
      </w:r>
    </w:p>
    <w:p>
      <w:pPr>
        <w:pStyle w:val="ListParagraph"/>
        <w:numPr>
          <w:ilvl w:val="0"/>
          <w:numId w:val="2"/>
        </w:numPr>
        <w:spacing w:after="80" w:line="276"/>
      </w:pPr>
      <w:r>
        <w:rPr>
          <w:rFonts w:ascii="Arial" w:cs="Arial" w:eastAsia="Arial" w:hAnsi="Arial"/>
          <w:sz w:val="22"/>
          <w:szCs w:val="22"/>
        </w:rPr>
        <w:t xml:space="preserve">SRT subtitle import; manual session notes entry</w:t>
      </w:r>
    </w:p>
    <w:p>
      <w:pPr>
        <w:pStyle w:val="ListParagraph"/>
        <w:numPr>
          <w:ilvl w:val="0"/>
          <w:numId w:val="2"/>
        </w:numPr>
        <w:spacing w:after="80" w:line="276"/>
      </w:pPr>
      <w:r>
        <w:rPr>
          <w:rFonts w:ascii="Arial" w:cs="Arial" w:eastAsia="Arial" w:hAnsi="Arial"/>
          <w:sz w:val="22"/>
          <w:szCs w:val="22"/>
        </w:rPr>
        <w:t xml:space="preserve">Multi-session case accumulation (cases span 3–8 sessions over weeks)</w:t>
      </w:r>
    </w:p>
    <w:p>
      <w:pPr>
        <w:spacing w:after="60"/>
      </w:pPr>
    </w:p>
    <w:p>
      <w:pPr>
        <w:spacing w:after="120" w:line="276"/>
      </w:pPr>
      <w:r>
        <w:rPr>
          <w:rFonts w:ascii="Arial" w:cs="Arial" w:eastAsia="Arial" w:hAnsi="Arial"/>
          <w:b/>
          <w:bCs/>
          <w:sz w:val="22"/>
          <w:szCs w:val="22"/>
        </w:rPr>
        <w:t xml:space="preserve">Score Report Import (Launch Feature):</w:t>
      </w:r>
    </w:p>
    <w:p>
      <w:pPr>
        <w:pStyle w:val="ListParagraph"/>
        <w:numPr>
          <w:ilvl w:val="0"/>
          <w:numId w:val="2"/>
        </w:numPr>
        <w:spacing w:after="80" w:line="276"/>
      </w:pPr>
      <w:r>
        <w:rPr>
          <w:rFonts w:ascii="Arial" w:cs="Arial" w:eastAsia="Arial" w:hAnsi="Arial"/>
          <w:sz w:val="22"/>
          <w:szCs w:val="22"/>
        </w:rPr>
        <w:t xml:space="preserve">Q-global PDF import: extract raw scores and publisher-generated interpretations from standard Q-global score reports</w:t>
      </w:r>
    </w:p>
    <w:p>
      <w:pPr>
        <w:pStyle w:val="ListParagraph"/>
        <w:numPr>
          <w:ilvl w:val="0"/>
          <w:numId w:val="2"/>
        </w:numPr>
        <w:spacing w:after="80" w:line="276"/>
      </w:pPr>
      <w:r>
        <w:rPr>
          <w:rFonts w:ascii="Arial" w:cs="Arial" w:eastAsia="Arial" w:hAnsi="Arial"/>
          <w:sz w:val="22"/>
          <w:szCs w:val="22"/>
        </w:rPr>
        <w:t xml:space="preserve">PARiConnect PDF import: parse Pearson test score reports with embedded normative context</w:t>
      </w:r>
    </w:p>
    <w:p>
      <w:pPr>
        <w:pStyle w:val="ListParagraph"/>
        <w:numPr>
          <w:ilvl w:val="0"/>
          <w:numId w:val="2"/>
        </w:numPr>
        <w:spacing w:after="80" w:line="276"/>
      </w:pPr>
      <w:r>
        <w:rPr>
          <w:rFonts w:ascii="Arial" w:cs="Arial" w:eastAsia="Arial" w:hAnsi="Arial"/>
          <w:sz w:val="22"/>
          <w:szCs w:val="22"/>
        </w:rPr>
        <w:t xml:space="preserve">Manual score entry: clinician can enter individual test scores with corresponding T-scores/percentiles from paper reports</w:t>
      </w:r>
    </w:p>
    <w:p>
      <w:pPr>
        <w:pStyle w:val="ListParagraph"/>
        <w:numPr>
          <w:ilvl w:val="0"/>
          <w:numId w:val="2"/>
        </w:numPr>
        <w:spacing w:after="80" w:line="276"/>
      </w:pPr>
      <w:r>
        <w:rPr>
          <w:rFonts w:ascii="Arial" w:cs="Arial" w:eastAsia="Arial" w:hAnsi="Arial"/>
          <w:sz w:val="22"/>
          <w:szCs w:val="22"/>
        </w:rPr>
        <w:t xml:space="preserve">Score validation: system flags missing or invalid scores for Ingestor confirmation before case is locked</w:t>
      </w:r>
    </w:p>
    <w:p>
      <w:pPr>
        <w:spacing w:after="60"/>
      </w:pPr>
    </w:p>
    <w:p>
      <w:pPr>
        <w:spacing w:after="120" w:line="276"/>
      </w:pPr>
      <w:r>
        <w:rPr>
          <w:rFonts w:ascii="Arial" w:cs="Arial" w:eastAsia="Arial" w:hAnsi="Arial"/>
          <w:b/>
          <w:bCs/>
          <w:sz w:val="22"/>
          <w:szCs w:val="22"/>
        </w:rPr>
        <w:t xml:space="preserve">Referral Document Parser (Launch Feature):</w:t>
      </w:r>
    </w:p>
    <w:p>
      <w:pPr>
        <w:pStyle w:val="ListParagraph"/>
        <w:numPr>
          <w:ilvl w:val="0"/>
          <w:numId w:val="2"/>
        </w:numPr>
        <w:spacing w:after="80" w:line="276"/>
      </w:pPr>
      <w:r>
        <w:rPr>
          <w:rFonts w:ascii="Arial" w:cs="Arial" w:eastAsia="Arial" w:hAnsi="Arial"/>
          <w:sz w:val="22"/>
          <w:szCs w:val="22"/>
        </w:rPr>
        <w:t xml:space="preserve">Court order / referral source upload: Ingestor Agent extracts specific evaluation questions and legal standards from referral documents</w:t>
      </w:r>
    </w:p>
    <w:p>
      <w:pPr>
        <w:pStyle w:val="ListParagraph"/>
        <w:numPr>
          <w:ilvl w:val="0"/>
          <w:numId w:val="2"/>
        </w:numPr>
        <w:spacing w:after="80" w:line="276"/>
      </w:pPr>
      <w:r>
        <w:rPr>
          <w:rFonts w:ascii="Arial" w:cs="Arial" w:eastAsia="Arial" w:hAnsi="Arial"/>
          <w:sz w:val="22"/>
          <w:szCs w:val="22"/>
        </w:rPr>
        <w:t xml:space="preserve">Question mapping: Extracted questions automatically populate case metadata and drive report section structure</w:t>
      </w:r>
    </w:p>
    <w:p>
      <w:pPr>
        <w:pStyle w:val="ListParagraph"/>
        <w:numPr>
          <w:ilvl w:val="0"/>
          <w:numId w:val="2"/>
        </w:numPr>
        <w:spacing w:after="80" w:line="276"/>
      </w:pPr>
      <w:r>
        <w:rPr>
          <w:rFonts w:ascii="Arial" w:cs="Arial" w:eastAsia="Arial" w:hAnsi="Arial"/>
          <w:sz w:val="22"/>
          <w:szCs w:val="22"/>
        </w:rPr>
        <w:t xml:space="preserve">Legal standard recognition: For forensic cases, parser identifies applicable legal standards (competency, criminal responsibility, best interests, capacity) and flags relevant instruments</w:t>
      </w:r>
    </w:p>
    <w:p>
      <w:pPr>
        <w:pStyle w:val="ListParagraph"/>
        <w:numPr>
          <w:ilvl w:val="0"/>
          <w:numId w:val="2"/>
        </w:numPr>
        <w:spacing w:after="80" w:line="276"/>
      </w:pPr>
      <w:r>
        <w:rPr>
          <w:rFonts w:ascii="Arial" w:cs="Arial" w:eastAsia="Arial" w:hAnsi="Arial"/>
          <w:sz w:val="22"/>
          <w:szCs w:val="22"/>
        </w:rPr>
        <w:t xml:space="preserve">Report outline generation: Based on referral questions, system suggests relevant diagnostic areas and test batteries</w:t>
      </w:r>
    </w:p>
    <w:p>
      <w:pPr>
        <w:spacing w:after="60"/>
      </w:pPr>
    </w:p>
    <w:p>
      <w:pPr>
        <w:spacing w:after="120" w:line="276"/>
      </w:pPr>
      <w:r>
        <w:rPr>
          <w:rFonts w:ascii="Arial" w:cs="Arial" w:eastAsia="Arial" w:hAnsi="Arial"/>
          <w:b/>
          <w:bCs/>
          <w:sz w:val="22"/>
          <w:szCs w:val="22"/>
        </w:rPr>
        <w:t xml:space="preserve">Report Finalization (Launch Feature):</w:t>
      </w:r>
    </w:p>
    <w:p>
      <w:pPr>
        <w:pStyle w:val="ListParagraph"/>
        <w:numPr>
          <w:ilvl w:val="0"/>
          <w:numId w:val="2"/>
        </w:numPr>
        <w:spacing w:after="80" w:line="276"/>
      </w:pPr>
      <w:r>
        <w:rPr>
          <w:rFonts w:ascii="Arial" w:cs="Arial" w:eastAsia="Arial" w:hAnsi="Arial"/>
          <w:sz w:val="22"/>
          <w:szCs w:val="22"/>
        </w:rPr>
        <w:t xml:space="preserve">Document locking: After final attestation, report is locked against accidental modification. New edits require explicit edit unlock.</w:t>
      </w:r>
    </w:p>
    <w:p>
      <w:pPr>
        <w:pStyle w:val="ListParagraph"/>
        <w:numPr>
          <w:ilvl w:val="0"/>
          <w:numId w:val="2"/>
        </w:numPr>
        <w:spacing w:after="80" w:line="276"/>
      </w:pPr>
      <w:r>
        <w:rPr>
          <w:rFonts w:ascii="Arial" w:cs="Arial" w:eastAsia="Arial" w:hAnsi="Arial"/>
          <w:sz w:val="22"/>
          <w:szCs w:val="22"/>
        </w:rPr>
        <w:t xml:space="preserve">Integrity hash generation: Cryptographic hash of final report for verification and legal defensibility.</w:t>
      </w:r>
    </w:p>
    <w:p>
      <w:pPr>
        <w:pStyle w:val="ListParagraph"/>
        <w:numPr>
          <w:ilvl w:val="0"/>
          <w:numId w:val="2"/>
        </w:numPr>
        <w:spacing w:after="80" w:line="276"/>
      </w:pPr>
      <w:r>
        <w:rPr>
          <w:rFonts w:ascii="Arial" w:cs="Arial" w:eastAsia="Arial" w:hAnsi="Arial"/>
          <w:sz w:val="22"/>
          <w:szCs w:val="22"/>
        </w:rPr>
        <w:t xml:space="preserve">Sealed PDF export: Generate read-only PDF with metadata (hash, timestamp, clinician signature, version history).</w:t>
      </w:r>
    </w:p>
    <w:p>
      <w:pPr>
        <w:pStyle w:val="ListParagraph"/>
        <w:numPr>
          <w:ilvl w:val="0"/>
          <w:numId w:val="2"/>
        </w:numPr>
        <w:spacing w:after="80" w:line="276"/>
      </w:pPr>
      <w:r>
        <w:rPr>
          <w:rFonts w:ascii="Arial" w:cs="Arial" w:eastAsia="Arial" w:hAnsi="Arial"/>
          <w:sz w:val="22"/>
          <w:szCs w:val="22"/>
        </w:rPr>
        <w:t xml:space="preserve">Amendment log: Track all changes made after finalization with clinician signature, date, and rationale. Amendments are appended, not overlaid.</w:t>
      </w:r>
    </w:p>
    <w:p>
      <w:pPr>
        <w:pStyle w:val="ListParagraph"/>
        <w:numPr>
          <w:ilvl w:val="0"/>
          <w:numId w:val="2"/>
        </w:numPr>
        <w:spacing w:after="80" w:line="276"/>
      </w:pPr>
      <w:r>
        <w:rPr>
          <w:rFonts w:ascii="Arial" w:cs="Arial" w:eastAsia="Arial" w:hAnsi="Arial"/>
          <w:sz w:val="22"/>
          <w:szCs w:val="22"/>
        </w:rPr>
        <w:t xml:space="preserve">Multi-version archive: Store all report versions (draft, internal iterations, finalized) with timestamps for discovery/forensic purposes.</w:t>
      </w:r>
    </w:p>
    <w:p>
      <w:pPr>
        <w:spacing w:after="60"/>
      </w:pPr>
    </w:p>
    <w:p>
      <w:pPr>
        <w:spacing w:after="120" w:line="276"/>
      </w:pPr>
      <w:r>
        <w:rPr>
          <w:rFonts w:ascii="Arial" w:cs="Arial" w:eastAsia="Arial" w:hAnsi="Arial"/>
          <w:b/>
          <w:bCs/>
          <w:sz w:val="22"/>
          <w:szCs w:val="22"/>
        </w:rPr>
        <w:t xml:space="preserve">Informed Consent Template (Launch Feature):</w:t>
      </w:r>
    </w:p>
    <w:p>
      <w:pPr>
        <w:pStyle w:val="ListParagraph"/>
        <w:numPr>
          <w:ilvl w:val="0"/>
          <w:numId w:val="2"/>
        </w:numPr>
        <w:spacing w:after="80" w:line="276"/>
      </w:pPr>
      <w:r>
        <w:rPr>
          <w:rFonts w:ascii="Arial" w:cs="Arial" w:eastAsia="Arial" w:hAnsi="Arial"/>
          <w:sz w:val="22"/>
          <w:szCs w:val="22"/>
        </w:rPr>
        <w:t xml:space="preserve">AI-assisted evaluation disclosure: Pre-built informed consent template per APA Ethics Code Standard 9.03 (Human Relations) and Guideline 10.09 (Informed Consent).</w:t>
      </w:r>
    </w:p>
    <w:p>
      <w:pPr>
        <w:pStyle w:val="ListParagraph"/>
        <w:numPr>
          <w:ilvl w:val="0"/>
          <w:numId w:val="2"/>
        </w:numPr>
        <w:spacing w:after="80" w:line="276"/>
      </w:pPr>
      <w:r>
        <w:rPr>
          <w:rFonts w:ascii="Arial" w:cs="Arial" w:eastAsia="Arial" w:hAnsi="Arial"/>
          <w:sz w:val="22"/>
          <w:szCs w:val="22"/>
        </w:rPr>
        <w:t xml:space="preserve">Customizable disclosure: Clinician can modify template to explain that documentation tasks are AI-assisted (writing, summarization, evidence mapping) but diagnostic decisions are exclusively the clinician’s.</w:t>
      </w:r>
    </w:p>
    <w:p>
      <w:pPr>
        <w:pStyle w:val="ListParagraph"/>
        <w:numPr>
          <w:ilvl w:val="0"/>
          <w:numId w:val="2"/>
        </w:numPr>
        <w:spacing w:after="80" w:line="276"/>
      </w:pPr>
      <w:r>
        <w:rPr>
          <w:rFonts w:ascii="Arial" w:cs="Arial" w:eastAsia="Arial" w:hAnsi="Arial"/>
          <w:sz w:val="22"/>
          <w:szCs w:val="22"/>
        </w:rPr>
        <w:t xml:space="preserve">Signature and timestamp: Consent form signed and timestamped, stored with case record for legal documentation.</w:t>
      </w:r>
    </w:p>
    <w:p>
      <w:pPr>
        <w:pStyle w:val="ListParagraph"/>
        <w:numPr>
          <w:ilvl w:val="0"/>
          <w:numId w:val="2"/>
        </w:numPr>
        <w:spacing w:after="80" w:line="276"/>
      </w:pPr>
      <w:r>
        <w:rPr>
          <w:rFonts w:ascii="Arial" w:cs="Arial" w:eastAsia="Arial" w:hAnsi="Arial"/>
          <w:sz w:val="22"/>
          <w:szCs w:val="22"/>
        </w:rPr>
        <w:t xml:space="preserve">Multi-language support: Template available in English and Spanish.</w:t>
      </w:r>
    </w:p>
    <w:p>
      <w:pPr>
        <w:spacing w:after="60"/>
      </w:pPr>
    </w:p>
    <w:p>
      <w:pPr>
        <w:spacing w:after="120" w:line="276"/>
      </w:pPr>
      <w:r>
        <w:rPr>
          <w:rFonts w:ascii="Arial" w:cs="Arial" w:eastAsia="Arial" w:hAnsi="Arial"/>
          <w:b/>
          <w:bCs/>
          <w:sz w:val="22"/>
          <w:szCs w:val="22"/>
        </w:rPr>
        <w:t xml:space="preserve">Testimony Preparation (Forensic Launch Feature):</w:t>
      </w:r>
    </w:p>
    <w:p>
      <w:pPr>
        <w:pStyle w:val="ListParagraph"/>
        <w:numPr>
          <w:ilvl w:val="0"/>
          <w:numId w:val="2"/>
        </w:numPr>
        <w:spacing w:after="80" w:line="276"/>
      </w:pPr>
      <w:r>
        <w:rPr>
          <w:rFonts w:ascii="Arial" w:cs="Arial" w:eastAsia="Arial" w:hAnsi="Arial"/>
          <w:sz w:val="22"/>
          <w:szCs w:val="22"/>
        </w:rPr>
        <w:t xml:space="preserve">Deposition briefing: Generate summary of key facts, source citations, and potential cross-examination vulnerabilities from the case record and evidence map.</w:t>
      </w:r>
    </w:p>
    <w:p>
      <w:pPr>
        <w:pStyle w:val="ListParagraph"/>
        <w:numPr>
          <w:ilvl w:val="0"/>
          <w:numId w:val="2"/>
        </w:numPr>
        <w:spacing w:after="80" w:line="276"/>
      </w:pPr>
      <w:r>
        <w:rPr>
          <w:rFonts w:ascii="Arial" w:cs="Arial" w:eastAsia="Arial" w:hAnsi="Arial"/>
          <w:sz w:val="22"/>
          <w:szCs w:val="22"/>
        </w:rPr>
        <w:t xml:space="preserve">Outline generator: Extract court order questions, diagram evidence hierarchy, highlight agreements and disagreements in the literature.</w:t>
      </w:r>
    </w:p>
    <w:p>
      <w:pPr>
        <w:pStyle w:val="ListParagraph"/>
        <w:numPr>
          <w:ilvl w:val="0"/>
          <w:numId w:val="2"/>
        </w:numPr>
        <w:spacing w:after="80" w:line="276"/>
      </w:pPr>
      <w:r>
        <w:rPr>
          <w:rFonts w:ascii="Arial" w:cs="Arial" w:eastAsia="Arial" w:hAnsi="Arial"/>
          <w:sz w:val="22"/>
          <w:szCs w:val="22"/>
        </w:rPr>
        <w:t xml:space="preserve">Expert challenge log: Track common challenges to forensic psychology practice (e.g., Daubert challenges to specific instruments, Frye issues) and provide talking points tied to published validation studies.</w:t>
      </w:r>
    </w:p>
    <w:p>
      <w:pPr>
        <w:pStyle w:val="ListParagraph"/>
        <w:numPr>
          <w:ilvl w:val="0"/>
          <w:numId w:val="2"/>
        </w:numPr>
        <w:spacing w:after="80" w:line="276"/>
      </w:pPr>
      <w:r>
        <w:rPr>
          <w:rFonts w:ascii="Arial" w:cs="Arial" w:eastAsia="Arial" w:hAnsi="Arial"/>
          <w:sz w:val="22"/>
          <w:szCs w:val="22"/>
        </w:rPr>
        <w:t xml:space="preserve">Reference library: Quick-access list of published standards (DSM-5-TR, PCL-R manual, MMPI-3 handbook citations, forensic guidelines) with page numbers.</w:t>
      </w:r>
    </w:p>
    <w:p>
      <w:pPr>
        <w:spacing w:after="60"/>
      </w:pPr>
    </w:p>
    <w:p>
      <w:pPr>
        <w:spacing w:after="120" w:line="276"/>
      </w:pPr>
      <w:r>
        <w:rPr>
          <w:rFonts w:ascii="Arial" w:cs="Arial" w:eastAsia="Arial" w:hAnsi="Arial"/>
          <w:b/>
          <w:bCs/>
          <w:sz w:val="22"/>
          <w:szCs w:val="22"/>
        </w:rPr>
        <w:t xml:space="preserve">Deferred to Post-Beta:</w:t>
      </w:r>
    </w:p>
    <w:p>
      <w:pPr>
        <w:pStyle w:val="ListParagraph"/>
        <w:numPr>
          <w:ilvl w:val="0"/>
          <w:numId w:val="2"/>
        </w:numPr>
        <w:spacing w:after="80" w:line="276"/>
      </w:pPr>
      <w:r>
        <w:rPr>
          <w:rFonts w:ascii="Arial" w:cs="Arial" w:eastAsia="Arial" w:hAnsi="Arial"/>
          <w:sz w:val="22"/>
          <w:szCs w:val="22"/>
        </w:rPr>
        <w:t xml:space="preserve">Billing loop (CPT codes, ICD-10-CM crosswalk, superbill generation)</w:t>
      </w:r>
    </w:p>
    <w:p>
      <w:pPr>
        <w:pStyle w:val="ListParagraph"/>
        <w:numPr>
          <w:ilvl w:val="0"/>
          <w:numId w:val="2"/>
        </w:numPr>
        <w:spacing w:after="80" w:line="276"/>
      </w:pPr>
      <w:r>
        <w:rPr>
          <w:rFonts w:ascii="Arial" w:cs="Arial" w:eastAsia="Arial" w:hAnsi="Arial"/>
          <w:sz w:val="22"/>
          <w:szCs w:val="22"/>
        </w:rPr>
        <w:t xml:space="preserve">EHR integration; full neuropsych battery-specific templates</w:t>
      </w:r>
    </w:p>
    <w:p>
      <w:pPr>
        <w:pStyle w:val="ListParagraph"/>
        <w:numPr>
          <w:ilvl w:val="0"/>
          <w:numId w:val="2"/>
        </w:numPr>
        <w:spacing w:after="80" w:line="276"/>
      </w:pPr>
      <w:r>
        <w:rPr>
          <w:rFonts w:ascii="Arial" w:cs="Arial" w:eastAsia="Arial" w:hAnsi="Arial"/>
          <w:sz w:val="22"/>
          <w:szCs w:val="22"/>
        </w:rPr>
        <w:t xml:space="preserve">School psychology / IEP evaluation templates</w:t>
      </w:r>
    </w:p>
    <w:p>
      <w:pPr>
        <w:pStyle w:val="ListParagraph"/>
        <w:numPr>
          <w:ilvl w:val="0"/>
          <w:numId w:val="2"/>
        </w:numPr>
        <w:spacing w:after="80" w:line="276"/>
      </w:pPr>
      <w:r>
        <w:rPr>
          <w:rFonts w:ascii="Arial" w:cs="Arial" w:eastAsia="Arial" w:hAnsi="Arial"/>
          <w:sz w:val="22"/>
          <w:szCs w:val="22"/>
        </w:rPr>
        <w:t xml:space="preserve">Group practice management; browser-only PWA deployment</w:t>
      </w:r>
    </w:p>
    <w:p>
      <w:pPr>
        <w:spacing w:after="60"/>
      </w:pPr>
    </w:p>
    <w:p>
      <w:pPr>
        <w:pStyle w:val="Heading2"/>
      </w:pPr>
      <w:r>
        <w:t xml:space="preserve">C. Diagnosis Catalog (Top 10 + Extensible)</w:t>
      </w:r>
    </w:p>
    <w:p>
      <w:pPr>
        <w:spacing w:after="120" w:line="276"/>
      </w:pPr>
      <w:r>
        <w:rPr>
          <w:rFonts w:ascii="Arial" w:cs="Arial" w:eastAsia="Arial" w:hAnsi="Arial"/>
          <w:sz w:val="22"/>
          <w:szCs w:val="22"/>
        </w:rPr>
        <w:t xml:space="preserve">The Diagnostician Agent maps evidence against diagnoses drawn from a built-in catalog. The catalog ships with the 10 most commonly encountered diagnoses across forensic and clinical psychology, each linked to its DSM-5-TR criteria and associated assessment instruments. These 10 diagnoses were selected because they span both specialties — every one appears in forensic evaluations and in general clinical assessments, making them the right foundation for a product serving both markets from day one. Clinicians can add, remove, or modify diagnoses via the Settings/Configuration dialog (see Section E below).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600"/>
        <w:gridCol w:w="1100"/>
        <w:gridCol w:w="2500"/>
        <w:gridCol w:w="3810"/>
      </w:tblGrid>
      <w:tr>
        <w:tc>
          <w:tcPr>
            <w:tcW w:type="dxa" w:w="3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Diagnosis</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DSM-5-TR Code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Forensic Relevance</w:t>
            </w:r>
          </w:p>
        </w:tc>
        <w:tc>
          <w:tcPr>
            <w:tcW w:type="dxa" w:w="38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Instruments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Major Depressive Disorder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F32.x / F33.x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Personal injury claims, disability evaluations, mitigation in sentencing, custody fitness</w:t>
            </w:r>
          </w:p>
        </w:tc>
        <w:tc>
          <w:tcPr>
            <w:tcW w:type="dxa" w:w="38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BDI-2, MMPI-3 (DEP scale), PHQ-9, PAI (DEP)</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Schizophrenia Spectrum Disorders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F20.x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Competency to stand trial, criminal responsibility (insanity), guardianship, involuntary commitment</w:t>
            </w:r>
          </w:p>
        </w:tc>
        <w:tc>
          <w:tcPr>
            <w:tcW w:type="dxa" w:w="38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MMPI-3, PAI, SIRS-2 (malingering screen), PANSS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PTSD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F43.10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Personal injury, veterans’ disability, workplace injury, mitigation in criminal cases</w:t>
            </w:r>
          </w:p>
        </w:tc>
        <w:tc>
          <w:tcPr>
            <w:tcW w:type="dxa" w:w="38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CAPS-5, PCL-5, MMPI-3 (PSYC-r), TSI-2</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Bipolar Disorder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F31.x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Competency, criminal responsibility, testamentary capacity, disability</w:t>
            </w:r>
          </w:p>
        </w:tc>
        <w:tc>
          <w:tcPr>
            <w:tcW w:type="dxa" w:w="38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MMPI-3, PAI (MAN), MDQ, YMRS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Antisocial Personality Disorder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F60.2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Risk assessment, sentencing, SVP proceedings, parole decisions, psychopathy evaluation</w:t>
            </w:r>
          </w:p>
        </w:tc>
        <w:tc>
          <w:tcPr>
            <w:tcW w:type="dxa" w:w="38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PCL-R, MMPI-3 (RC4, AGG), PAI (ANT), HCR-20v3</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Substance Use Disorders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F10–F19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Criminal responsibility, DUI evaluations, child custody, fitness for duty, parole compliance</w:t>
            </w:r>
          </w:p>
        </w:tc>
        <w:tc>
          <w:tcPr>
            <w:tcW w:type="dxa" w:w="38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AUDIT, DAST-10, MMPI-3 (SUB), PAI (ALC, DRG), SASSI-4</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Neurocognitive Disorders (Dementia)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F02.x / F03.x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Testamentary capacity, guardianship/conservatorship, competency, fitness evaluations</w:t>
            </w:r>
          </w:p>
        </w:tc>
        <w:tc>
          <w:tcPr>
            <w:tcW w:type="dxa" w:w="38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WAIS-V, WMS-IV, MoCA, Trail Making A&amp;B, RBANS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Autism Spectrum Disorder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F84.0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Competency accommodations, mitigation, disability, special education forensic disputes</w:t>
            </w:r>
          </w:p>
        </w:tc>
        <w:tc>
          <w:tcPr>
            <w:tcW w:type="dxa" w:w="38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ADOS-2, CARS-2, SRS-2, WAIS-V (processing speed/working memory)</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ADHD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F90.x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Disability claims, workplace accommodation, juvenile justice, educational forensic disputes</w:t>
            </w:r>
          </w:p>
        </w:tc>
        <w:tc>
          <w:tcPr>
            <w:tcW w:type="dxa" w:w="38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Conners-4 (CPT), CAARS-2, MMPI-3, WAIS-V (WMI, PSI)</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Intellectual Disability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F70–F73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Competency to stand trial, Atkins claims (death penalty), criminal responsibility, guardianship</w:t>
            </w:r>
          </w:p>
        </w:tc>
        <w:tc>
          <w:tcPr>
            <w:tcW w:type="dxa" w:w="38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WAIS-V, WISC-V, ABAS-3, Vineland-3, SIB-R</w:t>
            </w:r>
          </w:p>
        </w:tc>
      </w:tr>
    </w:tbl>
    <w:p>
      <w:pPr>
        <w:spacing w:after="60"/>
      </w:pPr>
    </w:p>
    <w:p>
      <w:pPr>
        <w:spacing w:after="120" w:line="276"/>
      </w:pPr>
      <w:r>
        <w:rPr>
          <w:rFonts w:ascii="Arial" w:cs="Arial" w:eastAsia="Arial" w:hAnsi="Arial"/>
          <w:sz w:val="22"/>
          <w:szCs w:val="22"/>
        </w:rPr>
        <w:t xml:space="preserve">These 10 diagnoses cover the vast majority of forensic and clinical evaluation contexts. The catalog is extensible — clinicians can add any DSM-5-TR or ICD-10-CM diagnosis through the Settings/Configuration dialog, along with associated instruments and criteria.</w:t>
      </w:r>
    </w:p>
    <w:p>
      <w:pPr>
        <w:spacing w:after="60"/>
      </w:pPr>
    </w:p>
    <w:p>
      <w:pPr>
        <w:pStyle w:val="Heading2"/>
      </w:pPr>
      <w:r>
        <w:t xml:space="preserve">D. Instrument Library (Comprehensive + Extensible)</w:t>
      </w:r>
    </w:p>
    <w:p>
      <w:pPr>
        <w:spacing w:after="120" w:line="276"/>
      </w:pPr>
      <w:r>
        <w:rPr>
          <w:rFonts w:ascii="Arial" w:cs="Arial" w:eastAsia="Arial" w:hAnsi="Arial"/>
          <w:sz w:val="22"/>
          <w:szCs w:val="22"/>
        </w:rPr>
        <w:t xml:space="preserve">Each instrument in the library includes: its full name and abbreviation, what it measures, associated diagnoses, references to publisher manuals, and forensic-specific considerations (e.g., validity scales for malingering detection). The library does NOT contain proprietary scoring ranges or normative tables. The Ingestor Agent uses this library to correctly identify and structure test score input. The Diagnostician Agent uses it to map scores to diagnostic criteria.</w:t>
      </w:r>
    </w:p>
    <w:p>
      <w:pPr>
        <w:spacing w:after="60"/>
      </w:pPr>
    </w:p>
    <w:p>
      <w:pPr>
        <w:spacing w:after="120" w:line="276"/>
      </w:pPr>
      <w:r>
        <w:rPr>
          <w:rFonts w:ascii="Arial" w:cs="Arial" w:eastAsia="Arial" w:hAnsi="Arial"/>
          <w:b/>
          <w:bCs/>
          <w:sz w:val="22"/>
          <w:szCs w:val="22"/>
        </w:rPr>
        <w:t xml:space="preserve">Cognitive &amp; Intelligence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200"/>
        <w:gridCol w:w="17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Instrument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Abbreviation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Measures</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Population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Wechsler Adult Intelligence Scale, 5th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WAIS-V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Full-scale IQ, verbal comprehension, perceptual reasoning, working memory, processing speed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Adults 16–90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Wechsler Intelligence Scale for Children, 5th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WISC-V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Full-scale IQ, five primary index scores, ancillary/complementary indexes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Children 6–16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Wechsler Memory Scale, 4th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WMS-IV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Auditory memory, visual memory, working memory, immediate/delayed recall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Adults 16–90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Trail Making Test A &amp; 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TMT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Processing speed (A), executive function/set-shifting (B)</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Montreal Cognitive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MoCA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Cognitive screening: attention, memory, language, visuospatial, executive function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Adults (dementia screen)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Repeatable Battery for Assessment of Neuropsych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RBANS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Immediate memory, visuospatial, language, attention, delayed memory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Adults 12–89</w:t>
            </w:r>
          </w:p>
        </w:tc>
      </w:tr>
    </w:tbl>
    <w:p>
      <w:pPr>
        <w:spacing w:after="60"/>
      </w:pPr>
    </w:p>
    <w:p>
      <w:pPr>
        <w:spacing w:after="120" w:line="276"/>
      </w:pPr>
      <w:r>
        <w:rPr>
          <w:rFonts w:ascii="Arial" w:cs="Arial" w:eastAsia="Arial" w:hAnsi="Arial"/>
          <w:b/>
          <w:bCs/>
          <w:sz w:val="22"/>
          <w:szCs w:val="22"/>
        </w:rPr>
        <w:t xml:space="preserve">Personality &amp; Psychopathology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200"/>
        <w:gridCol w:w="17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Instrument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Abbreviation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Measures</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Forensic Note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Minnesota Multiphasic Personality Inventory, 3rd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MMPI-3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Psychopathology, personality, validity/response style across 52 scales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Gold standard in forensic assessment. Validity scales detect malingering, defensiveness, inconsistency.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Personality Assessment 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Psychopathology, personality, treatment consideration, interpersonal style (344 items, 22 scales)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Violence potential index, suicide potential, malingering indicators. Widely used in forensic/correctional settings.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Beck Depression Inventory, 2nd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BDI-2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Depression severity (21 items)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Quick severity measure; not a standalone diagnostic tool.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Beck Anxiety 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Anxiety severity (21 items)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Distinguishes anxiety from depression symptoms.</w:t>
            </w:r>
          </w:p>
        </w:tc>
      </w:tr>
    </w:tbl>
    <w:p>
      <w:pPr>
        <w:spacing w:after="60"/>
      </w:pPr>
    </w:p>
    <w:p>
      <w:pPr>
        <w:spacing w:after="120" w:line="276"/>
      </w:pPr>
      <w:r>
        <w:rPr>
          <w:rFonts w:ascii="Arial" w:cs="Arial" w:eastAsia="Arial" w:hAnsi="Arial"/>
          <w:b/>
          <w:bCs/>
          <w:sz w:val="22"/>
          <w:szCs w:val="22"/>
        </w:rPr>
        <w:t xml:space="preserve">Risk Assessment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200"/>
        <w:gridCol w:w="17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Instrument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Abbreviation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Measures</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Forensic Note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Hare Psychopathy Checklist, Revised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PCL-R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Psychopathic traits: interpersonal, affective, lifestyle, antisocial (20 items, 0–40)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Primary psychopathy measure. Predicts recidivism. Required expertise for administration.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Historical Clinical Risk Management, v3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HCR-20v3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Violence risk: 10 historical, 5 clinical, 5 risk management items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Structured professional judgment. Most widely used violence risk tool.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Static-99R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Static-99R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Sexual violence recidivism risk (10 static/historical items)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Actuarial. Standard in SVP proceedings.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Violence Risk Appraisal Guide, Revised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VRAG-R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Violence recidivism risk (12 items)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Actuarial. Validated on forensic psychiatric populations.</w:t>
            </w:r>
          </w:p>
        </w:tc>
      </w:tr>
    </w:tbl>
    <w:p>
      <w:pPr>
        <w:spacing w:after="60"/>
      </w:pPr>
    </w:p>
    <w:p>
      <w:pPr>
        <w:spacing w:after="120" w:line="276"/>
      </w:pPr>
      <w:r>
        <w:rPr>
          <w:rFonts w:ascii="Arial" w:cs="Arial" w:eastAsia="Arial" w:hAnsi="Arial"/>
          <w:b/>
          <w:bCs/>
          <w:sz w:val="22"/>
          <w:szCs w:val="22"/>
        </w:rPr>
        <w:t xml:space="preserve">Malingering &amp; Effort Testing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200"/>
        <w:gridCol w:w="17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Instrument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Abbreviation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Measures</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Forensic Note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Test of Memory Malingering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TOMM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Effort/malingering via forced-choice recognition memory (50 items, 2 trials + retention)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Score &lt;45 on Trial 2 indicates probable malingering. Standard in forensic neuropsych batteries.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Structured Interview of Reported Symptoms, 2nd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SIRS-2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Feigned psychiatric symptoms via structured interview (172 items across 8 primary scales)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Gold standard for detecting feigned psychiatric symptoms. Low false-positive 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Miller Forensic Assessment of Symptoms 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M-FAST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Malingering screening (25 items, ~5 minutes)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Brief screener; positive results warrant full SIRS-2 administration.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Structured Inventory of Malingered Symptomatology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Malingering screening across 5 domains (75 items)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Screens feigned neurological, affective, psychotic, memory, and intellectual symptoms.</w:t>
            </w:r>
          </w:p>
        </w:tc>
      </w:tr>
    </w:tbl>
    <w:p>
      <w:pPr>
        <w:spacing w:after="60"/>
      </w:pPr>
    </w:p>
    <w:p>
      <w:pPr>
        <w:spacing w:after="120" w:line="276"/>
      </w:pPr>
      <w:r>
        <w:rPr>
          <w:rFonts w:ascii="Arial" w:cs="Arial" w:eastAsia="Arial" w:hAnsi="Arial"/>
          <w:b/>
          <w:bCs/>
          <w:sz w:val="22"/>
          <w:szCs w:val="22"/>
        </w:rPr>
        <w:t xml:space="preserve">Competency &amp; Specialized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200"/>
        <w:gridCol w:w="17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Instrument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Abbreviation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Measures</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Forensic Note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MacArthur Competence Assessment Tool–Criminal Adjudication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MacCAT-CA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Competency to stand trial: understanding, reasoning, appreciation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Direct competency measure. Structured, standardized.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Clinician-Administered PTSD Scale, 5th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CAPS-5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PTSD diagnosis and severity per DSM-5 criteria (30 items)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Gold standard PTSD diagnostic interview. Clinician-administered.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Autism Diagnostic Observation Schedule, 2nd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ADOS-2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Autism spectrum features via structured observation across 5 modules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Standardized autism assessment. Requires certified administration.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Conners Continuous Performance Test, 4th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Conners CPT-4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Sustained attention, vigilance, impulsivity (ADHD-relevant)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Computerized. Detects attention deficits; includes validity indicators.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Adaptive Behavior Assessment System, 3rd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ABAS-3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Adaptive behavior across conceptual, social, practical domains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Required for intellectual disability diagnosis alongside IQ testing.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Vineland Adaptive Behavior Scales, 3rd 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Vineland-3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Adaptive behavior: communication, daily living, socialization, motor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Standard for intellectual disability and ASD adaptive functioning.</w:t>
            </w:r>
          </w:p>
        </w:tc>
      </w:tr>
    </w:tbl>
    <w:p>
      <w:pPr>
        <w:spacing w:after="60"/>
      </w:pPr>
    </w:p>
    <w:p>
      <w:pPr>
        <w:pStyle w:val="Heading2"/>
      </w:pPr>
      <w:r>
        <w:t xml:space="preserve">E. Settings &amp; Configuration: Extensible Diagnosis and Instrument System</w:t>
      </w:r>
    </w:p>
    <w:p>
      <w:pPr>
        <w:spacing w:after="120" w:line="276"/>
      </w:pPr>
      <w:r>
        <w:rPr>
          <w:rFonts w:ascii="Arial" w:cs="Arial" w:eastAsia="Arial" w:hAnsi="Arial"/>
          <w:sz w:val="22"/>
          <w:szCs w:val="22"/>
        </w:rPr>
        <w:t xml:space="preserve">The diagnosis catalog and instrument library ship with the defaults above, but forensic practice is diverse. A clinician working disability evaluations needs different diagnoses and instruments than one doing SVP proceedings. The system must accommodate this from day one.</w:t>
      </w:r>
    </w:p>
    <w:p>
      <w:pPr>
        <w:spacing w:after="60"/>
      </w:pPr>
    </w:p>
    <w:p>
      <w:pPr>
        <w:spacing w:after="120" w:line="276"/>
      </w:pPr>
      <w:r>
        <w:rPr>
          <w:rFonts w:ascii="Arial" w:cs="Arial" w:eastAsia="Arial" w:hAnsi="Arial"/>
          <w:b/>
          <w:bCs/>
          <w:sz w:val="22"/>
          <w:szCs w:val="22"/>
        </w:rPr>
        <w:t xml:space="preserve">Settings/Configuration Dialog provides:</w:t>
      </w:r>
    </w:p>
    <w:p>
      <w:pPr>
        <w:pStyle w:val="ListParagraph"/>
        <w:numPr>
          <w:ilvl w:val="0"/>
          <w:numId w:val="2"/>
        </w:numPr>
        <w:spacing w:after="80" w:line="276"/>
      </w:pPr>
      <w:r>
        <w:rPr>
          <w:rFonts w:ascii="Arial" w:cs="Arial" w:eastAsia="Arial" w:hAnsi="Arial"/>
          <w:b/>
          <w:bCs/>
          <w:sz w:val="22"/>
          <w:szCs w:val="22"/>
        </w:rPr>
        <w:t xml:space="preserve">Diagnosis Management: </w:t>
      </w:r>
      <w:r>
        <w:rPr>
          <w:rFonts w:ascii="Arial" w:cs="Arial" w:eastAsia="Arial" w:hAnsi="Arial"/>
          <w:sz w:val="22"/>
          <w:szCs w:val="22"/>
        </w:rPr>
        <w:t xml:space="preserve">Add custom DSM-5-TR or ICD-10-CM diagnoses with criteria text, associated instruments, and forensic relevance notes. Enable/disable diagnoses from the active catalog. Reorder by frequency of use. Import/export diagnosis configurations for sharing across practice settings.</w:t>
      </w:r>
    </w:p>
    <w:p>
      <w:pPr>
        <w:pStyle w:val="ListParagraph"/>
        <w:numPr>
          <w:ilvl w:val="0"/>
          <w:numId w:val="2"/>
        </w:numPr>
        <w:spacing w:after="80" w:line="276"/>
      </w:pPr>
      <w:r>
        <w:rPr>
          <w:rFonts w:ascii="Arial" w:cs="Arial" w:eastAsia="Arial" w:hAnsi="Arial"/>
          <w:b/>
          <w:bCs/>
          <w:sz w:val="22"/>
          <w:szCs w:val="22"/>
        </w:rPr>
        <w:t xml:space="preserve">Instrument Management: </w:t>
      </w:r>
      <w:r>
        <w:rPr>
          <w:rFonts w:ascii="Arial" w:cs="Arial" w:eastAsia="Arial" w:hAnsi="Arial"/>
          <w:sz w:val="22"/>
          <w:szCs w:val="22"/>
        </w:rPr>
        <w:t xml:space="preserve">Add custom instruments with abbreviation, description, diagnosis mappings, and references to publisher manuals. Configure instrument-specific parsing templates for the Ingestor Agent (without embedding proprietary norms). Enable/disable instruments. Import/export instrument configurations.</w:t>
      </w:r>
    </w:p>
    <w:p>
      <w:pPr>
        <w:pStyle w:val="ListParagraph"/>
        <w:numPr>
          <w:ilvl w:val="0"/>
          <w:numId w:val="2"/>
        </w:numPr>
        <w:spacing w:after="80" w:line="276"/>
      </w:pPr>
      <w:r>
        <w:rPr>
          <w:rFonts w:ascii="Arial" w:cs="Arial" w:eastAsia="Arial" w:hAnsi="Arial"/>
          <w:b/>
          <w:bCs/>
          <w:sz w:val="22"/>
          <w:szCs w:val="22"/>
        </w:rPr>
        <w:t xml:space="preserve">Diagnosis-Instrument Mapping: </w:t>
      </w:r>
      <w:r>
        <w:rPr>
          <w:rFonts w:ascii="Arial" w:cs="Arial" w:eastAsia="Arial" w:hAnsi="Arial"/>
          <w:sz w:val="22"/>
          <w:szCs w:val="22"/>
        </w:rPr>
        <w:t xml:space="preserve">Define which instruments are associated with which diagnoses. When the Diagnostician Agent maps evidence, it knows which instrument scores are relevant to each diagnostic criterion. Clinicians can customize these mappings to match their practice patterns.</w:t>
      </w:r>
    </w:p>
    <w:p>
      <w:pPr>
        <w:pStyle w:val="ListParagraph"/>
        <w:numPr>
          <w:ilvl w:val="0"/>
          <w:numId w:val="2"/>
        </w:numPr>
        <w:spacing w:after="80" w:line="276"/>
      </w:pPr>
      <w:r>
        <w:rPr>
          <w:rFonts w:ascii="Arial" w:cs="Arial" w:eastAsia="Arial" w:hAnsi="Arial"/>
          <w:b/>
          <w:bCs/>
          <w:sz w:val="22"/>
          <w:szCs w:val="22"/>
        </w:rPr>
        <w:t xml:space="preserve">Practice Profile Presets: </w:t>
      </w:r>
      <w:r>
        <w:rPr>
          <w:rFonts w:ascii="Arial" w:cs="Arial" w:eastAsia="Arial" w:hAnsi="Arial"/>
          <w:sz w:val="22"/>
          <w:szCs w:val="22"/>
        </w:rPr>
        <w:t xml:space="preserve">Pre-built configuration bundles for common practice types: Forensic Criminal (competency, risk, criminal responsibility), Forensic Civil (custody, personal injury, disability), Neuropsychological, Clinical General. Clinicians select a preset during onboarding, then customize from there.</w:t>
      </w:r>
    </w:p>
    <w:p>
      <w:pPr>
        <w:pStyle w:val="ListParagraph"/>
        <w:numPr>
          <w:ilvl w:val="0"/>
          <w:numId w:val="2"/>
        </w:numPr>
        <w:spacing w:after="80" w:line="276"/>
      </w:pPr>
      <w:r>
        <w:rPr>
          <w:rFonts w:ascii="Arial" w:cs="Arial" w:eastAsia="Arial" w:hAnsi="Arial"/>
          <w:b/>
          <w:bCs/>
          <w:sz w:val="22"/>
          <w:szCs w:val="22"/>
        </w:rPr>
        <w:t xml:space="preserve">First-Client Accommodation: </w:t>
      </w:r>
      <w:r>
        <w:rPr>
          <w:rFonts w:ascii="Arial" w:cs="Arial" w:eastAsia="Arial" w:hAnsi="Arial"/>
          <w:b/>
          <w:bCs/>
          <w:sz w:val="22"/>
          <w:szCs w:val="22"/>
        </w:rPr>
        <w:t xml:space="preserve">Real-World Practice Flexibility: </w:t>
      </w:r>
      <w:r>
        <w:rPr>
          <w:rFonts w:ascii="Arial" w:cs="Arial" w:eastAsia="Arial" w:hAnsi="Arial"/>
          <w:sz w:val="22"/>
          <w:szCs w:val="22"/>
        </w:rPr>
        <w:t xml:space="preserve">Clinical psychologists vary widely in their evaluation focus. One practitioner may specialize in ADHD assessments with Conners-4 and WAIS-V, another in dementia evaluations with MoCA and RBANS, another in PTSD claims with CAPS-5 and MMPI-3. The configuration system handles all of these without code changes. New diagnoses and instruments are data, not features.</w:t>
      </w:r>
    </w:p>
    <w:p>
      <w:pPr>
        <w:spacing w:after="60"/>
      </w:pPr>
    </w:p>
    <w:p>
      <w:pPr>
        <w:spacing w:after="120" w:line="276"/>
      </w:pPr>
      <w:r>
        <w:rPr>
          <w:rFonts w:ascii="Arial" w:cs="Arial" w:eastAsia="Arial" w:hAnsi="Arial"/>
          <w:sz w:val="22"/>
          <w:szCs w:val="22"/>
        </w:rPr>
        <w:t xml:space="preserve">This extensibility is architecturally important: the diagnosis catalog and instrument library are stored as structured JSON in the local SQLite database. Adding a new diagnosis or instrument is a data operation, not a code deployment. The Diagnostician Agent reads the catalog at runtime. The Ingestor Agent reads the instrument library at runtime. No agent behavior is hardcoded to specific diagnoses or instruments — they operate on whatever the clinician has configured.</w:t>
      </w:r>
    </w:p>
    <w:p>
      <w:pPr>
        <w:spacing w:after="60"/>
      </w:pPr>
    </w:p>
    <w:p>
      <w:pPr>
        <w:spacing w:after="120" w:line="276"/>
      </w:pPr>
      <w:r>
        <w:rPr>
          <w:rFonts w:ascii="Arial" w:cs="Arial" w:eastAsia="Arial" w:hAnsi="Arial"/>
          <w:b/>
          <w:bCs/>
          <w:sz w:val="22"/>
          <w:szCs w:val="22"/>
        </w:rPr>
        <w:t xml:space="preserve">User Roles and Permissions:</w:t>
      </w:r>
    </w:p>
    <w:p>
      <w:pPr>
        <w:pStyle w:val="ListParagraph"/>
        <w:numPr>
          <w:ilvl w:val="0"/>
          <w:numId w:val="2"/>
        </w:numPr>
        <w:spacing w:after="80" w:line="276"/>
      </w:pPr>
      <w:r>
        <w:rPr>
          <w:rFonts w:ascii="Arial" w:cs="Arial" w:eastAsia="Arial" w:hAnsi="Arial"/>
          <w:b/>
          <w:bCs/>
          <w:sz w:val="22"/>
          <w:szCs w:val="22"/>
        </w:rPr>
        <w:t xml:space="preserve">Primary Evaluator (Psychologist/Clinician): </w:t>
      </w:r>
      <w:r>
        <w:rPr>
          <w:rFonts w:ascii="Arial" w:cs="Arial" w:eastAsia="Arial" w:hAnsi="Arial"/>
          <w:sz w:val="22"/>
          <w:szCs w:val="22"/>
        </w:rPr>
        <w:t xml:space="preserve">Full system access. Reviews Gates 1–3, makes all diagnostic decisions, approves final report. Identity authenticated for legal defense (attestation, audit trail). This is the only role that can sign and finalize reports.</w:t>
      </w:r>
    </w:p>
    <w:p>
      <w:pPr>
        <w:pStyle w:val="ListParagraph"/>
        <w:numPr>
          <w:ilvl w:val="0"/>
          <w:numId w:val="2"/>
        </w:numPr>
        <w:spacing w:after="80" w:line="276"/>
      </w:pPr>
      <w:r>
        <w:rPr>
          <w:rFonts w:ascii="Arial" w:cs="Arial" w:eastAsia="Arial" w:hAnsi="Arial"/>
          <w:b/>
          <w:bCs/>
          <w:sz w:val="22"/>
          <w:szCs w:val="22"/>
        </w:rPr>
        <w:t xml:space="preserve">Psychometrist / Test Administrator: </w:t>
      </w:r>
      <w:r>
        <w:rPr>
          <w:rFonts w:ascii="Arial" w:cs="Arial" w:eastAsia="Arial" w:hAnsi="Arial"/>
          <w:sz w:val="22"/>
          <w:szCs w:val="22"/>
        </w:rPr>
        <w:t xml:space="preserve">Permission to enter test scores and raw data into cases. Can upload score reports (Q-global, PARiConnect PDFs) and enter individual test results. Cannot make diagnostic decisions or approve final reports. Useful for multi-clinician practices where a psychometrist administers and scores, but a doctoral-level clinician renders diagnoses. Requires approval from Primary Evaluator to create new cases or modify case metadata.</w:t>
      </w:r>
    </w:p>
    <w:p>
      <w:pPr>
        <w:pStyle w:val="ListParagraph"/>
        <w:numPr>
          <w:ilvl w:val="0"/>
          <w:numId w:val="2"/>
        </w:numPr>
        <w:spacing w:after="80" w:line="276"/>
      </w:pPr>
      <w:r>
        <w:rPr>
          <w:rFonts w:ascii="Arial" w:cs="Arial" w:eastAsia="Arial" w:hAnsi="Arial"/>
          <w:b/>
          <w:bCs/>
          <w:sz w:val="22"/>
          <w:szCs w:val="22"/>
        </w:rPr>
        <w:t xml:space="preserve">Supervisor / Consultant (Optional): </w:t>
      </w:r>
      <w:r>
        <w:rPr>
          <w:rFonts w:ascii="Arial" w:cs="Arial" w:eastAsia="Arial" w:hAnsi="Arial"/>
          <w:sz w:val="22"/>
          <w:szCs w:val="22"/>
        </w:rPr>
        <w:t xml:space="preserve">Read-only access to case files for consultation and quality review. Can view evidence maps and draft reports but cannot edit. Intended for clinical supervisors or forensic case review.</w:t>
      </w:r>
    </w:p>
    <w:p>
      <w:pPr>
        <w:spacing w:after="60"/>
      </w:pPr>
    </w:p>
    <w:p>
      <w:pPr>
        <w:pStyle w:val="Heading2"/>
      </w:pPr>
      <w:r>
        <w:t xml:space="preserve">F. Gate Review UX: Active, Not Passive</w:t>
      </w:r>
    </w:p>
    <w:p>
      <w:pPr>
        <w:spacing w:after="120" w:line="276"/>
      </w:pPr>
      <w:r>
        <w:rPr>
          <w:rFonts w:ascii="Arial" w:cs="Arial" w:eastAsia="Arial" w:hAnsi="Arial"/>
          <w:sz w:val="22"/>
          <w:szCs w:val="22"/>
        </w:rPr>
        <w:t xml:space="preserve">The difference between a rubber-stamp checkbox and meaningful clinical oversight is the UX implementation. Each gate is designed for active engagement: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 Mechanism</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Clinician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Gate 1: Data Confirmation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Structured checklist of extracted data points. Side-by-side view: source document on left, extracted data on right. Missing data highlighted in amber.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Confirm each data category. Correct extraction errors inline. Flag missing information. Add manual observations.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Gate 2: Diagnostic Decision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Evidence map per potential diagnosis. Each row: DSM-5-TR criterion, evidence for/against, source citation, data gaps. Default state for every diagnosis: “No Decision.” NO AI recommendations displayed.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Clinician actively SELECTS each diagnosis to render. Actively RULES OUT each excluded diagnosis. Notes deferrals. There is no “Accept All.” This is where clinical judgment lives — the doctor diagnoses.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Gate 3: Final Attestation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Editor/Legal flags as inline annotations. Fact-check results as pass/fail with sources. Verification that diagnostic section matches Gate 2 decisions.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Resolve each flag. Make final prose edits. Sign attestation. System generates defense record proving doctor decided, AI wrote.</w:t>
            </w:r>
          </w:p>
        </w:tc>
      </w:tr>
    </w:tbl>
    <w:p>
      <w:pPr>
        <w:spacing w:after="60"/>
      </w:pPr>
    </w:p>
    <w:p>
      <w:r>
        <w:br w:type="page"/>
      </w:r>
    </w:p>
    <w:p>
      <w:pPr>
        <w:pStyle w:val="Heading1"/>
      </w:pPr>
      <w:r>
        <w:t xml:space="preserve">IV. Business &amp; Market Assessment</w:t>
      </w:r>
    </w:p>
    <w:p>
      <w:pPr>
        <w:pBdr>
          <w:bottom w:val="single" w:color="1F4E79" w:sz="6" w:space="1"/>
        </w:pBdr>
        <w:spacing w:after="200"/>
      </w:pPr>
    </w:p>
    <w:p>
      <w:pPr>
        <w:pStyle w:val="Heading2"/>
      </w:pPr>
      <w:r>
        <w:t xml:space="preserve">A. Market Position</w:t>
      </w:r>
    </w:p>
    <w:p>
      <w:pPr>
        <w:spacing w:after="120" w:line="276"/>
      </w:pPr>
      <w:r>
        <w:rPr>
          <w:rFonts w:ascii="Arial" w:cs="Arial" w:eastAsia="Arial" w:hAnsi="Arial"/>
          <w:sz w:val="22"/>
          <w:szCs w:val="22"/>
        </w:rPr>
        <w:t xml:space="preserve">The psychological evaluation market is genuinely uncontested. Competitors in the broader mental health documentation space (Nabla, Heidi Health, Upheal, Blueprint Health) are built for 50-minute therapy sessions with SOAP notes. None handles 20–60 page forensic evaluations, multi-session clinical assessments, standardized instrument integration, or the diagnostic rigor that formal evaluations demand. This isn’t a feature gap — it’s an architectural gap. Cloud-first competitors would need 12–18 months of rearchitecting to match the local-first PHI posture alone.</w:t>
      </w:r>
    </w:p>
    <w:p>
      <w:pPr>
        <w:spacing w:after="120" w:line="276"/>
      </w:pPr>
      <w:r>
        <w:rPr>
          <w:rFonts w:ascii="Arial" w:cs="Arial" w:eastAsia="Arial" w:hAnsi="Arial"/>
          <w:sz w:val="22"/>
          <w:szCs w:val="22"/>
        </w:rPr>
        <w:t xml:space="preserve">The “doctor always diagnoses” principle is also a market differentiator. In a regulatory environment increasingly skeptical of AI making clinical decisions, Forensai’s clear separation between AI writing and human diagnosis positions the product on the right side of every emerging AI-in-healthcare regulation. The product helps doctors work faster without replacing their judgment — the only positioning that survives regulatory scrutiny.</w:t>
      </w:r>
    </w:p>
    <w:p>
      <w:pPr>
        <w:spacing w:after="120" w:line="276"/>
      </w:pPr>
      <w:r>
        <w:rPr>
          <w:rFonts w:ascii="Arial" w:cs="Arial" w:eastAsia="Arial" w:hAnsi="Arial"/>
          <w:sz w:val="22"/>
          <w:szCs w:val="22"/>
        </w:rPr>
        <w:t xml:space="preserve">The Year 1 market spans two segments. The forensic wedge — 8,000 ABPP-certified forensic psychologists with the highest documentation burden (4–12 hours per evaluation) and highest legal stakes. And the general clinical evaluation market — a subset of 65,000 clinical psychologists who conduct formal diagnostic evaluations (not therapy, but structured assessment with instruments and comprehensive reports). Both segments share the same pain: hours of documentation, zero purpose-built tools, and a profession still writing reports in Word. At $299–$349/month, the combined addressable market for evaluation-focused practitioners exceeds $100M ARR.</w:t>
      </w:r>
    </w:p>
    <w:p>
      <w:pPr>
        <w:spacing w:after="60"/>
      </w:pPr>
    </w:p>
    <w:p>
      <w:pPr>
        <w:pStyle w:val="Heading2"/>
      </w:pPr>
      <w:r>
        <w:t xml:space="preserve">B. Team Model: Lean with AI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CEO / Product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Human (Truck Irwin)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Vision, product decisions, customer relationships, fundraising, final authority on all strategic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Clinical Advisor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Human (Fractional, in place)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Domain expertise validation, clinical workflow review, instrument selection, forensic community relationships, beta tester recruitment.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Engineering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AI-augmented (CEO + Claude/Cursor)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Architecture, implementation, testing. AI handles code generation and review; CEO handles integration decisions and quality 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Marketing &amp; Sales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AI-augmented (CEO + AI agents)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Content generation, outreach, conference preparation. AI drafts; CEO reviews and personalizes.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Finance &amp;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AI-augmented (CEO + AI agents)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Financial modeling, SBIR grant writing, investor materials. AI handles analysis and drafting; CEO makes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Senior Engineer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Human (Hire within 6 months)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Peer review, architecture validation, reliability engineering. Critical for moving past solo-founder risk.</w:t>
            </w:r>
          </w:p>
        </w:tc>
      </w:tr>
    </w:tbl>
    <w:p>
      <w:pPr>
        <w:spacing w:after="60"/>
      </w:pPr>
    </w:p>
    <w:p>
      <w:pPr>
        <w:pStyle w:val="Heading2"/>
      </w:pPr>
      <w:r>
        <w:t xml:space="preserve">C. Financial Targets (Revised, Realistic)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600"/>
        <w:gridCol w:w="2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Paying Users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75–150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400–700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1,500–2,500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Average Monthly Price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$299–$349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$299–$349</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$299–$399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$270K–$630K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$1.4M–$2.9M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$5.4M–$12M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Market Segment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Forensic + Clinical evaluations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Forensic + Clinical + Neuropsych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evaluation specialties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Non-Dilutive Funding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SBIR Phase I ($300K)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SBIR Phase II ($1M–$1.5M)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Team Size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 human + 1 fractional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3–4 humans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6–8 humans</w:t>
            </w:r>
          </w:p>
        </w:tc>
      </w:tr>
    </w:tbl>
    <w:p>
      <w:pPr>
        <w:spacing w:after="60"/>
      </w:pPr>
    </w:p>
    <w:p>
      <w:pPr>
        <w:spacing w:after="120" w:line="276"/>
      </w:pPr>
      <w:r>
        <w:rPr>
          <w:rFonts w:ascii="Arial" w:cs="Arial" w:eastAsia="Arial" w:hAnsi="Arial"/>
          <w:sz w:val="22"/>
          <w:szCs w:val="22"/>
        </w:rPr>
        <w:t xml:space="preserve">These projections anchor on 75–150 users in Year 1, drawing from both the forensic and clinical evaluation markets. The broader scope increases the addressable user pool significantly — instead of targeting 8,000 forensic specialists only, you’re now reaching into the much larger clinical evaluation market from day one. The SBIR Phase I ($300K) provides runway alongside early revenue, funding both development and clinical validation simultaneously.</w:t>
      </w:r>
    </w:p>
    <w:p>
      <w:pPr>
        <w:spacing w:after="60"/>
      </w:pPr>
    </w:p>
    <w:p>
      <w:r>
        <w:br w:type="page"/>
      </w:r>
    </w:p>
    <w:p>
      <w:pPr>
        <w:pStyle w:val="Heading1"/>
      </w:pPr>
      <w:r>
        <w:t xml:space="preserve">V. Risk Matrix</w:t>
      </w:r>
    </w:p>
    <w:p>
      <w:pPr>
        <w:pBdr>
          <w:bottom w:val="single" w:color="1F4E7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000"/>
        <w:gridCol w:w="53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DSM-5-TR content licensing blocked by APA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Engage APA Publishing licensing in Month 1. Fallback: reference criterion codes without full text (clinicians own the manual).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 output perceived as making diagnostic decisions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Architectural enforcement: Diagnostician Agent has no diagnosis output field. Gate 2 defaults to “No Decision.” Audit trail logs clinician as decision-maker. Editor/Legal Reviewer Agent confirms. Marketing and documentation explicitly position as writing tool.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Clinician adoption friction (too complex, too slow)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Scope MVP to forensic + clinical evaluations. Target &lt;30 min for first evaluation walkthrough. Obsess over onboarding UX. Practice profile presets reduce setup friction.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Python sidecar installation friction on macOS/Windows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Bundle Python runtime with Electron (PyInstaller or embedded). Code-sign and notarize for macOS Gatekeeper. Test on 20+ machine configurations.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Year 1 revenue below projections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Anchor on 50–100 users. Extend runway via SBIR Phase I. Keep burn rate below $15K/month until product-market fit confirmed.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Agent orchestration latency (4 sequential LLM calls)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Stream all agent output. Use progress indicators per stage. Target &lt;3 min total pipeline time. Gate reviews provide natural break points.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Malpractice liability from AI-generated content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“Draft” watermarks, mandatory 3-gate review, attestation language, product liability insurance. Doctor-diagnoses-always principle is the primary legal defense.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LLM provider pricing or availability changes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LLMGateway abstraction supports Claude + GPT-4o + future providers. No vendor lock-in. Monitor costs per evaluation ($2–$3 target).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Single-founder key-person risk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Hire senior engineer within 6 months. Document everything (already strong). Clinical advisor provides domain continuity.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OnlyOffice dependency risk (update cadence, AGPL compliance)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Developer Edition ($6K) removes AGPL obligation. OnlyOffice is actively maintained (v9.2+), open-source with large community. Fallback: document generation still works via OOXML — editor is replaceable without data loss.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 loss from local storage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Automatic encrypted daily backups. Auto-archive completed evaluations. Recovery procedures documented and tested.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FDA CDS (Clinical Decision Support) classification risk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Proactively engage FDA regulatory attorney pre-launch. Forensai does NOT diagnose, does not recommend diagnoses, has no clinical decision output. This positioning should survive FDA scrutiny as a writing/evidence-organization tool, not a CDS device. Budget $15K–$25K for regulatory legal review.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Test publisher IP infringement (proprietary norms/scoring)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System architecture explicitly excludes proprietary normative data and scoring ranges from embedded library. Instrument library contains only name, abbreviation, clinical context, and manual references. All normative interpretation comes from publisher reports (Q-global, PARiConnect, manual) or clinician input. IP audit before launch.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Audit trail discoverability in malpractice litigation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Configurable audit trail with “Decision Record Only” default protects clinician thinking and rejected options. Legal counsel review of audit trail design. Consider attorney-client privilege and work product doctrine implications.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Electron security vulnerabilities (RCE, supply chain)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Disable nodeIntegration, sandbox all renderers, strict CSP, signed updates, dependency auditing in CI. Patch Critical CVEs within 72 hours.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Onboarding abandonment (first 30 minutes)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Pre-load sample forensic case. Guided first-run walkthrough. Practice profile presets. Target: install to first completed evaluation in &lt;30 minutes.</w:t>
            </w:r>
          </w:p>
        </w:tc>
      </w:tr>
    </w:tbl>
    <w:p>
      <w:pPr>
        <w:spacing w:after="60"/>
      </w:pPr>
    </w:p>
    <w:p>
      <w:r>
        <w:br w:type="page"/>
      </w:r>
    </w:p>
    <w:p>
      <w:pPr>
        <w:pStyle w:val="Heading1"/>
      </w:pPr>
      <w:r>
        <w:t xml:space="preserve">VI. Strategic Recommendations</w:t>
      </w:r>
    </w:p>
    <w:p>
      <w:pPr>
        <w:pBdr>
          <w:bottom w:val="single" w:color="1F4E79" w:sz="6" w:space="1"/>
        </w:pBdr>
        <w:spacing w:after="200"/>
      </w:pPr>
    </w:p>
    <w:p>
      <w:pPr>
        <w:pStyle w:val="ListParagraph"/>
        <w:numPr>
          <w:ilvl w:val="0"/>
          <w:numId w:val="4"/>
        </w:numPr>
        <w:spacing w:after="80" w:line="276"/>
      </w:pPr>
      <w:r>
        <w:rPr>
          <w:rFonts w:ascii="Arial" w:cs="Arial" w:eastAsia="Arial" w:hAnsi="Arial"/>
          <w:b/>
          <w:bCs/>
          <w:sz w:val="22"/>
          <w:szCs w:val="22"/>
        </w:rPr>
        <w:t xml:space="preserve">Enforce “Doctor Diagnoses Always” at every layer. </w:t>
      </w:r>
      <w:r>
        <w:rPr>
          <w:rFonts w:ascii="Arial" w:cs="Arial" w:eastAsia="Arial" w:hAnsi="Arial"/>
          <w:sz w:val="22"/>
          <w:szCs w:val="22"/>
        </w:rPr>
        <w:t xml:space="preserve">Agent output schemas, gate UX defaults, audit trail records, marketing language, legal disclaimers, and onboarding tutorials must all reinforce that the AI writes and the doctor decides. This is not a setting. It is not configurable. It is the product’s ethical foundation.</w:t>
      </w:r>
    </w:p>
    <w:p>
      <w:pPr>
        <w:pStyle w:val="ListParagraph"/>
        <w:numPr>
          <w:ilvl w:val="0"/>
          <w:numId w:val="4"/>
        </w:numPr>
        <w:spacing w:after="80" w:line="276"/>
      </w:pPr>
      <w:r>
        <w:rPr>
          <w:rFonts w:ascii="Arial" w:cs="Arial" w:eastAsia="Arial" w:hAnsi="Arial"/>
          <w:b/>
          <w:bCs/>
          <w:sz w:val="22"/>
          <w:szCs w:val="22"/>
        </w:rPr>
        <w:t xml:space="preserve">Ship Electron-first, browser later. </w:t>
      </w:r>
      <w:r>
        <w:rPr>
          <w:rFonts w:ascii="Arial" w:cs="Arial" w:eastAsia="Arial" w:hAnsi="Arial"/>
          <w:sz w:val="22"/>
          <w:szCs w:val="22"/>
        </w:rPr>
        <w:t xml:space="preserve">The Python sidecar, native file system access, and SQLite storage robustness all require Electron. Browser-only PWA is a future expansion, not the launch vehicle.</w:t>
      </w:r>
    </w:p>
    <w:p>
      <w:pPr>
        <w:pStyle w:val="ListParagraph"/>
        <w:numPr>
          <w:ilvl w:val="0"/>
          <w:numId w:val="4"/>
        </w:numPr>
        <w:spacing w:after="80" w:line="276"/>
      </w:pPr>
      <w:r>
        <w:rPr>
          <w:rFonts w:ascii="Arial" w:cs="Arial" w:eastAsia="Arial" w:hAnsi="Arial"/>
          <w:b/>
          <w:bCs/>
          <w:sz w:val="22"/>
          <w:szCs w:val="22"/>
        </w:rPr>
        <w:t xml:space="preserve">Validate PII detection accuracy as Milestone 0. </w:t>
      </w:r>
      <w:r>
        <w:rPr>
          <w:rFonts w:ascii="Arial" w:cs="Arial" w:eastAsia="Arial" w:hAnsi="Arial"/>
          <w:sz w:val="22"/>
          <w:szCs w:val="22"/>
        </w:rPr>
        <w:t xml:space="preserve">Run the Python/Presidio pipeline against 50+ real (de-identified) forensic documents before writing a single line of frontend code. This is the load-bearing wall.</w:t>
      </w:r>
    </w:p>
    <w:p>
      <w:pPr>
        <w:pStyle w:val="ListParagraph"/>
        <w:numPr>
          <w:ilvl w:val="0"/>
          <w:numId w:val="4"/>
        </w:numPr>
        <w:spacing w:after="80" w:line="276"/>
      </w:pPr>
      <w:r>
        <w:rPr>
          <w:rFonts w:ascii="Arial" w:cs="Arial" w:eastAsia="Arial" w:hAnsi="Arial"/>
          <w:b/>
          <w:bCs/>
          <w:sz w:val="22"/>
          <w:szCs w:val="22"/>
        </w:rPr>
        <w:t xml:space="preserve">Engage APA Publishing on DSM-5-TR licensing in Month 1. </w:t>
      </w:r>
      <w:r>
        <w:rPr>
          <w:rFonts w:ascii="Arial" w:cs="Arial" w:eastAsia="Arial" w:hAnsi="Arial"/>
          <w:sz w:val="22"/>
          <w:szCs w:val="22"/>
        </w:rPr>
        <w:t xml:space="preserve">This is a business blocker that takes months to resolve. Design the criterion-code fallback in parallel so you’re never blocked.</w:t>
      </w:r>
    </w:p>
    <w:p>
      <w:pPr>
        <w:pStyle w:val="ListParagraph"/>
        <w:numPr>
          <w:ilvl w:val="0"/>
          <w:numId w:val="4"/>
        </w:numPr>
        <w:spacing w:after="80" w:line="276"/>
      </w:pPr>
      <w:r>
        <w:rPr>
          <w:rFonts w:ascii="Arial" w:cs="Arial" w:eastAsia="Arial" w:hAnsi="Arial"/>
          <w:b/>
          <w:bCs/>
          <w:sz w:val="22"/>
          <w:szCs w:val="22"/>
        </w:rPr>
        <w:t xml:space="preserve">Submit NIMH SBIR Phase I as early as possible. </w:t>
      </w:r>
      <w:r>
        <w:rPr>
          <w:rFonts w:ascii="Arial" w:cs="Arial" w:eastAsia="Arial" w:hAnsi="Arial"/>
          <w:sz w:val="22"/>
          <w:szCs w:val="22"/>
        </w:rPr>
        <w:t xml:space="preserve">$300K of non-dilutive funding that also validates clinical feasibility. The documentation corpus you’ve built is 80% of the application narrative.</w:t>
      </w:r>
    </w:p>
    <w:p>
      <w:pPr>
        <w:pStyle w:val="ListParagraph"/>
        <w:numPr>
          <w:ilvl w:val="0"/>
          <w:numId w:val="4"/>
        </w:numPr>
        <w:spacing w:after="80" w:line="276"/>
      </w:pPr>
      <w:r>
        <w:rPr>
          <w:rFonts w:ascii="Arial" w:cs="Arial" w:eastAsia="Arial" w:hAnsi="Arial"/>
          <w:b/>
          <w:bCs/>
          <w:sz w:val="22"/>
          <w:szCs w:val="22"/>
        </w:rPr>
        <w:t xml:space="preserve">Hire a senior engineer within 6 months. </w:t>
      </w:r>
      <w:r>
        <w:rPr>
          <w:rFonts w:ascii="Arial" w:cs="Arial" w:eastAsia="Arial" w:hAnsi="Arial"/>
          <w:sz w:val="22"/>
          <w:szCs w:val="22"/>
        </w:rPr>
        <w:t xml:space="preserve">Not optional. A production clinical product needs code review discipline, reliability engineering, and a second set of eyes on security-sensitive code.</w:t>
      </w:r>
    </w:p>
    <w:p>
      <w:pPr>
        <w:pStyle w:val="ListParagraph"/>
        <w:numPr>
          <w:ilvl w:val="0"/>
          <w:numId w:val="4"/>
        </w:numPr>
        <w:spacing w:after="80" w:line="276"/>
      </w:pPr>
      <w:r>
        <w:rPr>
          <w:rFonts w:ascii="Arial" w:cs="Arial" w:eastAsia="Arial" w:hAnsi="Arial"/>
          <w:b/>
          <w:bCs/>
          <w:sz w:val="22"/>
          <w:szCs w:val="22"/>
        </w:rPr>
        <w:t xml:space="preserve">Build the audit trail as a first-class feature. </w:t>
      </w:r>
      <w:r>
        <w:rPr>
          <w:rFonts w:ascii="Arial" w:cs="Arial" w:eastAsia="Arial" w:hAnsi="Arial"/>
          <w:sz w:val="22"/>
          <w:szCs w:val="22"/>
        </w:rPr>
        <w:t xml:space="preserve">Market it as “your legal defense record.” The audit trail proves the doctor diagnosed and the AI wrote. Every forensic psychologist who’s been cross-examined understands this value instantly.</w:t>
      </w:r>
    </w:p>
    <w:p>
      <w:pPr>
        <w:pStyle w:val="ListParagraph"/>
        <w:numPr>
          <w:ilvl w:val="0"/>
          <w:numId w:val="4"/>
        </w:numPr>
        <w:spacing w:after="80" w:line="276"/>
      </w:pPr>
      <w:r>
        <w:rPr>
          <w:rFonts w:ascii="Arial" w:cs="Arial" w:eastAsia="Arial" w:hAnsi="Arial"/>
          <w:b/>
          <w:bCs/>
          <w:sz w:val="22"/>
          <w:szCs w:val="22"/>
        </w:rPr>
        <w:t xml:space="preserve">Obsess over time-to-first-report. </w:t>
      </w:r>
      <w:r>
        <w:rPr>
          <w:rFonts w:ascii="Arial" w:cs="Arial" w:eastAsia="Arial" w:hAnsi="Arial"/>
          <w:sz w:val="22"/>
          <w:szCs w:val="22"/>
        </w:rPr>
        <w:t xml:space="preserve">The onboarding experience must get a clinician from install to completed first evaluation in under 30 minutes using sample data. Pre-load a sample forensic case so they experience the full pipeline immediately.</w:t>
      </w:r>
    </w:p>
    <w:p>
      <w:pPr>
        <w:pStyle w:val="ListParagraph"/>
        <w:numPr>
          <w:ilvl w:val="0"/>
          <w:numId w:val="4"/>
        </w:numPr>
        <w:spacing w:after="80" w:line="276"/>
      </w:pPr>
      <w:r>
        <w:rPr>
          <w:rFonts w:ascii="Arial" w:cs="Arial" w:eastAsia="Arial" w:hAnsi="Arial"/>
          <w:b/>
          <w:bCs/>
          <w:sz w:val="22"/>
          <w:szCs w:val="22"/>
        </w:rPr>
        <w:t xml:space="preserve">Defer everything that isn’t evaluation reports. </w:t>
      </w:r>
      <w:r>
        <w:rPr>
          <w:rFonts w:ascii="Arial" w:cs="Arial" w:eastAsia="Arial" w:hAnsi="Arial"/>
          <w:sz w:val="22"/>
          <w:szCs w:val="22"/>
        </w:rPr>
        <w:t xml:space="preserve">No billing loop. No EHR integration. No school evaluations. No group practice management. The MVP serves forensic and clinical psychologists who conduct formal evaluations. Everything else is Year 2–3.</w:t>
      </w:r>
    </w:p>
    <w:p>
      <w:pPr>
        <w:pStyle w:val="ListParagraph"/>
        <w:numPr>
          <w:ilvl w:val="0"/>
          <w:numId w:val="4"/>
        </w:numPr>
        <w:spacing w:after="80" w:line="276"/>
      </w:pPr>
      <w:r>
        <w:rPr>
          <w:rFonts w:ascii="Arial" w:cs="Arial" w:eastAsia="Arial" w:hAnsi="Arial"/>
          <w:b/>
          <w:bCs/>
          <w:sz w:val="22"/>
          <w:szCs w:val="22"/>
        </w:rPr>
        <w:t xml:space="preserve">Treat this documentation corpus as an asset. </w:t>
      </w:r>
      <w:r>
        <w:rPr>
          <w:rFonts w:ascii="Arial" w:cs="Arial" w:eastAsia="Arial" w:hAnsi="Arial"/>
          <w:sz w:val="22"/>
          <w:szCs w:val="22"/>
        </w:rPr>
        <w:t xml:space="preserve">These 19 documents represent pre-build strategic depth that most startups never achieve. Use them as your SBIR narrative source, investor deck backbone, and engineering spec simultaneously.</w:t>
      </w:r>
    </w:p>
    <w:p>
      <w:pPr>
        <w:pStyle w:val="ListParagraph"/>
        <w:numPr>
          <w:ilvl w:val="0"/>
          <w:numId w:val="4"/>
        </w:numPr>
        <w:spacing w:after="80" w:line="276"/>
      </w:pPr>
      <w:r>
        <w:rPr>
          <w:rFonts w:ascii="Arial" w:cs="Arial" w:eastAsia="Arial" w:hAnsi="Arial"/>
          <w:b/>
          <w:bCs/>
          <w:sz w:val="22"/>
          <w:szCs w:val="22"/>
        </w:rPr>
        <w:t xml:space="preserve">Engage FDA regulatory attorney pre-launch. ($15K–$25K) </w:t>
      </w:r>
      <w:r>
        <w:rPr>
          <w:rFonts w:ascii="Arial" w:cs="Arial" w:eastAsia="Arial" w:hAnsi="Arial"/>
          <w:sz w:val="22"/>
          <w:szCs w:val="22"/>
        </w:rPr>
        <w:t xml:space="preserve">Forensai is not a Clinical Decision Support device (it doesn’t recommend diagnoses), but FDA may disagree if positioning isn’t clear. Early legal engagement prevents launch delays. Budget $15K–$25K for regulatory legal review and FDA pre-submission meeting if needed.</w:t>
      </w:r>
    </w:p>
    <w:p>
      <w:pPr>
        <w:pStyle w:val="ListParagraph"/>
        <w:numPr>
          <w:ilvl w:val="0"/>
          <w:numId w:val="4"/>
        </w:numPr>
        <w:spacing w:after="80" w:line="276"/>
      </w:pPr>
      <w:r>
        <w:rPr>
          <w:rFonts w:ascii="Arial" w:cs="Arial" w:eastAsia="Arial" w:hAnsi="Arial"/>
          <w:b/>
          <w:bCs/>
          <w:sz w:val="22"/>
          <w:szCs w:val="22"/>
        </w:rPr>
        <w:t xml:space="preserve">Obtain Business Associate Agreements (BAAs) from Anthropic and OpenAI. </w:t>
      </w:r>
      <w:r>
        <w:rPr>
          <w:rFonts w:ascii="Arial" w:cs="Arial" w:eastAsia="Arial" w:hAnsi="Arial"/>
          <w:sz w:val="22"/>
          <w:szCs w:val="22"/>
        </w:rPr>
        <w:t xml:space="preserve">If using Claude API, Azure OpenAI, or other LLM providers for clinical text processing, ensure BAAs are in place covering HIPAA Business Associate obligations. Forensai must be able to represent HIPAA compliance to customers.</w:t>
      </w:r>
    </w:p>
    <w:p>
      <w:pPr>
        <w:pStyle w:val="ListParagraph"/>
        <w:numPr>
          <w:ilvl w:val="0"/>
          <w:numId w:val="4"/>
        </w:numPr>
        <w:spacing w:after="80" w:line="276"/>
      </w:pPr>
      <w:r>
        <w:rPr>
          <w:rFonts w:ascii="Arial" w:cs="Arial" w:eastAsia="Arial" w:hAnsi="Arial"/>
          <w:b/>
          <w:bCs/>
          <w:sz w:val="22"/>
          <w:szCs w:val="22"/>
        </w:rPr>
        <w:t xml:space="preserve">Obtain E&amp;O and cyber liability insurance. ($10K–$25K/year) </w:t>
      </w:r>
      <w:r>
        <w:rPr>
          <w:rFonts w:ascii="Arial" w:cs="Arial" w:eastAsia="Arial" w:hAnsi="Arial"/>
          <w:sz w:val="22"/>
          <w:szCs w:val="22"/>
        </w:rPr>
        <w:t xml:space="preserve">Professional liability insurance is table stakes. Underwriters will require risk management policies (audit trails, PII detection, encryption, incident response). Budget $10K–$25K annually.</w:t>
      </w:r>
    </w:p>
    <w:p>
      <w:pPr>
        <w:pStyle w:val="ListParagraph"/>
        <w:numPr>
          <w:ilvl w:val="0"/>
          <w:numId w:val="4"/>
        </w:numPr>
        <w:spacing w:after="80" w:line="276"/>
      </w:pPr>
      <w:r>
        <w:rPr>
          <w:rFonts w:ascii="Arial" w:cs="Arial" w:eastAsia="Arial" w:hAnsi="Arial"/>
          <w:b/>
          <w:bCs/>
          <w:sz w:val="22"/>
          <w:szCs w:val="22"/>
        </w:rPr>
        <w:t xml:space="preserve">Never use “diagnose” or “diagnostic tool” in external marketing. </w:t>
      </w:r>
      <w:r>
        <w:rPr>
          <w:rFonts w:ascii="Arial" w:cs="Arial" w:eastAsia="Arial" w:hAnsi="Arial"/>
          <w:sz w:val="22"/>
          <w:szCs w:val="22"/>
        </w:rPr>
        <w:t xml:space="preserve">Use only “writing tool,” “evidence organizer,” “intelligent documentation.” This linguistic discipline is your regulatory and legal moat.</w:t>
      </w:r>
    </w:p>
    <w:p>
      <w:pPr>
        <w:pStyle w:val="ListParagraph"/>
        <w:numPr>
          <w:ilvl w:val="0"/>
          <w:numId w:val="4"/>
        </w:numPr>
        <w:spacing w:after="80" w:line="276"/>
      </w:pPr>
      <w:r>
        <w:rPr>
          <w:rFonts w:ascii="Arial" w:cs="Arial" w:eastAsia="Arial" w:hAnsi="Arial"/>
          <w:b/>
          <w:bCs/>
          <w:sz w:val="22"/>
          <w:szCs w:val="22"/>
        </w:rPr>
        <w:t xml:space="preserve">Validate PII detection against HIPAA Safe Harbor. </w:t>
      </w:r>
      <w:r>
        <w:rPr>
          <w:rFonts w:ascii="Arial" w:cs="Arial" w:eastAsia="Arial" w:hAnsi="Arial"/>
          <w:sz w:val="22"/>
          <w:szCs w:val="22"/>
        </w:rPr>
        <w:t xml:space="preserve">Before any launch, run the Python/Presidio pipeline against your test data and validate that de-identification covers all 18 HIPAA Safe Harbor identifiers. Aim for 100% recall (no PII escapes) even at the cost of precision (flagging some non-PII).</w:t>
      </w:r>
    </w:p>
    <w:p>
      <w:pPr>
        <w:spacing w:after="60"/>
      </w:pPr>
    </w:p>
    <w:p>
      <w:r>
        <w:br w:type="page"/>
      </w:r>
    </w:p>
    <w:p>
      <w:pPr>
        <w:pStyle w:val="Heading1"/>
      </w:pPr>
      <w:r>
        <w:t xml:space="preserve">VII. Security Architecture</w:t>
      </w:r>
    </w:p>
    <w:p>
      <w:pPr>
        <w:pBdr>
          <w:bottom w:val="single" w:color="1F4E79" w:sz="6" w:space="1"/>
        </w:pBdr>
        <w:spacing w:after="200"/>
      </w:pPr>
    </w:p>
    <w:p>
      <w:pPr>
        <w:spacing w:after="120" w:line="276"/>
      </w:pPr>
      <w:r>
        <w:rPr>
          <w:rFonts w:ascii="Arial" w:cs="Arial" w:eastAsia="Arial" w:hAnsi="Arial"/>
          <w:sz w:val="22"/>
          <w:szCs w:val="22"/>
        </w:rPr>
        <w:t xml:space="preserve">Forensai handles protected health information in forensic legal contexts. Every security surface must be hardened before launch. The local-first architecture eliminates the most catastrophic risk (cloud breach exposing thousands of records), but Electron apps, Python sidecars, and LLM API transmissions each introduce attack surfaces that require specific mitigations.</w:t>
      </w:r>
    </w:p>
    <w:p>
      <w:pPr>
        <w:spacing w:after="60"/>
      </w:pPr>
    </w:p>
    <w:p>
      <w:pPr>
        <w:pStyle w:val="Heading2"/>
      </w:pPr>
      <w:r>
        <w:t xml:space="preserve">A. Electron Application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Disable nodeIntegration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Set nodeIntegration: false, contextIsolation: true, use preload scripts for IPC in all renderer processes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Pre-alpha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Content Security Policy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Strict CSP preventing inline scripts, eval(), and unauthorized origins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Pre-alpha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Sandbox all renderers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sandbox: true on all BrowserWindow instances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Pre-alpha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Code signing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Apple Developer ID + Windows Authenticode. Notarize for macOS Gatekeeper.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Pre-beta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Signed auto-updates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electron-updater with Ed25519 signature verification. HTTPS-only update feed.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Pre-beta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npm dependency audit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npm audit in CI pipeline. Lock file verification. Socket.dev or Snyk for supply chain 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Pre-alpha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Electron version pinning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Track Electron security releases. Patch Critical CVEs within 72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Ongoing</w:t>
            </w:r>
          </w:p>
        </w:tc>
      </w:tr>
    </w:tbl>
    <w:p>
      <w:pPr>
        <w:spacing w:after="60"/>
      </w:pPr>
    </w:p>
    <w:p>
      <w:pPr>
        <w:pStyle w:val="Heading2"/>
      </w:pPr>
      <w:r>
        <w:t xml:space="preserve">B. Local Data Security</w:t>
      </w:r>
    </w:p>
    <w:p>
      <w:pPr>
        <w:pStyle w:val="ListParagraph"/>
        <w:numPr>
          <w:ilvl w:val="0"/>
          <w:numId w:val="2"/>
        </w:numPr>
        <w:spacing w:after="80" w:line="276"/>
      </w:pPr>
      <w:r>
        <w:rPr>
          <w:rFonts w:ascii="Arial" w:cs="Arial" w:eastAsia="Arial" w:hAnsi="Arial"/>
          <w:sz w:val="22"/>
          <w:szCs w:val="22"/>
        </w:rPr>
        <w:t xml:space="preserve">SQLCipher (encrypted SQLite fork) instead of raw SQLite + application-layer encryption. Transparent full-database encryption.</w:t>
      </w:r>
    </w:p>
    <w:p>
      <w:pPr>
        <w:pStyle w:val="ListParagraph"/>
        <w:numPr>
          <w:ilvl w:val="0"/>
          <w:numId w:val="2"/>
        </w:numPr>
        <w:spacing w:after="80" w:line="276"/>
      </w:pPr>
      <w:r>
        <w:rPr>
          <w:rFonts w:ascii="Arial" w:cs="Arial" w:eastAsia="Arial" w:hAnsi="Arial"/>
          <w:sz w:val="22"/>
          <w:szCs w:val="22"/>
        </w:rPr>
        <w:t xml:space="preserve">Argon2id key derivation from clinician passphrase. Minimum 12-character passphrase requirement. Biometric unlock on supported hardware.</w:t>
      </w:r>
    </w:p>
    <w:p>
      <w:pPr>
        <w:pStyle w:val="ListParagraph"/>
        <w:numPr>
          <w:ilvl w:val="0"/>
          <w:numId w:val="2"/>
        </w:numPr>
        <w:spacing w:after="80" w:line="276"/>
      </w:pPr>
      <w:r>
        <w:rPr>
          <w:rFonts w:ascii="Arial" w:cs="Arial" w:eastAsia="Arial" w:hAnsi="Arial"/>
          <w:sz w:val="22"/>
          <w:szCs w:val="22"/>
        </w:rPr>
        <w:t xml:space="preserve">Encrypted temporary file directory. Temp file cleanup on every app close and crash recovery. OnlyOffice and Python sidecar temp files monitored.</w:t>
      </w:r>
    </w:p>
    <w:p>
      <w:pPr>
        <w:pStyle w:val="ListParagraph"/>
        <w:numPr>
          <w:ilvl w:val="0"/>
          <w:numId w:val="2"/>
        </w:numPr>
        <w:spacing w:after="80" w:line="276"/>
      </w:pPr>
      <w:r>
        <w:rPr>
          <w:rFonts w:ascii="Arial" w:cs="Arial" w:eastAsia="Arial" w:hAnsi="Arial"/>
          <w:sz w:val="22"/>
          <w:szCs w:val="22"/>
        </w:rPr>
        <w:t xml:space="preserve">Auto-lock after 15 minutes of inactivity (configurable). Require re-authentication to resume.</w:t>
      </w:r>
    </w:p>
    <w:p>
      <w:pPr>
        <w:spacing w:after="60"/>
      </w:pPr>
    </w:p>
    <w:p>
      <w:pPr>
        <w:pStyle w:val="Heading2"/>
      </w:pPr>
      <w:r>
        <w:t xml:space="preserve">C. LLM API Transmission Security</w:t>
      </w:r>
    </w:p>
    <w:p>
      <w:pPr>
        <w:pStyle w:val="ListParagraph"/>
        <w:numPr>
          <w:ilvl w:val="0"/>
          <w:numId w:val="2"/>
        </w:numPr>
        <w:spacing w:after="80" w:line="276"/>
      </w:pPr>
      <w:r>
        <w:rPr>
          <w:rFonts w:ascii="Arial" w:cs="Arial" w:eastAsia="Arial" w:hAnsi="Arial"/>
          <w:sz w:val="22"/>
          <w:szCs w:val="22"/>
        </w:rPr>
        <w:t xml:space="preserve">TLS certificate pinning for api.anthropic.com and api.openai.com. Prevents MITM attacks on compromised networks.</w:t>
      </w:r>
    </w:p>
    <w:p>
      <w:pPr>
        <w:pStyle w:val="ListParagraph"/>
        <w:numPr>
          <w:ilvl w:val="0"/>
          <w:numId w:val="2"/>
        </w:numPr>
        <w:spacing w:after="80" w:line="276"/>
      </w:pPr>
      <w:r>
        <w:rPr>
          <w:rFonts w:ascii="Arial" w:cs="Arial" w:eastAsia="Arial" w:hAnsi="Arial"/>
          <w:sz w:val="22"/>
          <w:szCs w:val="22"/>
        </w:rPr>
        <w:t xml:space="preserve">API keys stored in OS keychain (macOS Keychain, Windows Credential Manager, Linux Secret Service). Never in config files or environment variables.</w:t>
      </w:r>
    </w:p>
    <w:p>
      <w:pPr>
        <w:pStyle w:val="ListParagraph"/>
        <w:numPr>
          <w:ilvl w:val="0"/>
          <w:numId w:val="2"/>
        </w:numPr>
        <w:spacing w:after="80" w:line="276"/>
      </w:pPr>
      <w:r>
        <w:rPr>
          <w:rFonts w:ascii="Arial" w:cs="Arial" w:eastAsia="Arial" w:hAnsi="Arial"/>
          <w:sz w:val="22"/>
          <w:szCs w:val="22"/>
        </w:rPr>
        <w:t xml:space="preserve">Configurable PHI Review Queue: clinician can inspect de-identified text before LLM transmission. Enabled by default for first 30 days, then optional.</w:t>
      </w:r>
    </w:p>
    <w:p>
      <w:pPr>
        <w:pStyle w:val="ListParagraph"/>
        <w:numPr>
          <w:ilvl w:val="0"/>
          <w:numId w:val="2"/>
        </w:numPr>
        <w:spacing w:after="80" w:line="276"/>
      </w:pPr>
      <w:r>
        <w:rPr>
          <w:rFonts w:ascii="Arial" w:cs="Arial" w:eastAsia="Arial" w:hAnsi="Arial"/>
          <w:sz w:val="22"/>
          <w:szCs w:val="22"/>
        </w:rPr>
        <w:t xml:space="preserve">PII detection validated against HIPAA Safe Harbor standard (18 identifier categories). Target: 100% recall even at cost of precision.</w:t>
      </w:r>
    </w:p>
    <w:p>
      <w:pPr>
        <w:spacing w:after="60"/>
      </w:pPr>
    </w:p>
    <w:p>
      <w:pPr>
        <w:pStyle w:val="Heading2"/>
      </w:pPr>
      <w:r>
        <w:t xml:space="preserve">D. OnlyOffice Security Hardening</w:t>
      </w:r>
    </w:p>
    <w:p>
      <w:pPr>
        <w:pStyle w:val="ListParagraph"/>
        <w:numPr>
          <w:ilvl w:val="0"/>
          <w:numId w:val="2"/>
        </w:numPr>
        <w:spacing w:after="80" w:line="276"/>
      </w:pPr>
      <w:r>
        <w:rPr>
          <w:rFonts w:ascii="Arial" w:cs="Arial" w:eastAsia="Arial" w:hAnsi="Arial"/>
          <w:sz w:val="22"/>
          <w:szCs w:val="22"/>
        </w:rPr>
        <w:t xml:space="preserve">All plugins disabled in embedded deployment. No third-party plugin loading.</w:t>
      </w:r>
    </w:p>
    <w:p>
      <w:pPr>
        <w:pStyle w:val="ListParagraph"/>
        <w:numPr>
          <w:ilvl w:val="0"/>
          <w:numId w:val="2"/>
        </w:numPr>
        <w:spacing w:after="80" w:line="276"/>
      </w:pPr>
      <w:r>
        <w:rPr>
          <w:rFonts w:ascii="Arial" w:cs="Arial" w:eastAsia="Arial" w:hAnsi="Arial"/>
          <w:sz w:val="22"/>
          <w:szCs w:val="22"/>
        </w:rPr>
        <w:t xml:space="preserve">VBA/macro execution disabled entirely. Forensic reports must never contain executable macros.</w:t>
      </w:r>
    </w:p>
    <w:p>
      <w:pPr>
        <w:pStyle w:val="ListParagraph"/>
        <w:numPr>
          <w:ilvl w:val="0"/>
          <w:numId w:val="2"/>
        </w:numPr>
        <w:spacing w:after="80" w:line="276"/>
      </w:pPr>
      <w:r>
        <w:rPr>
          <w:rFonts w:ascii="Arial" w:cs="Arial" w:eastAsia="Arial" w:hAnsi="Arial"/>
          <w:sz w:val="22"/>
          <w:szCs w:val="22"/>
        </w:rPr>
        <w:t xml:space="preserve">External resource loading disabled. No tracking pixels, external images, or remote content in documents.</w:t>
      </w:r>
    </w:p>
    <w:p>
      <w:pPr>
        <w:spacing w:after="60"/>
      </w:pPr>
    </w:p>
    <w:p>
      <w:pPr>
        <w:pStyle w:val="Heading2"/>
      </w:pPr>
      <w:r>
        <w:t xml:space="preserve">E. Security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Apple Developer ID + Notarization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$99/year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Pre-beta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Windows Authenticode Code Signing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$200–$500/year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Pre-beta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Dependency monitoring (Socket.dev/Snyk)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$0–$500/year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Pre-alpha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Third-party penetration test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$5K–$15K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Pre-launch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Total security budget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$5K–$16K + $300–$1K/year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60"/>
      </w:pPr>
    </w:p>
    <w:p>
      <w:r>
        <w:br w:type="page"/>
      </w:r>
    </w:p>
    <w:p>
      <w:pPr>
        <w:pStyle w:val="Heading1"/>
      </w:pPr>
      <w:r>
        <w:t xml:space="preserve">VIII. Backend Infrastructure &amp; Scalability</w:t>
      </w:r>
    </w:p>
    <w:p>
      <w:pPr>
        <w:pBdr>
          <w:bottom w:val="single" w:color="1F4E79" w:sz="6" w:space="1"/>
        </w:pBdr>
        <w:spacing w:after="200"/>
      </w:pPr>
    </w:p>
    <w:p>
      <w:pPr>
        <w:spacing w:after="120" w:line="276"/>
      </w:pPr>
      <w:r>
        <w:rPr>
          <w:rFonts w:ascii="Arial" w:cs="Arial" w:eastAsia="Arial" w:hAnsi="Arial"/>
          <w:sz w:val="22"/>
          <w:szCs w:val="22"/>
        </w:rPr>
        <w:t xml:space="preserve">Forensai is local-first, but “local-first” does not mean “no backend.” User registration, licensing, telemetry, auto-updates, and download distribution all require backend services. The good news: because computation happens on the clinician’s machine and the LLM provider’s infrastructure, backend costs are trivial.</w:t>
      </w:r>
    </w:p>
    <w:p>
      <w:pPr>
        <w:spacing w:after="60"/>
      </w:pPr>
    </w:p>
    <w:p>
      <w:pPr>
        <w:pStyle w:val="Heading2"/>
      </w:pPr>
      <w:r>
        <w:t xml:space="preserve">A. Required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(Year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Authentication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Auth0 or Clerk. Enterprise SSO, MFA, HIPAA-eligible. Free tier supports 7,500 MAU.</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$0–$276/year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Subscription billing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Stripe Billing. Monthly/annual, tiered pricing, coupons, free trials. Stripe Customer Portal for self-service.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2.9% + $0.30/txn (~$600–$1,800/year)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License server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Lightweight API on Fly.io or Railway. License tied to user account, 2–3 device activations.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$60–$300/year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Crash reporting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Sentry. Automatic issue creation from crash reports.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 (free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Product analytics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PostHog (self-hostable, HIPAA-friendly). No PHI in telemetry.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$0–$600/year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CDN for downloads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Cloudflare R2 + Pages. Installer ~300–400MB with bundled Python runtime.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$60–$240/year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Auto-updates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GitHub Releases + electron-updater. Signed updates, HTTPS, S3/CloudFront CDN.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Total backend infrastructure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$900–$3,400/year</w:t>
            </w:r>
          </w:p>
        </w:tc>
      </w:tr>
    </w:tbl>
    <w:p>
      <w:pPr>
        <w:spacing w:after="60"/>
      </w:pPr>
    </w:p>
    <w:p>
      <w:pPr>
        <w:pStyle w:val="Heading2"/>
      </w:pPr>
      <w:r>
        <w:t xml:space="preserve">B. Scalability Profile</w:t>
      </w:r>
    </w:p>
    <w:p>
      <w:pPr>
        <w:spacing w:after="120" w:line="276"/>
      </w:pPr>
      <w:r>
        <w:rPr>
          <w:rFonts w:ascii="Arial" w:cs="Arial" w:eastAsia="Arial" w:hAnsi="Arial"/>
          <w:sz w:val="22"/>
          <w:szCs w:val="22"/>
        </w:rPr>
        <w:t xml:space="preserve">At 75–150 users (Year 1), there are zero scalability concerns. At 1,500–2,500 users (Year 3), the bottlenecks are: LLM API rate limits (negotiate volume pricing with Anthropic), Q-global PDF parser maintenance (format changes break parsers), auto-update bandwidth (~750GB per release cycle at 2,500 users), and support volume (~800 tickets/month). None of these are architectural problems — they’re operational scaling tasks.</w:t>
      </w:r>
    </w:p>
    <w:p>
      <w:pPr>
        <w:spacing w:after="60"/>
      </w:pPr>
    </w:p>
    <w:p>
      <w:r>
        <w:br w:type="page"/>
      </w:r>
    </w:p>
    <w:p>
      <w:pPr>
        <w:pStyle w:val="Heading1"/>
      </w:pPr>
      <w:r>
        <w:t xml:space="preserve">IX. Support Architecture</w:t>
      </w:r>
    </w:p>
    <w:p>
      <w:pPr>
        <w:pBdr>
          <w:bottom w:val="single" w:color="1F4E79" w:sz="6" w:space="1"/>
        </w:pBdr>
        <w:spacing w:after="200"/>
      </w:pPr>
    </w:p>
    <w:p>
      <w:pPr>
        <w:spacing w:after="120" w:line="276"/>
      </w:pPr>
      <w:r>
        <w:rPr>
          <w:rFonts w:ascii="Arial" w:cs="Arial" w:eastAsia="Arial" w:hAnsi="Arial"/>
          <w:sz w:val="22"/>
          <w:szCs w:val="22"/>
        </w:rPr>
        <w:t xml:space="preserve">Clinicians bill $250–$500/hour and have zero patience for broken software. When something doesn’t work, they need it fixed immediately. The support architecture uses an AI-first model with human escalation, designed for clinical software where errors can have professional consequences.</w:t>
      </w:r>
    </w:p>
    <w:p>
      <w:pPr>
        <w:spacing w:after="60"/>
      </w:pPr>
    </w:p>
    <w:p>
      <w:pPr>
        <w:pStyle w:val="Heading2"/>
      </w:pPr>
      <w:r>
        <w:t xml:space="preserve">A. Three-Tier Support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Handler</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SLA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Tier 0: Self-Service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Knowledge base + in-app help + status page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FAQ, tutorials, onboarding guides, contextual tooltips. Deflects 40–60% of inquiries.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Instant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Tier 1: AI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Intercom Fin ($0.99/resolution)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Trained on KB + common scenarios. Score import issues, export formatting, account/billing. Resolves 60–80% of remaining.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2 minutes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Tier 2: Human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CEO (Year 1) → Clinical support specialist (Year 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Escalations AI cannot resolve. Clinical workflow issues, data concerns, complex bugs.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 business hours response, 24-hour resolution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Tier 3: Engineering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CEO/engineer → engineering team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Confirmed bugs, data corruption, security incidents.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4-hour acknowledgment, 48-hour hotfix for critical</w:t>
            </w:r>
          </w:p>
        </w:tc>
      </w:tr>
    </w:tbl>
    <w:p>
      <w:pPr>
        <w:spacing w:after="60"/>
      </w:pPr>
    </w:p>
    <w:p>
      <w:pPr>
        <w:pStyle w:val="Heading2"/>
      </w:pPr>
      <w:r>
        <w:t xml:space="preserve">B. Critical Support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Score import parses incorrectly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Side-by-side verification at Gate 1. Support can remote-debug with de-identified samples.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Report loses formatting before court deadline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Auto-save every 30 seconds. Version history. Recoverable drafts from backup.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PII detection misses identifying information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PHI Review Queue for new users. Incident response plan. Breach notification procedure.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Clinician locked out before court deadline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7-day offline grace period. Emergency license bypass (admin-issued, time-limited). Priority SLA.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OnlyOffice crashes mid-report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Auto-save + version history. Crash recovery restores exact pre-crash state.</w:t>
            </w:r>
          </w:p>
        </w:tc>
      </w:tr>
    </w:tbl>
    <w:p>
      <w:pPr>
        <w:spacing w:after="60"/>
      </w:pPr>
    </w:p>
    <w:p>
      <w:pPr>
        <w:pStyle w:val="Heading2"/>
      </w:pPr>
      <w:r>
        <w:t xml:space="preserve">C. Support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2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Cost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Intercom (Starter + Fin AI)</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$89 + ~$140 AI resolutions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$2,748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StatusPage.io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$348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Knowledge base (GitBook free tier)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Total support costs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~$260/month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~$3,100/year</w:t>
            </w:r>
          </w:p>
        </w:tc>
      </w:tr>
    </w:tbl>
    <w:p>
      <w:pPr>
        <w:spacing w:after="60"/>
      </w:pPr>
    </w:p>
    <w:p>
      <w:r>
        <w:br w:type="page"/>
      </w:r>
    </w:p>
    <w:p>
      <w:pPr>
        <w:pStyle w:val="Heading1"/>
      </w:pPr>
      <w:r>
        <w:t xml:space="preserve">X. Pre-Launch Legal Requirements</w:t>
      </w:r>
    </w:p>
    <w:p>
      <w:pPr>
        <w:pBdr>
          <w:bottom w:val="single" w:color="1F4E79" w:sz="6" w:space="1"/>
        </w:pBdr>
        <w:spacing w:after="200"/>
      </w:pPr>
    </w:p>
    <w:p>
      <w:pPr>
        <w:spacing w:after="120" w:line="276"/>
      </w:pPr>
      <w:r>
        <w:rPr>
          <w:rFonts w:ascii="Arial" w:cs="Arial" w:eastAsia="Arial" w:hAnsi="Arial"/>
          <w:sz w:val="22"/>
          <w:szCs w:val="22"/>
        </w:rPr>
        <w:t xml:space="preserve">Based on input from legal and regulatory experts, the following legal and compliance activities must be completed before launch. These are not optional; they are prerequisites to responsible market entry in healthcare.</w:t>
      </w:r>
    </w:p>
    <w:p>
      <w:pPr>
        <w:spacing w:after="6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5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FDA Regulatory Legal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$15K–$25K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Month 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Engage FDA regulatory attorney to confirm Forensai is a writing tool, not a Clinical Decision Support device. Request pre-submission meeting if needed. Output: regulatory positioning memo.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Intellectual Property Audit (Test Publishers)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$5K–$10K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Month 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Legal review of system architecture vs. test publisher IP policies. Confirm that instrument library does NOT embed proprietary norms or scoring. Output: IP compliance memo.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HIPAA Business Associate Agreements (BAAs)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$2K–$5K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Month 2–3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Negotiate BAAs with Anthropic and OpenAI (if using their APIs for clinical text). Ensure LLM usage complies with HIPAA obligations.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Privacy Policy &amp; Terms of 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$3K–$7K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Month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Draft privacy policy (HIPAA, GDPR, CA privacy law), terms of service, and data retention policies. Standard healthcare tech legal.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Professional Liability (E&amp;O) Insurance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$10K–$25K/year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Month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Obtain E&amp;O and cyber liability insurance. Underwriters will require policies on PII handling, encryption, incident response, and audit trails. Typical coverage: $1M/$3M aggregate.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Medical Board Consultation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$1K–$3K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Month 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Verify product positioning complies with state medical board regulations in target states (TX, CA, FL). Confirm “writing tool” positioning is defensible.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APA Ethical Guidelines Compliance Memo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$2K–$4K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Month 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Legal review against APA Ethical Principles and Practitioner Guidelines (esp. Standards 9.03 Informed Consent, 10.09 Assessment Instruments). Output: compliance checklist.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Security Audit &amp; Penetration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$5K–$15K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Month 3–4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Third-party security audit of encryption, PII detection, local file storage, and SQLite security. Penetration testing. SOC 2 readiness.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HIPAA De-identification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$3K–$8K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Month 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Run Presidio pipeline against real de-identified clinical documents. Validate 100% recall for HIPAA Safe Harbor 18 identifiers. Third-party validation recommended.</w:t>
            </w:r>
          </w:p>
        </w:tc>
      </w:tr>
    </w:tbl>
    <w:p>
      <w:pPr>
        <w:spacing w:after="60"/>
      </w:pPr>
    </w:p>
    <w:p>
      <w:pPr>
        <w:spacing w:after="120" w:line="276"/>
      </w:pPr>
      <w:r>
        <w:rPr>
          <w:rFonts w:ascii="Arial" w:cs="Arial" w:eastAsia="Arial" w:hAnsi="Arial"/>
          <w:b/>
          <w:bCs/>
          <w:sz w:val="22"/>
          <w:szCs w:val="22"/>
        </w:rPr>
        <w:t xml:space="preserve">Total Pre-Launch Legal Budget: $60K–$130K</w:t>
      </w:r>
    </w:p>
    <w:p>
      <w:pPr>
        <w:spacing w:after="120" w:line="276"/>
      </w:pPr>
      <w:r>
        <w:rPr>
          <w:rFonts w:ascii="Arial" w:cs="Arial" w:eastAsia="Arial" w:hAnsi="Arial"/>
          <w:sz w:val="22"/>
          <w:szCs w:val="22"/>
        </w:rPr>
        <w:t xml:space="preserve">This is not optional. Clinicians and healthcare organizations will not adopt an AI product without clear legal positioning, insurance, and demonstrated compliance. These costs are front-loaded and recover through customer trust and reduced malpractice risk over time.</w:t>
      </w:r>
    </w:p>
    <w:p>
      <w:pPr>
        <w:spacing w:after="60"/>
      </w:pPr>
    </w:p>
    <w:p>
      <w:r>
        <w:br w:type="page"/>
      </w:r>
    </w:p>
    <w:p>
      <w:pPr>
        <w:pStyle w:val="Heading1"/>
      </w:pPr>
      <w:r>
        <w:t xml:space="preserve">XI. Verdict</w:t>
      </w:r>
    </w:p>
    <w:p>
      <w:pPr>
        <w:pBdr>
          <w:bottom w:val="single" w:color="1F4E79" w:sz="6" w:space="1"/>
        </w:pBdr>
        <w:spacing w:after="200"/>
      </w:pPr>
    </w:p>
    <w:p>
      <w:pPr>
        <w:spacing w:after="120" w:line="276"/>
      </w:pPr>
      <w:r>
        <w:rPr>
          <w:rFonts w:ascii="Arial" w:cs="Arial" w:eastAsia="Arial" w:hAnsi="Arial"/>
          <w:sz w:val="22"/>
          <w:szCs w:val="22"/>
        </w:rPr>
        <w:t xml:space="preserve">Forensai is a writing tool for licensed psychologists who conduct formal evaluations — forensic and clinical. It is not a diagnostic tool. It is not a clinical decision support system. It is an intelligent writing tool that organizes evidence, generates report prose, and ensures defensibility — while the licensed psychologist makes every clinical decision.</w:t>
      </w:r>
    </w:p>
    <w:p>
      <w:pPr>
        <w:spacing w:after="120" w:line="276"/>
      </w:pPr>
      <w:r>
        <w:rPr>
          <w:rFonts w:ascii="Arial" w:cs="Arial" w:eastAsia="Arial" w:hAnsi="Arial"/>
          <w:sz w:val="22"/>
          <w:szCs w:val="22"/>
        </w:rPr>
        <w:t xml:space="preserve">That distinction is not marketing language. It is the product’s ethical foundation, its legal defense, its regulatory positioning, and its architectural principle. The AI automates time-consuming documentation tasks. It summarizes transcripts, accumulates test scores, maps evidence to criteria, generates prose in the clinician’s voice, and reviews for legal vulnerabilities. But the doctor always diagnoses. Always.</w:t>
      </w:r>
    </w:p>
    <w:p>
      <w:pPr>
        <w:spacing w:after="120" w:line="276"/>
      </w:pPr>
      <w:r>
        <w:rPr>
          <w:rFonts w:ascii="Arial" w:cs="Arial" w:eastAsia="Arial" w:hAnsi="Arial"/>
          <w:sz w:val="22"/>
          <w:szCs w:val="22"/>
        </w:rPr>
        <w:t xml:space="preserve">The revised architecture — Python for PII, pre-computed style rules, SQLite storage, four named agents (Ingestor, Diagnostician, Writer, Editor/Legal Reviewer) with the Diagnostician Agent explicitly scoped as non-diagnostic — is simpler, more reliable, and more buildable than the original spec. The built-in diagnosis catalog (10 diagnoses) and instrument library (30+ instruments) with extensible configuration accommodate real-world clinical breadth from day one. Every change moved in the direction of “bulletproof over clever,” which is exactly right for a product that handles legal evidence and protected health information.</w:t>
      </w:r>
    </w:p>
    <w:p>
      <w:pPr>
        <w:spacing w:after="120" w:line="276"/>
      </w:pPr>
      <w:r>
        <w:rPr>
          <w:rFonts w:ascii="Arial" w:cs="Arial" w:eastAsia="Arial" w:hAnsi="Arial"/>
          <w:sz w:val="22"/>
          <w:szCs w:val="22"/>
        </w:rPr>
        <w:t xml:space="preserve">The market gap is real and measurable. Tens of thousands of psychologists — forensic and clinical — spend 4–12 hours per evaluation on documentation. An intelligent writing tool that respects the boundary between writing and deciding can compress that to 2 hours. No competitor exists for formal evaluations of any kind. The local-first architecture creates a 12–18 month moat. The four-agent pipeline with three gates provides accountability. The 10-diagnosis catalog and 30+ instrument library cover the breadth of real-world practice. And the doctor-diagnoses-always principle positions Forensai on the right side of every emerging AI healthcare regulation.</w:t>
      </w:r>
    </w:p>
    <w:p>
      <w:pPr>
        <w:spacing w:after="120" w:line="276"/>
      </w:pPr>
      <w:r>
        <w:rPr>
          <w:rFonts w:ascii="Arial" w:cs="Arial" w:eastAsia="Arial" w:hAnsi="Arial"/>
          <w:sz w:val="22"/>
          <w:szCs w:val="22"/>
        </w:rPr>
        <w:t xml:space="preserve">The path forward is narrow and clear:</w:t>
      </w:r>
    </w:p>
    <w:p>
      <w:pPr>
        <w:spacing w:after="60"/>
      </w:pPr>
    </w:p>
    <w:p>
      <w:pPr>
        <w:pBdr>
          <w:top w:val="single" w:color="1F4E79" w:sz="2" w:space="8"/>
          <w:bottom w:val="single" w:color="1F4E79" w:sz="2" w:space="8"/>
        </w:pBdr>
        <w:spacing w:after="200" w:before="200"/>
        <w:jc w:val="center"/>
      </w:pPr>
      <w:r>
        <w:rPr>
          <w:rFonts w:ascii="Arial" w:cs="Arial" w:eastAsia="Arial" w:hAnsi="Arial"/>
          <w:b/>
          <w:bCs/>
          <w:i/>
          <w:iCs/>
          <w:color w:val="1F4E79"/>
          <w:sz w:val="24"/>
          <w:szCs w:val="24"/>
        </w:rPr>
        <w:t xml:space="preserve">Build the writing tool that lets any licensed psychologist — forensic or clinical — complete a comprehensive, defensible evaluation report in 2 hours instead of 8. The AI writes. The doctor diagnoses. Ship that. Prove that. Then expand.</w:t>
      </w:r>
    </w:p>
    <w:p>
      <w:pPr>
        <w:spacing w:after="60"/>
      </w:pPr>
    </w:p>
    <w:p>
      <w:pPr>
        <w:spacing w:after="120" w:line="276"/>
      </w:pPr>
      <w:r>
        <w:rPr>
          <w:rFonts w:ascii="Arial" w:cs="Arial" w:eastAsia="Arial" w:hAnsi="Arial"/>
          <w:sz w:val="22"/>
          <w:szCs w:val="22"/>
        </w:rPr>
        <w:t xml:space="preserve">The foundation is strong. The scope is right. The principle is clear. Let’s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Foundry SMB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tabs>
        <w:tab w:val="right" w:pos="9026"/>
      </w:tabs>
    </w:pPr>
    <w:r>
      <w:rPr>
        <w:rFonts w:ascii="Arial" w:cs="Arial" w:eastAsia="Arial" w:hAnsi="Arial"/>
        <w:color w:val="999999"/>
        <w:sz w:val="16"/>
        <w:szCs w:val="16"/>
      </w:rPr>
      <w:t xml:space="preserve">FORENSAI — Technical &amp; Functional Analysis</w:t>
    </w:r>
    <w:r>
      <w:rPr>
        <w:rFonts w:ascii="Arial" w:cs="Arial" w:eastAsia="Arial" w:hAnsi="Arial"/>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2026-03-19T17:08:46.128Z</dcterms:created>
  <dcterms:modified xsi:type="dcterms:W3CDTF">2026-03-19T17:08:46.128Z</dcterms:modified>
</cp:coreProperties>
</file>

<file path=docProps/custom.xml><?xml version="1.0" encoding="utf-8"?>
<Properties xmlns="http://schemas.openxmlformats.org/officeDocument/2006/custom-properties" xmlns:vt="http://schemas.openxmlformats.org/officeDocument/2006/docPropsVTypes"/>
</file>