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3B5C"/>
          <w:sz w:val="44"/>
        </w:rPr>
        <w:t>Forensai</w:t>
      </w:r>
    </w:p>
    <w:p>
      <w:r>
        <w:rPr>
          <w:color w:val="555555"/>
          <w:sz w:val="26"/>
        </w:rPr>
        <w:t>AI Psychological Evaluation Platform</w:t>
      </w:r>
    </w:p>
    <w:p>
      <w:r>
        <w:rPr>
          <w:color w:val="999999"/>
          <w:sz w:val="18"/>
        </w:rPr>
        <w:t>Business Review   |   March 2026   |   Confidential</w:t>
      </w:r>
    </w:p>
    <w:p>
      <w:r>
        <w:rPr>
          <w:color w:val="CCCCCC"/>
          <w:sz w:val="16"/>
        </w:rPr>
        <w:t>________________________________________________________________________</w:t>
      </w:r>
    </w:p>
    <w:p>
      <w:r>
        <w:rPr>
          <w:sz w:val="22"/>
        </w:rPr>
        <w:t>Document:  03_Business_Review</w:t>
      </w:r>
    </w:p>
    <w:p>
      <w:r>
        <w:rPr>
          <w:sz w:val="22"/>
        </w:rPr>
        <w:t>Version:  1.0</w:t>
      </w:r>
    </w:p>
    <w:p>
      <w:r>
        <w:rPr>
          <w:sz w:val="22"/>
        </w:rPr>
        <w:t>Status:  Internal Review</w:t>
      </w:r>
    </w:p>
    <w:p>
      <w:r>
        <w:rPr>
          <w:b/>
          <w:color w:val="17A589"/>
          <w:sz w:val="18"/>
        </w:rPr>
        <w:t>EXECUTIVE SUMMARY</w:t>
      </w:r>
    </w:p>
    <w:p>
      <w:r>
        <w:rPr>
          <w:sz w:val="22"/>
        </w:rPr>
        <w:t>Forensai is a secure, AI-powered platform that accelerates psychological evaluation report writing for licensed psychologists. The platform ingests raw test results, applies clinically validated language models, and produces publish-ready evaluation reports without transmitting any patient data across the internet. All personally identifiable information (PII) remains on the clinician's local device or institution-controlled infrastructure.</w:t>
      </w:r>
    </w:p>
    <w:p>
      <w:r>
        <w:rPr>
          <w:sz w:val="22"/>
        </w:rPr>
        <w:t>Psychologists currently spend four to twelve hours writing each evaluation report. That time is largely unbillable, yet it represents the clinician's most cognitively demanding non-clinical work. Forensai eliminates the blank-page problem, structures findings automatically from standardized test scores, and lets clinicians focus editorial effort on clinical judgment rather than formatting and prose generation.</w:t>
      </w:r>
    </w:p>
    <w:p>
      <w:r>
        <w:rPr>
          <w:sz w:val="22"/>
        </w:rPr>
        <w:t>The addressable market spans approximately 200,000 licensed psychologists in the United States, with concentrated high-value opportunity in forensic, neuropsychological, and comprehensive clinical evaluation specialties. The AI clinical documentation market is projected to grow from $3.11 billion in 2024 to $10.91 billion by 2029 at a 28.4 percent compound annual growth rate.</w:t>
      </w:r>
    </w:p>
    <w:p>
      <w:r>
        <w:rPr>
          <w:sz w:val="22"/>
        </w:rPr>
        <w:t>Key Investment Highlights</w:t>
      </w:r>
    </w:p>
    <w:p>
      <w:pPr>
        <w:pStyle w:val="ListBullet"/>
      </w:pPr>
      <w:r>
        <w:rPr>
          <w:b/>
          <w:sz w:val="22"/>
        </w:rPr>
        <w:t xml:space="preserve">  </w:t>
      </w:r>
      <w:r>
        <w:rPr>
          <w:sz w:val="22"/>
        </w:rPr>
        <w:t>Massive, underserved time-cost problem with a clear, measurable ROI for the buyer</w:t>
      </w:r>
    </w:p>
    <w:p>
      <w:pPr>
        <w:pStyle w:val="ListBullet"/>
      </w:pPr>
      <w:r>
        <w:rPr>
          <w:b/>
          <w:sz w:val="22"/>
        </w:rPr>
        <w:t xml:space="preserve">  </w:t>
      </w:r>
      <w:r>
        <w:rPr>
          <w:sz w:val="22"/>
        </w:rPr>
        <w:t>Privacy-first architecture eliminates the primary adoption barrier in clinical settings</w:t>
      </w:r>
    </w:p>
    <w:p>
      <w:pPr>
        <w:pStyle w:val="ListBullet"/>
      </w:pPr>
      <w:r>
        <w:rPr>
          <w:b/>
          <w:sz w:val="22"/>
        </w:rPr>
        <w:t xml:space="preserve">  </w:t>
      </w:r>
      <w:r>
        <w:rPr>
          <w:sz w:val="22"/>
        </w:rPr>
        <w:t>Recurring SaaS revenue model with strong net revenue retention potential</w:t>
      </w:r>
    </w:p>
    <w:p>
      <w:pPr>
        <w:pStyle w:val="ListBullet"/>
      </w:pPr>
      <w:r>
        <w:rPr>
          <w:b/>
          <w:sz w:val="22"/>
        </w:rPr>
        <w:t xml:space="preserve">  </w:t>
      </w:r>
      <w:r>
        <w:rPr>
          <w:sz w:val="22"/>
        </w:rPr>
        <w:t>No comparable direct competitor occupies the forensic or neuropsychology niche</w:t>
      </w:r>
    </w:p>
    <w:p>
      <w:pPr>
        <w:pStyle w:val="ListBullet"/>
      </w:pPr>
      <w:r>
        <w:rPr>
          <w:b/>
          <w:sz w:val="22"/>
        </w:rPr>
        <w:t xml:space="preserve">  </w:t>
      </w:r>
      <w:r>
        <w:rPr>
          <w:sz w:val="22"/>
        </w:rPr>
        <w:t>School district and hospital enterprise tiers provide large contract anchor revenue</w:t>
      </w:r>
    </w:p>
    <w:p>
      <w:r>
        <w:rPr>
          <w:b/>
          <w:color w:val="17A589"/>
          <w:sz w:val="18"/>
        </w:rPr>
        <w:t>MARKET OPPORTUNITY</w:t>
      </w:r>
    </w:p>
    <w:p>
      <w:r>
        <w:rPr>
          <w:sz w:val="22"/>
        </w:rPr>
        <w:t>Market Size and Growth</w:t>
      </w:r>
    </w:p>
    <w:p>
      <w:r>
        <w:rPr>
          <w:sz w:val="22"/>
        </w:rPr>
        <w:t>Two converging markets define Forensai's addressable opportunity: AI in mental health and AI clinical documentation.</w:t>
      </w:r>
    </w:p>
    <w:p>
      <w:r>
        <w:rPr>
          <w:sz w:val="22"/>
        </w:rPr>
        <w:t>The total addressable market for Forensai's primary use case (US psychological evaluation report documentation) is estimated at approximately $480 million annually, based on 200,000 licensed psychologists averaging five evaluations per month at a conservative software value of $40 per report displaced. Serviceable addressable market in Year 1 targets the forensic and neuropsychology segments, representing roughly 35,000 practitioners.</w:t>
      </w:r>
    </w:p>
    <w:p>
      <w:r>
        <w:rPr>
          <w:sz w:val="22"/>
        </w:rPr>
        <w:t>The Documentation Problem</w:t>
      </w:r>
    </w:p>
    <w:p>
      <w:r>
        <w:rPr>
          <w:sz w:val="22"/>
        </w:rPr>
        <w:t>A licensed psychologist billing at $200 per hour who writes one eight-hour evaluation report per week loses approximately $83,200 in billable opportunity annually to documentation time alone. For forensic psychologists handling cases worth $5,000 to $15,000 each, documentation overhead directly constrains throughput and revenue. Forensai converts unbillable hours into clinical capacity.</w:t>
      </w:r>
    </w:p>
    <w:p>
      <w:r>
        <w:rPr>
          <w:sz w:val="22"/>
        </w:rPr>
        <w:t>Regulatory and Technology Tailwinds</w:t>
      </w:r>
    </w:p>
    <w:p>
      <w:pPr>
        <w:pStyle w:val="ListBullet"/>
      </w:pPr>
      <w:r>
        <w:rPr>
          <w:b/>
          <w:sz w:val="22"/>
        </w:rPr>
        <w:t xml:space="preserve">  </w:t>
      </w:r>
      <w:r>
        <w:rPr>
          <w:sz w:val="22"/>
        </w:rPr>
        <w:t>CMS and payers continue to increase pressure on documentation quality and completeness</w:t>
      </w:r>
    </w:p>
    <w:p>
      <w:pPr>
        <w:pStyle w:val="ListBullet"/>
      </w:pPr>
      <w:r>
        <w:rPr>
          <w:b/>
          <w:sz w:val="22"/>
        </w:rPr>
        <w:t xml:space="preserve">  </w:t>
      </w:r>
      <w:r>
        <w:rPr>
          <w:sz w:val="22"/>
        </w:rPr>
        <w:t>School districts face growing IEP and psychoeducational report mandates under IDEA</w:t>
      </w:r>
    </w:p>
    <w:p>
      <w:pPr>
        <w:pStyle w:val="ListBullet"/>
      </w:pPr>
      <w:r>
        <w:rPr>
          <w:b/>
          <w:sz w:val="22"/>
        </w:rPr>
        <w:t xml:space="preserve">  </w:t>
      </w:r>
      <w:r>
        <w:rPr>
          <w:sz w:val="22"/>
        </w:rPr>
        <w:t>Courts increasingly demand standardized, defensible forensic report formats</w:t>
      </w:r>
    </w:p>
    <w:p>
      <w:pPr>
        <w:pStyle w:val="ListBullet"/>
      </w:pPr>
      <w:r>
        <w:rPr>
          <w:b/>
          <w:sz w:val="22"/>
        </w:rPr>
        <w:t xml:space="preserve">  </w:t>
      </w:r>
      <w:r>
        <w:rPr>
          <w:sz w:val="22"/>
        </w:rPr>
        <w:t>Local AI inference (Apple Silicon, NVIDIA edge) makes on-device processing viable at low cost</w:t>
      </w:r>
    </w:p>
    <w:p>
      <w:pPr>
        <w:pStyle w:val="ListBullet"/>
      </w:pPr>
      <w:r>
        <w:rPr>
          <w:b/>
          <w:sz w:val="22"/>
        </w:rPr>
        <w:t xml:space="preserve">  </w:t>
      </w:r>
      <w:r>
        <w:rPr>
          <w:sz w:val="22"/>
        </w:rPr>
        <w:t>HIPAA-compliant local processing removes the primary objection from risk-averse institutions</w:t>
      </w:r>
    </w:p>
    <w:p>
      <w:r>
        <w:rPr>
          <w:b/>
          <w:color w:val="17A589"/>
          <w:sz w:val="18"/>
        </w:rPr>
        <w:t>TARGET MARKET SEGMENTS</w:t>
      </w:r>
    </w:p>
    <w:p>
      <w:r>
        <w:rPr>
          <w:sz w:val="22"/>
        </w:rPr>
        <w:t>Segment 1 (Primary): Forensic Psychologists</w:t>
      </w:r>
    </w:p>
    <w:p>
      <w:r>
        <w:rPr>
          <w:sz w:val="22"/>
        </w:rPr>
        <w:t>Market Size: ~8,000 practitioners</w:t>
      </w:r>
    </w:p>
    <w:p>
      <w:r>
        <w:rPr>
          <w:sz w:val="22"/>
        </w:rPr>
        <w:t>Core Pain Point: Forensic reports for court, disability, and custody proceedings are among the most document-intensive in all of psychology. A single forensic evaluation can require 40 to 60 pages of structured findings, citation-rich interpretation, and legally defensible conclusions. Time-to-report directly limits case capacity.</w:t>
      </w:r>
    </w:p>
    <w:p>
      <w:r>
        <w:rPr>
          <w:sz w:val="22"/>
        </w:rPr>
        <w:t>Forensai Value Delivered: Forensai generates forensic report scaffolds from uploaded test batteries, integrates DSM and legal standard language templates, and applies jurisdiction-specific formatting. Forensic psychologists can increase case throughput by 30 to 50 percent.</w:t>
      </w:r>
    </w:p>
    <w:p>
      <w:r>
        <w:rPr>
          <w:sz w:val="22"/>
        </w:rPr>
        <w:t>Price Willingness: High. Case revenue of $3,000 to $15,000 per evaluation makes $200+/month trivial.</w:t>
      </w:r>
    </w:p>
    <w:p>
      <w:r>
        <w:rPr>
          <w:sz w:val="22"/>
        </w:rPr>
        <w:t>Segment 2 (Primary): Neuropsychologists</w:t>
      </w:r>
    </w:p>
    <w:p>
      <w:r>
        <w:rPr>
          <w:sz w:val="22"/>
        </w:rPr>
        <w:t>Market Size: ~15,000 practitioners</w:t>
      </w:r>
    </w:p>
    <w:p>
      <w:r>
        <w:rPr>
          <w:sz w:val="22"/>
        </w:rPr>
        <w:t>Core Pain Point: Neuropsychological evaluations involve extensive cognitive battery score tables, normed comparisons, and domain-by-domain narrative interpretation. Manual score entry and table formatting consume hours that add no clinical value.</w:t>
      </w:r>
    </w:p>
    <w:p>
      <w:r>
        <w:rPr>
          <w:sz w:val="22"/>
        </w:rPr>
        <w:t>Forensai Value Delivered: Forensai auto-ingests scores from major batteries (WAIS, WMS, NEPSY, D-KEFS, Halstead-Reitan, and others), builds normed comparison tables, and drafts domain narratives the clinician then reviews and refines.</w:t>
      </w:r>
    </w:p>
    <w:p>
      <w:r>
        <w:rPr>
          <w:sz w:val="22"/>
        </w:rPr>
        <w:t>Price Willingness: High. Hospital and academic medical center billing rates support premium pricing.</w:t>
      </w:r>
    </w:p>
    <w:p>
      <w:r>
        <w:rPr>
          <w:sz w:val="22"/>
        </w:rPr>
        <w:t>Segment 3 (Secondary): Clinical Psychologists (Comprehensive Evaluations)</w:t>
      </w:r>
    </w:p>
    <w:p>
      <w:r>
        <w:rPr>
          <w:sz w:val="22"/>
        </w:rPr>
        <w:t>Market Size: ~60,000 practitioners</w:t>
      </w:r>
    </w:p>
    <w:p>
      <w:r>
        <w:rPr>
          <w:sz w:val="22"/>
        </w:rPr>
        <w:t>Core Pain Point: Private practice clinicians conducting adult or child diagnostic evaluations face the same documentation burden with fewer administrative resources. Most work solo or in small practices without dedicated documentation staff.</w:t>
      </w:r>
    </w:p>
    <w:p>
      <w:r>
        <w:rPr>
          <w:sz w:val="22"/>
        </w:rPr>
        <w:t>Forensai Value Delivered: Turnkey report generation from MMPI, PAI, Rorschach, MCMI, and projective battery results. Integrated DSM-5-TR diagnostic language. APA style output.</w:t>
      </w:r>
    </w:p>
    <w:p>
      <w:r>
        <w:rPr>
          <w:sz w:val="22"/>
        </w:rPr>
        <w:t>Price Willingness: Moderate to high. Price sensitivity higher than forensic; annual billing model preferred.</w:t>
      </w:r>
    </w:p>
    <w:p>
      <w:r>
        <w:rPr>
          <w:sz w:val="22"/>
        </w:rPr>
        <w:t>Segment 4 (Secondary): School Psychologists</w:t>
      </w:r>
    </w:p>
    <w:p>
      <w:r>
        <w:rPr>
          <w:sz w:val="22"/>
        </w:rPr>
        <w:t>Market Size: ~25,000 practitioners</w:t>
      </w:r>
    </w:p>
    <w:p>
      <w:r>
        <w:rPr>
          <w:sz w:val="22"/>
        </w:rPr>
        <w:t>Core Pain Point: School psychologists must produce psychoeducational evaluation reports, eligibility determinations, and IEP documentation under strict federal timelines. Caseloads are high; writing time per student is extreme.</w:t>
      </w:r>
    </w:p>
    <w:p>
      <w:r>
        <w:rPr>
          <w:sz w:val="22"/>
        </w:rPr>
        <w:t>Forensai Value Delivered: Forensai generates IDEA-compliant psychoeducational report templates, pulls scores from WISC, WIAT, BASC, ABAS, and similar instruments, and structures eligibility language for 13 IDEA disability categories.</w:t>
      </w:r>
    </w:p>
    <w:p>
      <w:r>
        <w:rPr>
          <w:sz w:val="22"/>
        </w:rPr>
        <w:t>Price Willingness: Moderate. District procurement cycles are slow; individual licenses are constrained by salary.</w:t>
      </w:r>
    </w:p>
    <w:p>
      <w:r>
        <w:rPr>
          <w:sz w:val="22"/>
        </w:rPr>
        <w:t>Segment 5 (Enterprise): Group Practices and Assessment Centers</w:t>
      </w:r>
    </w:p>
    <w:p>
      <w:r>
        <w:rPr>
          <w:sz w:val="22"/>
        </w:rPr>
        <w:t>Market Size: ~5,000 practices with 5+ psychologists</w:t>
      </w:r>
    </w:p>
    <w:p>
      <w:r>
        <w:rPr>
          <w:sz w:val="22"/>
        </w:rPr>
        <w:t>Core Pain Point: Multi-clinician practices need consistent report formatting, quality control, and brand standards across providers. Managing individual writing styles creates liability exposure and client experience variability.</w:t>
      </w:r>
    </w:p>
    <w:p>
      <w:r>
        <w:rPr>
          <w:sz w:val="22"/>
        </w:rPr>
        <w:t>Forensai Value Delivered: Practice-wide templates, supervisory review workflows, aggregate reporting, and centralized billing integration. Volume licensing reduces per-seat cost.</w:t>
      </w:r>
    </w:p>
    <w:p>
      <w:r>
        <w:rPr>
          <w:sz w:val="22"/>
        </w:rPr>
        <w:t>Price Willingness: High. Practices capture economic value of time savings across multiple clinicians.</w:t>
      </w:r>
    </w:p>
    <w:p>
      <w:r>
        <w:rPr>
          <w:b/>
          <w:color w:val="17A589"/>
          <w:sz w:val="18"/>
        </w:rPr>
        <w:t>BUSINESS MODEL</w:t>
      </w:r>
    </w:p>
    <w:p>
      <w:r>
        <w:rPr>
          <w:sz w:val="22"/>
        </w:rPr>
        <w:t>Forensai operates on a tiered SaaS model with a per-seat subscription as the core revenue mechanism. Supplemental per-report pricing serves high-volume or infrequent users. Enterprise contracts anchor large institutional relationships. The recommended approach layers these options to maximize market coverage without leaving value on the table.</w:t>
      </w:r>
    </w:p>
    <w:p>
      <w:r>
        <w:rPr>
          <w:sz w:val="22"/>
        </w:rPr>
        <w:t>Tier 1: Individual Practitioner Subscription</w:t>
      </w:r>
    </w:p>
    <w:p>
      <w:r>
        <w:rPr>
          <w:sz w:val="22"/>
        </w:rPr>
        <w:t>The freemium entry tier (3 free reports per month) removes adoption friction for solo practitioners. It also seeds the market with trained users who convert when caseload grows. Annual billing at a two-month discount incentivizes commitment and improves cash flow predictability.</w:t>
      </w:r>
    </w:p>
    <w:p>
      <w:r>
        <w:rPr>
          <w:sz w:val="22"/>
        </w:rPr>
        <w:t>Tier 2: Practice and Group License</w:t>
      </w:r>
    </w:p>
    <w:p>
      <w:r>
        <w:rPr>
          <w:sz w:val="22"/>
        </w:rPr>
        <w:t>Tier 3: Enterprise (Hospital Systems, School Districts, Government)</w:t>
      </w:r>
    </w:p>
    <w:p>
      <w:r>
        <w:rPr>
          <w:sz w:val="22"/>
        </w:rPr>
        <w:t>Enterprise contracts negotiate annually based on seat count, integration requirements, and deployment model (cloud-isolated tenant or on-premise). Minimum contract size is $25,000 per year. Enterprise includes dedicated implementation support, EHR integration scoping, custom template development, and compliance documentation packages.</w:t>
      </w:r>
    </w:p>
    <w:p>
      <w:pPr>
        <w:pStyle w:val="ListBullet"/>
      </w:pPr>
      <w:r>
        <w:rPr>
          <w:b/>
          <w:sz w:val="22"/>
        </w:rPr>
        <w:t xml:space="preserve">  </w:t>
      </w:r>
      <w:r>
        <w:rPr>
          <w:sz w:val="22"/>
        </w:rPr>
        <w:t>School district pricing: $49 per seat per month billed annually through district procurement</w:t>
      </w:r>
    </w:p>
    <w:p>
      <w:pPr>
        <w:pStyle w:val="ListBullet"/>
      </w:pPr>
      <w:r>
        <w:rPr>
          <w:b/>
          <w:sz w:val="22"/>
        </w:rPr>
        <w:t xml:space="preserve">  </w:t>
      </w:r>
      <w:r>
        <w:rPr>
          <w:sz w:val="22"/>
        </w:rPr>
        <w:t>Hospital system pricing: Custom; typically $75 to $95 per seat per month with SLA guarantees</w:t>
      </w:r>
    </w:p>
    <w:p>
      <w:pPr>
        <w:pStyle w:val="ListBullet"/>
      </w:pPr>
      <w:r>
        <w:rPr>
          <w:b/>
          <w:sz w:val="22"/>
        </w:rPr>
        <w:t xml:space="preserve">  </w:t>
      </w:r>
      <w:r>
        <w:rPr>
          <w:sz w:val="22"/>
        </w:rPr>
        <w:t>Government / VA / forensic facility pricing: Contract-specific; GSA schedule eligible</w:t>
      </w:r>
    </w:p>
    <w:p>
      <w:r>
        <w:rPr>
          <w:sz w:val="22"/>
        </w:rPr>
        <w:t>Per-Report Add-On Pricing</w:t>
      </w:r>
    </w:p>
    <w:p>
      <w:r>
        <w:rPr>
          <w:sz w:val="22"/>
        </w:rPr>
        <w:t>Practitioners on the free tier or low-volume users can purchase report credits without subscribing. Credits do not expire. This model captures revenue from psychologists who perform evaluations infrequently but still face the same documentation burden.</w:t>
      </w:r>
    </w:p>
    <w:p>
      <w:r>
        <w:rPr>
          <w:sz w:val="22"/>
        </w:rPr>
        <w:t>Recommended Go-Forward Model</w:t>
      </w:r>
    </w:p>
    <w:p>
      <w:pPr>
        <w:pStyle w:val="ListBullet"/>
      </w:pPr>
      <w:r>
        <w:rPr>
          <w:b/>
          <w:sz w:val="22"/>
        </w:rPr>
        <w:t xml:space="preserve">  </w:t>
      </w:r>
      <w:r>
        <w:rPr>
          <w:sz w:val="22"/>
        </w:rPr>
        <w:t>Launch with freemium (3 reports free) to build user base and generate word-of-mouth</w:t>
      </w:r>
    </w:p>
    <w:p>
      <w:pPr>
        <w:pStyle w:val="ListBullet"/>
      </w:pPr>
      <w:r>
        <w:rPr>
          <w:b/>
          <w:sz w:val="22"/>
        </w:rPr>
        <w:t xml:space="preserve">  </w:t>
      </w:r>
      <w:r>
        <w:rPr>
          <w:sz w:val="22"/>
        </w:rPr>
        <w:t>Target forensic and neuropsychology Pro conversions in Year 1 at $149 to $249/month</w:t>
      </w:r>
    </w:p>
    <w:p>
      <w:pPr>
        <w:pStyle w:val="ListBullet"/>
      </w:pPr>
      <w:r>
        <w:rPr>
          <w:b/>
          <w:sz w:val="22"/>
        </w:rPr>
        <w:t xml:space="preserve">  </w:t>
      </w:r>
      <w:r>
        <w:rPr>
          <w:sz w:val="22"/>
        </w:rPr>
        <w:t>Pursue group and practice licenses in Year 2 as users advocate internally</w:t>
      </w:r>
    </w:p>
    <w:p>
      <w:pPr>
        <w:pStyle w:val="ListBullet"/>
      </w:pPr>
      <w:r>
        <w:rPr>
          <w:b/>
          <w:sz w:val="22"/>
        </w:rPr>
        <w:t xml:space="preserve">  </w:t>
      </w:r>
      <w:r>
        <w:rPr>
          <w:sz w:val="22"/>
        </w:rPr>
        <w:t>Close first enterprise deals (school districts, hospital systems) in Year 2 to Year 3</w:t>
      </w:r>
    </w:p>
    <w:p>
      <w:pPr>
        <w:pStyle w:val="ListBullet"/>
      </w:pPr>
      <w:r>
        <w:rPr>
          <w:b/>
          <w:sz w:val="22"/>
        </w:rPr>
        <w:t xml:space="preserve">  </w:t>
      </w:r>
      <w:r>
        <w:rPr>
          <w:sz w:val="22"/>
        </w:rPr>
        <w:t>Annual billing incentive of two free months drives cash collection 12 months in advance</w:t>
      </w:r>
    </w:p>
    <w:p>
      <w:r>
        <w:rPr>
          <w:b/>
          <w:color w:val="17A589"/>
          <w:sz w:val="18"/>
        </w:rPr>
        <w:t>REVENUE MODEL AND FINANCIAL PROJECTIONS</w:t>
      </w:r>
    </w:p>
    <w:p>
      <w:r>
        <w:rPr>
          <w:sz w:val="22"/>
        </w:rPr>
        <w:t>The following scenarios model three adoption trajectories over 36 months. All figures are annual recurring revenue (ARR) unless otherwise noted. Conservative scenario assumes slow clinical adoption typical of healthcare software. Base scenario assumes normal SaaS growth aided by word-of-mouth in clinical communities. Optimistic scenario assumes successful conference marketing and one or two early enterprise anchor deals in Year 1.</w:t>
      </w:r>
    </w:p>
    <w:p>
      <w:r>
        <w:rPr>
          <w:sz w:val="22"/>
        </w:rPr>
        <w:t>Assumptions</w:t>
      </w:r>
    </w:p>
    <w:p>
      <w:r>
        <w:rPr>
          <w:sz w:val="22"/>
        </w:rPr>
        <w:t>Year 1 to Year 3 ARR Scenarios</w:t>
      </w:r>
    </w:p>
    <w:p>
      <w:r>
        <w:rPr>
          <w:sz w:val="22"/>
        </w:rPr>
        <w:t>The base scenario reaches $984K ARR by end of Year 1, crossing $1M ARR in early Year 2. By Year 3 base case, Forensai achieves $9.22M ARR with approximately 2,800 individual paid seats, 2,000 group seats, and 8 enterprise contracts. The optimistic scenario, driven by early enterprise wins and conference-driven awareness, reaches $19.5M ARR by Year 3.</w:t>
      </w:r>
    </w:p>
    <w:p>
      <w:r>
        <w:rPr>
          <w:sz w:val="22"/>
        </w:rPr>
        <w:t>Unit Economics</w:t>
      </w:r>
    </w:p>
    <w:p>
      <w:r>
        <w:rPr>
          <w:b/>
          <w:color w:val="17A589"/>
          <w:sz w:val="18"/>
        </w:rPr>
        <w:t>GO-TO-MARKET STRATEGY</w:t>
      </w:r>
    </w:p>
    <w:p>
      <w:r>
        <w:rPr>
          <w:sz w:val="22"/>
        </w:rPr>
        <w:t>Forensai reaches its target segments through a combination of community-driven bottom-up adoption, conference presence, and direct outreach to group practice and enterprise buyers. Clinical communities are trust-based and referral-driven; word-of-mouth from respected practitioners carries more weight than paid advertising.</w:t>
      </w:r>
    </w:p>
    <w:p>
      <w:r>
        <w:rPr>
          <w:sz w:val="22"/>
        </w:rPr>
        <w:t>Phase 1: Seeding (Months 1 to 6)</w:t>
      </w:r>
    </w:p>
    <w:p>
      <w:pPr>
        <w:pStyle w:val="ListBullet"/>
      </w:pPr>
      <w:r>
        <w:rPr>
          <w:b/>
          <w:sz w:val="22"/>
        </w:rPr>
        <w:t xml:space="preserve">  </w:t>
      </w:r>
      <w:r>
        <w:rPr>
          <w:sz w:val="22"/>
        </w:rPr>
        <w:t>Launch freemium tier with no credit card required for first 3 reports</w:t>
      </w:r>
    </w:p>
    <w:p>
      <w:pPr>
        <w:pStyle w:val="ListBullet"/>
      </w:pPr>
      <w:r>
        <w:rPr>
          <w:b/>
          <w:sz w:val="22"/>
        </w:rPr>
        <w:t xml:space="preserve">  </w:t>
      </w:r>
      <w:r>
        <w:rPr>
          <w:sz w:val="22"/>
        </w:rPr>
        <w:t>Recruit 20 to 30 beta users from forensic and neuropsychology communities via professional networks</w:t>
      </w:r>
    </w:p>
    <w:p>
      <w:pPr>
        <w:pStyle w:val="ListBullet"/>
      </w:pPr>
      <w:r>
        <w:rPr>
          <w:b/>
          <w:sz w:val="22"/>
        </w:rPr>
        <w:t xml:space="preserve">  </w:t>
      </w:r>
      <w:r>
        <w:rPr>
          <w:sz w:val="22"/>
        </w:rPr>
        <w:t>Exhibit or sponsor at American Psychology-Law Society (AP-LS) Annual Conference</w:t>
      </w:r>
    </w:p>
    <w:p>
      <w:pPr>
        <w:pStyle w:val="ListBullet"/>
      </w:pPr>
      <w:r>
        <w:rPr>
          <w:b/>
          <w:sz w:val="22"/>
        </w:rPr>
        <w:t xml:space="preserve">  </w:t>
      </w:r>
      <w:r>
        <w:rPr>
          <w:sz w:val="22"/>
        </w:rPr>
        <w:t>Publish peer-reviewed or white-paper content on AI documentation ethics and HIPAA compliance</w:t>
      </w:r>
    </w:p>
    <w:p>
      <w:pPr>
        <w:pStyle w:val="ListBullet"/>
      </w:pPr>
      <w:r>
        <w:rPr>
          <w:b/>
          <w:sz w:val="22"/>
        </w:rPr>
        <w:t xml:space="preserve">  </w:t>
      </w:r>
      <w:r>
        <w:rPr>
          <w:sz w:val="22"/>
        </w:rPr>
        <w:t>Establish presence in APA Division 41 (forensic) and Division 40 (neuropsychology) communities</w:t>
      </w:r>
    </w:p>
    <w:p>
      <w:pPr>
        <w:pStyle w:val="ListBullet"/>
      </w:pPr>
      <w:r>
        <w:rPr>
          <w:b/>
          <w:sz w:val="22"/>
        </w:rPr>
        <w:t xml:space="preserve">  </w:t>
      </w:r>
      <w:r>
        <w:rPr>
          <w:sz w:val="22"/>
        </w:rPr>
        <w:t>Launch LinkedIn thought leadership content targeting psychologist decision-makers</w:t>
      </w:r>
    </w:p>
    <w:p>
      <w:r>
        <w:rPr>
          <w:sz w:val="22"/>
        </w:rPr>
        <w:t>Phase 2: Expansion (Months 7 to 18)</w:t>
      </w:r>
    </w:p>
    <w:p>
      <w:pPr>
        <w:pStyle w:val="ListBullet"/>
      </w:pPr>
      <w:r>
        <w:rPr>
          <w:b/>
          <w:sz w:val="22"/>
        </w:rPr>
        <w:t xml:space="preserve">  </w:t>
      </w:r>
      <w:r>
        <w:rPr>
          <w:sz w:val="22"/>
        </w:rPr>
        <w:t>Convert beta users to paid; implement referral program ($50 credit per successful referral)</w:t>
      </w:r>
    </w:p>
    <w:p>
      <w:pPr>
        <w:pStyle w:val="ListBullet"/>
      </w:pPr>
      <w:r>
        <w:rPr>
          <w:b/>
          <w:sz w:val="22"/>
        </w:rPr>
        <w:t xml:space="preserve">  </w:t>
      </w:r>
      <w:r>
        <w:rPr>
          <w:sz w:val="22"/>
        </w:rPr>
        <w:t>Target APA Annual Convention for booth presence and CE-eligible workshop</w:t>
      </w:r>
    </w:p>
    <w:p>
      <w:pPr>
        <w:pStyle w:val="ListBullet"/>
      </w:pPr>
      <w:r>
        <w:rPr>
          <w:b/>
          <w:sz w:val="22"/>
        </w:rPr>
        <w:t xml:space="preserve">  </w:t>
      </w:r>
      <w:r>
        <w:rPr>
          <w:sz w:val="22"/>
        </w:rPr>
        <w:t>Launch Practice tier; pursue outbound sales to multi-clinician assessment centers</w:t>
      </w:r>
    </w:p>
    <w:p>
      <w:pPr>
        <w:pStyle w:val="ListBullet"/>
      </w:pPr>
      <w:r>
        <w:rPr>
          <w:b/>
          <w:sz w:val="22"/>
        </w:rPr>
        <w:t xml:space="preserve">  </w:t>
      </w:r>
      <w:r>
        <w:rPr>
          <w:sz w:val="22"/>
        </w:rPr>
        <w:t>Begin school district pilot outreach through NASP (National Association of School Psychologists) channels</w:t>
      </w:r>
    </w:p>
    <w:p>
      <w:pPr>
        <w:pStyle w:val="ListBullet"/>
      </w:pPr>
      <w:r>
        <w:rPr>
          <w:b/>
          <w:sz w:val="22"/>
        </w:rPr>
        <w:t xml:space="preserve">  </w:t>
      </w:r>
      <w:r>
        <w:rPr>
          <w:sz w:val="22"/>
        </w:rPr>
        <w:t>Implement in-app upgrade prompts tied to usage milestones (report 3 of 3 triggers upgrade CTA)</w:t>
      </w:r>
    </w:p>
    <w:p>
      <w:pPr>
        <w:pStyle w:val="ListBullet"/>
      </w:pPr>
      <w:r>
        <w:rPr>
          <w:b/>
          <w:sz w:val="22"/>
        </w:rPr>
        <w:t xml:space="preserve">  </w:t>
      </w:r>
      <w:r>
        <w:rPr>
          <w:sz w:val="22"/>
        </w:rPr>
        <w:t>Partner with continuing education platforms to offer Forensai integration training as CE credit</w:t>
      </w:r>
    </w:p>
    <w:p>
      <w:r>
        <w:rPr>
          <w:sz w:val="22"/>
        </w:rPr>
        <w:t>Phase 3: Enterprise and Scale (Months 19 to 36)</w:t>
      </w:r>
    </w:p>
    <w:p>
      <w:pPr>
        <w:pStyle w:val="ListBullet"/>
      </w:pPr>
      <w:r>
        <w:rPr>
          <w:b/>
          <w:sz w:val="22"/>
        </w:rPr>
        <w:t xml:space="preserve">  </w:t>
      </w:r>
      <w:r>
        <w:rPr>
          <w:sz w:val="22"/>
        </w:rPr>
        <w:t>Hire 2 enterprise sales representatives focused on hospital systems and school districts</w:t>
      </w:r>
    </w:p>
    <w:p>
      <w:pPr>
        <w:pStyle w:val="ListBullet"/>
      </w:pPr>
      <w:r>
        <w:rPr>
          <w:b/>
          <w:sz w:val="22"/>
        </w:rPr>
        <w:t xml:space="preserve">  </w:t>
      </w:r>
      <w:r>
        <w:rPr>
          <w:sz w:val="22"/>
        </w:rPr>
        <w:t>Develop EHR integration partnerships with major systems (Epic, Athenahealth, Meditech)</w:t>
      </w:r>
    </w:p>
    <w:p>
      <w:pPr>
        <w:pStyle w:val="ListBullet"/>
      </w:pPr>
      <w:r>
        <w:rPr>
          <w:b/>
          <w:sz w:val="22"/>
        </w:rPr>
        <w:t xml:space="preserve">  </w:t>
      </w:r>
      <w:r>
        <w:rPr>
          <w:sz w:val="22"/>
        </w:rPr>
        <w:t>Pursue VA and federal psychology program contracts via GSA schedule</w:t>
      </w:r>
    </w:p>
    <w:p>
      <w:pPr>
        <w:pStyle w:val="ListBullet"/>
      </w:pPr>
      <w:r>
        <w:rPr>
          <w:b/>
          <w:sz w:val="22"/>
        </w:rPr>
        <w:t xml:space="preserve">  </w:t>
      </w:r>
      <w:r>
        <w:rPr>
          <w:sz w:val="22"/>
        </w:rPr>
        <w:t>Launch annual user conference or virtual summit to build community and retention</w:t>
      </w:r>
    </w:p>
    <w:p>
      <w:pPr>
        <w:pStyle w:val="ListBullet"/>
      </w:pPr>
      <w:r>
        <w:rPr>
          <w:b/>
          <w:sz w:val="22"/>
        </w:rPr>
        <w:t xml:space="preserve">  </w:t>
      </w:r>
      <w:r>
        <w:rPr>
          <w:sz w:val="22"/>
        </w:rPr>
        <w:t>International expansion evaluation (Canada, UK, Australia) in Year 3</w:t>
      </w:r>
    </w:p>
    <w:p>
      <w:r>
        <w:rPr>
          <w:sz w:val="22"/>
        </w:rPr>
        <w:t>Channel Strategy</w:t>
      </w:r>
    </w:p>
    <w:p>
      <w:r>
        <w:rPr>
          <w:b/>
          <w:color w:val="17A589"/>
          <w:sz w:val="18"/>
        </w:rPr>
        <w:t>RISK ANALYSIS</w:t>
      </w:r>
    </w:p>
    <w:p>
      <w:r>
        <w:rPr>
          <w:sz w:val="22"/>
        </w:rPr>
        <w:t>HIPAA Liability and Compliance  |  Risk Level: HIGH</w:t>
      </w:r>
    </w:p>
    <w:p>
      <w:r>
        <w:rPr>
          <w:sz w:val="22"/>
        </w:rPr>
        <w:t>Risk: Even with local processing, Forensai touches workflows involving protected health information. Customers will demand Business Associate Agreements (BAAs), documented data handling policies, and audit logs. Any perceived breach or compliance gap generates immediate churn and reputational damage.</w:t>
      </w:r>
    </w:p>
    <w:p>
      <w:r>
        <w:rPr>
          <w:sz w:val="22"/>
        </w:rPr>
        <w:t>Mitigation: Architect the platform from day one with HIPAA compliance as a core feature, not an add-on. Engage a healthcare compliance attorney to review all data flows. Publish a comprehensive privacy and security whitepaper. Obtain SOC 2 Type II certification within 18 months of launch. Offer BAA as a standard document for all paid tiers.</w:t>
      </w:r>
    </w:p>
    <w:p>
      <w:r>
        <w:rPr>
          <w:sz w:val="22"/>
        </w:rPr>
        <w:t>Malpractice Exposure and AI-Assisted Diagnosis Liability  |  Risk Level: HIGH</w:t>
      </w:r>
    </w:p>
    <w:p>
      <w:r>
        <w:rPr>
          <w:sz w:val="22"/>
        </w:rPr>
        <w:t>Risk: Psychologists carry professional liability insurance. Any platform that generates diagnostic language or clinical conclusions introduces risk that the clinician relies on AI output without sufficient independent review. A single publicized error can trigger regulatory scrutiny and litigation targeting both the clinician and Forensai.</w:t>
      </w:r>
    </w:p>
    <w:p>
      <w:r>
        <w:rPr>
          <w:sz w:val="22"/>
        </w:rPr>
        <w:t>Mitigation: Position Forensai as a documentation assistant, not a diagnostic engine. All generated content carries explicit 'draft for clinician review' labels. Implement mandatory clinician review and attestation before report finalization. Carry robust product liability insurance from launch. Consult with APA ethics board and legal counsel on product positioning.</w:t>
      </w:r>
    </w:p>
    <w:p>
      <w:r>
        <w:rPr>
          <w:sz w:val="22"/>
        </w:rPr>
        <w:t>EHR Integration Complexity  |  Risk Level: MEDIUM</w:t>
      </w:r>
    </w:p>
    <w:p>
      <w:r>
        <w:rPr>
          <w:sz w:val="22"/>
        </w:rPr>
        <w:t>Risk: Hospital system and large practice customers often require EHR integration before adoption. EHR integrations are expensive, time-consuming, and vendor-politics-heavy. HL7/FHIR standards are inconsistently implemented across major platforms.</w:t>
      </w:r>
    </w:p>
    <w:p>
      <w:r>
        <w:rPr>
          <w:sz w:val="22"/>
        </w:rPr>
        <w:t>Mitigation: Launch without native EHR integration; position as a standalone documentation layer. Build PDF and structured export formats that map to common EHR import workflows. In Year 2, prioritize Epic integration via the App Orchard program. Budget $200K to $400K for first enterprise integration project.</w:t>
      </w:r>
    </w:p>
    <w:p>
      <w:r>
        <w:rPr>
          <w:sz w:val="22"/>
        </w:rPr>
        <w:t>Competitor Response from Established Players  |  Risk Level: MEDIUM</w:t>
      </w:r>
    </w:p>
    <w:p>
      <w:r>
        <w:rPr>
          <w:sz w:val="22"/>
        </w:rPr>
        <w:t>Risk: Large EHR vendors (Epic, Athenahealth) and clinical documentation platforms (Nuance, Suki, Abridge) are actively building AI documentation tools. If any of these players pivots toward psychological evaluation specifically, distribution and integration advantages could disadvantage Forensai.</w:t>
      </w:r>
    </w:p>
    <w:p>
      <w:r>
        <w:rPr>
          <w:sz w:val="22"/>
        </w:rPr>
        <w:t>Mitigation: Build deep domain specificity in psychological test instrument libraries and forensic template depth that large horizontal players cannot match quickly. File patents on core workflow innovations. Establish community relationships that create switching costs beyond software features. Monitor competitor roadmaps quarterly.</w:t>
      </w:r>
    </w:p>
    <w:p>
      <w:r>
        <w:rPr>
          <w:sz w:val="22"/>
        </w:rPr>
        <w:t>Regulatory Changes Around AI in Clinical Settings  |  Risk Level: MEDIUM</w:t>
      </w:r>
    </w:p>
    <w:p>
      <w:r>
        <w:rPr>
          <w:sz w:val="22"/>
        </w:rPr>
        <w:t>Risk: Federal and state regulators are actively developing frameworks for AI in healthcare. FDA oversight of clinical decision support software is evolving. A classification of Forensai as a regulated medical device would require 510(k) clearance and substantially increase compliance costs.</w:t>
      </w:r>
    </w:p>
    <w:p>
      <w:r>
        <w:rPr>
          <w:sz w:val="22"/>
        </w:rPr>
        <w:t>Mitigation: Maintain active regulatory monitoring through healthcare attorney relationships. Design the platform to qualify under the FDA's non-device clinical decision support exemption (not intended to replace clinician judgment, not the primary diagnostic basis). Engage proactively with APA's technology and ethics working groups.</w:t>
      </w:r>
    </w:p>
    <w:p>
      <w:r>
        <w:rPr>
          <w:sz w:val="22"/>
        </w:rPr>
        <w:t>Provider Trust and Adoption Curve  |  Risk Level: MEDIUM</w:t>
      </w:r>
    </w:p>
    <w:p>
      <w:r>
        <w:rPr>
          <w:sz w:val="22"/>
        </w:rPr>
        <w:t>Risk: Clinical psychologists are trained skeptics. Many view AI-generated clinical language with professional suspicion. The adoption curve for AI tools in conservative clinical communities is historically slow, particularly among senior practitioners who control purchasing decisions in group practices.</w:t>
      </w:r>
    </w:p>
    <w:p>
      <w:r>
        <w:rPr>
          <w:sz w:val="22"/>
        </w:rPr>
        <w:t>Mitigation: Lead with peer validation: publish outcomes data showing time savings and report quality consistency. Recruit respected practitioners as early advisors and public advocates. Offer CE-eligible training to establish Forensai as a professional development tool, not a threat. Target younger practitioners and graduate programs for early adoption seeding.</w:t>
      </w:r>
    </w:p>
    <w:p>
      <w:r>
        <w:rPr>
          <w:b/>
          <w:color w:val="17A589"/>
          <w:sz w:val="18"/>
        </w:rPr>
        <w:t>SUCCESS METRICS</w:t>
      </w:r>
    </w:p>
    <w:p>
      <w:r>
        <w:rPr>
          <w:sz w:val="22"/>
        </w:rPr>
        <w:t>Forensai defines success across four measurement domains: growth, engagement, retention, and clinical quality. Metrics are tracked monthly and reviewed quarterly against scenario targets.</w:t>
      </w:r>
    </w:p>
    <w:p>
      <w:r>
        <w:rPr>
          <w:sz w:val="22"/>
        </w:rPr>
        <w:t>Growth Metrics</w:t>
      </w:r>
    </w:p>
    <w:p>
      <w:r>
        <w:rPr>
          <w:sz w:val="22"/>
        </w:rPr>
        <w:t>Engagement Metrics</w:t>
      </w:r>
    </w:p>
    <w:p>
      <w:r>
        <w:rPr>
          <w:sz w:val="22"/>
        </w:rPr>
        <w:t>Retention Metrics</w:t>
      </w:r>
    </w:p>
    <w:p>
      <w:r>
        <w:rPr>
          <w:sz w:val="22"/>
        </w:rPr>
        <w:t>Clinical Quality Indicators</w:t>
      </w:r>
    </w:p>
    <w:p>
      <w:pPr>
        <w:pStyle w:val="ListBullet"/>
      </w:pPr>
      <w:r>
        <w:rPr>
          <w:b/>
          <w:sz w:val="22"/>
        </w:rPr>
        <w:t xml:space="preserve">  </w:t>
      </w:r>
      <w:r>
        <w:rPr>
          <w:sz w:val="22"/>
        </w:rPr>
        <w:t>Practitioner-reported time savings per report: target 50 to 70 percent reduction</w:t>
      </w:r>
    </w:p>
    <w:p>
      <w:pPr>
        <w:pStyle w:val="ListBullet"/>
      </w:pPr>
      <w:r>
        <w:rPr>
          <w:b/>
          <w:sz w:val="22"/>
        </w:rPr>
        <w:t xml:space="preserve">  </w:t>
      </w:r>
      <w:r>
        <w:rPr>
          <w:sz w:val="22"/>
        </w:rPr>
        <w:t>Report revision rate (edits after AI draft): track reduction over time as models improve</w:t>
      </w:r>
    </w:p>
    <w:p>
      <w:pPr>
        <w:pStyle w:val="ListBullet"/>
      </w:pPr>
      <w:r>
        <w:rPr>
          <w:b/>
          <w:sz w:val="22"/>
        </w:rPr>
        <w:t xml:space="preserve">  </w:t>
      </w:r>
      <w:r>
        <w:rPr>
          <w:sz w:val="22"/>
        </w:rPr>
        <w:t>Adverse outcome tracking: zero reports of AI-output-related malpractice claims</w:t>
      </w:r>
    </w:p>
    <w:p>
      <w:pPr>
        <w:pStyle w:val="ListBullet"/>
      </w:pPr>
      <w:r>
        <w:rPr>
          <w:b/>
          <w:sz w:val="22"/>
        </w:rPr>
        <w:t xml:space="preserve">  </w:t>
      </w:r>
      <w:r>
        <w:rPr>
          <w:sz w:val="22"/>
        </w:rPr>
        <w:t>User satisfaction score (post-report survey): target 4.5 out of 5.0 or higher</w:t>
      </w:r>
    </w:p>
    <w:p>
      <w:r>
        <w:rPr>
          <w:sz w:val="22"/>
        </w:rPr>
        <w:t>Operational Milestones</w:t>
      </w:r>
    </w:p>
    <w:p>
      <w:r>
        <w:rPr>
          <w:b/>
          <w:color w:val="17A589"/>
          <w:sz w:val="18"/>
        </w:rPr>
        <w:t>CONCLUSION</w:t>
      </w:r>
    </w:p>
    <w:p>
      <w:r>
        <w:rPr>
          <w:sz w:val="22"/>
        </w:rPr>
        <w:t>Forensai addresses a genuine, measurable, and expensive problem in a market with no dominant solution. Psychological evaluation report writing is cognitively intensive, time-consuming, and largely unrewarded by clinical billing structures. The practitioners who suffer most from this burden -- forensic psychologists and neuropsychologists -- generate enough revenue per case to make Forensai's pricing trivial relative to the productivity unlock it delivers.</w:t>
      </w:r>
    </w:p>
    <w:p>
      <w:r>
        <w:rPr>
          <w:sz w:val="22"/>
        </w:rPr>
        <w:t>The privacy-first, local-processing architecture is not a differentiator that will remain unique indefinitely, but it is the right architecture for this market right now. It removes the primary institutional adoption barrier and positions Forensai as a trustworthy partner in a community that guards patient confidentiality as a core professional value.</w:t>
      </w:r>
    </w:p>
    <w:p>
      <w:r>
        <w:rPr>
          <w:sz w:val="22"/>
        </w:rPr>
        <w:t>The base scenario projects $984K ARR by end of Year 1 and $9.22M ARR by end of Year 3, with strong unit economics and a clear path to profitability. The conservative scenario still represents a viable, fundable business. The opportunity ahead of the optimistic scenario -- if an enterprise anchor deal lands early and conference marketing breaks through -- is a double-digit ARR company by Year 3.</w:t>
      </w:r>
    </w:p>
    <w:p>
      <w:r>
        <w:rPr>
          <w:sz w:val="22"/>
        </w:rPr>
        <w:t>The recommendation is to move quickly. Establish category ownership in forensic and neuropsychology documentation before horizontal AI documentation platforms discover the niche. Build community before building features. Lead with trust before leading with technology.</w:t>
      </w:r>
    </w:p>
    <w:p>
      <w:r>
        <w:rPr>
          <w:b/>
          <w:sz w:val="18"/>
          <w:szCs w:val="18"/>
          <w:color w:val="17A589"/>
        </w:rPr>
        <w:t>COMPETITIVE POSITION AND MOAT</w:t>
      </w:r>
    </w:p>
    <w:p>
      <w:r>
        <w:rPr>
          <w:sz w:val="22"/>
          <w:szCs w:val="22"/>
        </w:rPr>
        <w:t>Forensai enters a market where every competitor has built a note-taker for therapists. No competitor has built an evaluation platform for psychologists. The workflows are fundamentally different. A therapist writes a 1-page SOAP note after a 50-minute session. A psychologist writes a 30 to 60 page evaluation report after administering 20 standardized instruments across multiple sessions. These require different tools.</w:t>
      </w:r>
    </w:p>
    <w:p>
      <w:r>
        <w:rPr>
          <w:sz w:val="22"/>
          <w:szCs w:val="22"/>
        </w:rPr>
        <w:t xml:space="preserve">The privacy architecture is the primary moat. Forensic psychologists work with court-ordered cases, custody evaluations, and criminal proceedings. Sending raw patient data to a cloud server is not a HIPAA risk alone. It is a chain of custody risk and a malpractice exposure. Local-first PII processing is not a feature that cloud competitors can add without rebuilding from scratch.</w:t>
      </w:r>
    </w:p>
    <w:p>
      <w:r>
        <w:rPr>
          <w:sz w:val="22"/>
          <w:szCs w:val="22"/>
        </w:rPr>
        <w:t xml:space="preserve">The secondary moat is the audit trail. After sustained use, the doctor has a complete, tamper-evident record of every AI suggestion made and every human decision taken across their entire caseload. That record is a defense exhibit in court proceedings. It is also a switching cost that compounds over time. No competitor can replicate two years of case history.</w:t>
      </w:r>
    </w:p>
    <w:p>
      <w:r>
        <w:rPr>
          <w:b/>
          <w:sz w:val="18"/>
          <w:szCs w:val="18"/>
          <w:color w:val="17A589"/>
        </w:rPr>
        <w:t>MULTI-AGENT VALUE PROPOSITION</w:t>
      </w:r>
    </w:p>
    <w:p>
      <w:r>
        <w:rPr>
          <w:sz w:val="22"/>
          <w:szCs w:val="22"/>
        </w:rPr>
        <w:t>The eight-agent architecture is a direct business differentiator. Single-agent tools produce output that is difficult to defend when a lawyer asks "who wrote this sentence and what data supports it." Forensai's pipeline produces a complete chain of evidence: the Ingestor's data packet, the Analyst's psychometric summary, the Diagnostician's criterion mapping, the Writer's sourced draft, the Legal Reviewer's flag log, the Fact Checker's verification report, and the doctor's four signed approvals. Every step documented. Every decision logged.</w:t>
      </w:r>
    </w:p>
    <w:p>
      <w:r>
        <w:rPr>
          <w:sz w:val="22"/>
          <w:szCs w:val="22"/>
        </w:rPr>
        <w:t xml:space="preserve">This is not a feature list. It is a liability shield. For forensic psychologists whose reports are entered into evidence, the difference between a defensible report and an indefensible one can determine the outcome of a case, and their professional standing.</w:t>
      </w:r>
    </w:p>
    <w:p>
      <w:pPr>
        <w:pStyle w:val="ListBullet"/>
      </w:pPr>
      <w:r>
        <w:rPr>
          <w:b/>
          <w:sz w:val="22"/>
          <w:szCs w:val="22"/>
        </w:rPr>
        <w:t xml:space="preserve">  </w:t>
      </w:r>
      <w:r>
        <w:rPr>
          <w:b/>
          <w:sz w:val="22"/>
          <w:szCs w:val="22"/>
        </w:rPr>
        <w:t xml:space="preserve">Orchestrator + 7 specialist agents:</w:t>
      </w:r>
      <w:r>
        <w:rPr>
          <w:sz w:val="22"/>
          <w:szCs w:val="22"/>
        </w:rPr>
        <w:t xml:space="preserve"> each optimized for one task with hard scope guardrails</w:t>
      </w:r>
    </w:p>
    <w:p>
      <w:pPr>
        <w:pStyle w:val="ListBullet"/>
      </w:pPr>
      <w:r>
        <w:rPr>
          <w:b/>
          <w:sz w:val="22"/>
          <w:szCs w:val="22"/>
        </w:rPr>
        <w:t xml:space="preserve">  </w:t>
      </w:r>
      <w:r>
        <w:rPr>
          <w:b/>
          <w:sz w:val="22"/>
          <w:szCs w:val="22"/>
        </w:rPr>
        <w:t xml:space="preserve">Four mandatory doctor approval gates:</w:t>
      </w:r>
      <w:r>
        <w:rPr>
          <w:sz w:val="22"/>
          <w:szCs w:val="22"/>
        </w:rPr>
        <w:t xml:space="preserve"> logged with timestamp and attestation</w:t>
      </w:r>
    </w:p>
    <w:p>
      <w:pPr>
        <w:pStyle w:val="ListBullet"/>
      </w:pPr>
      <w:r>
        <w:rPr>
          <w:b/>
          <w:sz w:val="22"/>
          <w:szCs w:val="22"/>
        </w:rPr>
        <w:t xml:space="preserve">  </w:t>
      </w:r>
      <w:r>
        <w:rPr>
          <w:b/>
          <w:sz w:val="22"/>
          <w:szCs w:val="22"/>
        </w:rPr>
        <w:t xml:space="preserve">Immutable audit trail:</w:t>
      </w:r>
      <w:r>
        <w:rPr>
          <w:sz w:val="22"/>
          <w:szCs w:val="22"/>
        </w:rPr>
        <w:t xml:space="preserve"> append-only, tamper-evident, exportable as a separate document</w:t>
      </w:r>
    </w:p>
    <w:p>
      <w:pPr>
        <w:pStyle w:val="ListBullet"/>
      </w:pPr>
      <w:r>
        <w:rPr>
          <w:b/>
          <w:sz w:val="22"/>
          <w:szCs w:val="22"/>
        </w:rPr>
        <w:t xml:space="preserve">  </w:t>
      </w:r>
      <w:r>
        <w:rPr>
          <w:b/>
          <w:sz w:val="22"/>
          <w:szCs w:val="22"/>
        </w:rPr>
        <w:t xml:space="preserve">Fact Checker hard stop:</w:t>
      </w:r>
      <w:r>
        <w:rPr>
          <w:sz w:val="22"/>
          <w:szCs w:val="22"/>
        </w:rPr>
        <w:t xml:space="preserve"> no export without verified source citations for every claim</w:t>
      </w:r>
    </w:p>
    <w:p>
      <w:pPr>
        <w:pStyle w:val="ListBullet"/>
      </w:pPr>
      <w:r>
        <w:rPr>
          <w:b/>
          <w:sz w:val="22"/>
          <w:szCs w:val="22"/>
        </w:rPr>
        <w:t xml:space="preserve">  </w:t>
      </w:r>
      <w:r>
        <w:rPr>
          <w:b/>
          <w:sz w:val="22"/>
          <w:szCs w:val="22"/>
        </w:rPr>
        <w:t xml:space="preserve">Legal Reviewer adversarial scan:</w:t>
      </w:r>
      <w:r>
        <w:rPr>
          <w:sz w:val="22"/>
          <w:szCs w:val="22"/>
        </w:rPr>
        <w:t xml:space="preserve"> flags before the doctor signs, not after a lawyer attacks</w:t>
      </w:r>
    </w:p>
    <w:p>
      <w:r>
        <w:rPr>
          <w:b/>
          <w:sz w:val="18"/>
          <w:szCs w:val="18"/>
          <w:color w:val="17A589"/>
        </w:rPr>
        <w:t>KANBAN AND PRACTICE MANAGEMENT</w:t>
      </w:r>
    </w:p>
    <w:p>
      <w:r>
        <w:rPr>
          <w:sz w:val="22"/>
          <w:szCs w:val="22"/>
        </w:rPr>
        <w:t>The Kanban view addresses a real operational problem for forensic and neuropsychological practices: managing ten to thirty active evaluations simultaneously, each at a different stage, each with different blocking conditions. Today this is managed in spreadsheets and email. Forensai replaces that with a real-time board where every case is a card, every gate is visible, and every flag is surfaced immediately.</w:t>
      </w:r>
    </w:p>
    <w:p>
      <w:r>
        <w:rPr>
          <w:sz w:val="22"/>
          <w:szCs w:val="22"/>
        </w:rPr>
        <w:t xml:space="preserve">For group practices, the board shows every doctor's caseload. Practice managers can see which cases are blocked, which are approaching deadlines, and which are waiting for doctor action. This is a practice operations tool, not just a document tool. It creates a second value layer beyond individual report writing.</w:t>
      </w:r>
    </w:p>
    <w:p>
      <w:pPr>
        <w:pStyle w:val="ListBullet"/>
      </w:pPr>
      <w:r>
        <w:rPr>
          <w:b/>
          <w:sz w:val="22"/>
          <w:szCs w:val="22"/>
        </w:rPr>
        <w:t xml:space="preserve">  </w:t>
      </w:r>
      <w:r>
        <w:rPr>
          <w:b/>
          <w:sz w:val="22"/>
          <w:szCs w:val="22"/>
        </w:rPr>
        <w:t xml:space="preserve">Ten-column workflow:</w:t>
      </w:r>
      <w:r>
        <w:rPr>
          <w:sz w:val="22"/>
          <w:szCs w:val="22"/>
        </w:rPr>
        <w:t xml:space="preserve"> New Record through Client Review</w:t>
      </w:r>
    </w:p>
    <w:p>
      <w:pPr>
        <w:pStyle w:val="ListBullet"/>
      </w:pPr>
      <w:r>
        <w:rPr>
          <w:b/>
          <w:sz w:val="22"/>
          <w:szCs w:val="22"/>
        </w:rPr>
        <w:t xml:space="preserve">  </w:t>
      </w:r>
      <w:r>
        <w:rPr>
          <w:b/>
          <w:sz w:val="22"/>
          <w:szCs w:val="22"/>
        </w:rPr>
        <w:t xml:space="preserve">Amber pulse on gate cards:</w:t>
      </w:r>
      <w:r>
        <w:rPr>
          <w:sz w:val="22"/>
          <w:szCs w:val="22"/>
        </w:rPr>
        <w:t xml:space="preserve"> doctor sees immediately what needs their attention</w:t>
      </w:r>
    </w:p>
    <w:p>
      <w:pPr>
        <w:pStyle w:val="ListBullet"/>
      </w:pPr>
      <w:r>
        <w:rPr>
          <w:b/>
          <w:sz w:val="22"/>
          <w:szCs w:val="22"/>
        </w:rPr>
        <w:t xml:space="preserve">  </w:t>
      </w:r>
      <w:r>
        <w:rPr>
          <w:b/>
          <w:sz w:val="22"/>
          <w:szCs w:val="22"/>
        </w:rPr>
        <w:t xml:space="preserve">De-identified cards:</w:t>
      </w:r>
      <w:r>
        <w:rPr>
          <w:sz w:val="22"/>
          <w:szCs w:val="22"/>
        </w:rPr>
        <w:t xml:space="preserve"> patient name never appears on the board surface</w:t>
      </w:r>
    </w:p>
    <w:p>
      <w:pPr>
        <w:pStyle w:val="ListBullet"/>
      </w:pPr>
      <w:r>
        <w:rPr>
          <w:b/>
          <w:sz w:val="22"/>
          <w:szCs w:val="22"/>
        </w:rPr>
        <w:t xml:space="preserve">  </w:t>
      </w:r>
      <w:r>
        <w:rPr>
          <w:b/>
          <w:sz w:val="22"/>
          <w:szCs w:val="22"/>
        </w:rPr>
        <w:t xml:space="preserve">Audit-linked:</w:t>
      </w:r>
      <w:r>
        <w:rPr>
          <w:sz w:val="22"/>
          <w:szCs w:val="22"/>
        </w:rPr>
        <w:t xml:space="preserve"> every card movement is logged with timestamp</w:t>
      </w:r>
    </w:p>
    <w:p>
      <w:pPr>
        <w:pStyle w:val="ListBullet"/>
      </w:pPr>
      <w:r>
        <w:rPr>
          <w:b/>
          <w:sz w:val="22"/>
          <w:szCs w:val="22"/>
        </w:rPr>
        <w:t xml:space="preserve">  </w:t>
      </w:r>
      <w:r>
        <w:rPr>
          <w:b/>
          <w:sz w:val="22"/>
          <w:szCs w:val="22"/>
        </w:rPr>
        <w:t xml:space="preserve">Group practice view:</w:t>
      </w:r>
      <w:r>
        <w:rPr>
          <w:sz w:val="22"/>
          <w:szCs w:val="22"/>
        </w:rPr>
        <w:t xml:space="preserve"> administrator can see all doctors and all cases</w:t>
      </w:r>
    </w:p>
    <w:p>
      <w:r>
        <w:rPr>
          <w:color w:val="CCCCCC"/>
          <w:sz w:val="16"/>
        </w:rPr>
        <w:t>________________________________________________________________________</w:t>
      </w:r>
    </w:p>
    <w:p>
      <w:r>
        <w:rPr>
          <w:color w:val="17A589"/>
          <w:sz w:val="18"/>
        </w:rPr>
        <w:t>forensai.com</w:t>
      </w:r>
    </w:p>
    <w:p>
      <w:pPr>
        <w:spacing w:before="0" w:after="0"/>
      </w:pPr>
      <w:r>
        <w:rPr>
          <w:color w:val="CCCCCC"/>
          <w:sz w:val="16"/>
        </w:rPr>
        <w:t>________________________________________________________________________</w:t>
      </w:r>
    </w:p>
    <w:p>
      <w:pPr>
        <w:spacing w:before="360" w:after="120"/>
      </w:pPr>
      <w:r>
        <w:rPr>
          <w:b/>
          <w:color w:val="17A589"/>
          <w:sz w:val="18"/>
        </w:rPr>
        <w:t>REVISED TOTAL ADDRESSABLE MARKET</w:t>
      </w:r>
    </w:p>
    <w:p>
      <w:pPr>
        <w:spacing w:after="160"/>
      </w:pPr>
      <w:r>
        <w:rPr>
          <w:sz w:val="22"/>
        </w:rPr>
        <w:t>The total addressable market for Forensai spans all doctoral-level licensed psychologists conducting formal evaluations resulting in written reports. School psychologists are excluded -- they are master's-level clinicians who refer formal evaluation cases to licensed doctoral-level psychologists rather than conducting full psychological evaluations themselves. The revised TAM reflects doctoral-level practitioners only.</w:t>
      </w:r>
    </w:p>
    <w:p>
      <w:pPr>
        <w:pStyle w:val="ListBullet"/>
        <w:spacing w:after="160"/>
      </w:pPr>
      <w:r>
        <w:rPr>
          <w:b/>
          <w:sz w:val="22"/>
        </w:rPr>
        <w:t>Forensic Psychology -- 8,000 practitioners, $349/month average:</w:t>
      </w:r>
      <w:r>
        <w:rPr>
          <w:b w:val="0"/>
          <w:sz w:val="22"/>
        </w:rPr>
        <w:t xml:space="preserve"> Primary entry market. Highest documentation burden, highest legal stakes, most inadequate existing tools. Segment TAM: $33M ARR.</w:t>
      </w:r>
    </w:p>
    <w:p>
      <w:pPr>
        <w:pStyle w:val="ListBullet"/>
        <w:spacing w:after="160"/>
      </w:pPr>
      <w:r>
        <w:rPr>
          <w:b/>
          <w:sz w:val="22"/>
        </w:rPr>
        <w:t>Neuropsychology -- 12,000 practitioners, $399/month average:</w:t>
      </w:r>
      <w:r>
        <w:rPr>
          <w:b w:val="0"/>
          <w:sz w:val="22"/>
        </w:rPr>
        <w:t xml:space="preserve"> Highest volume of standardized battery administration. Reports routinely exceed 30 pages. Segment TAM: $57M ARR.</w:t>
      </w:r>
    </w:p>
    <w:p>
      <w:pPr>
        <w:pStyle w:val="ListBullet"/>
        <w:spacing w:after="160"/>
      </w:pPr>
      <w:r>
        <w:rPr>
          <w:b/>
          <w:sz w:val="22"/>
        </w:rPr>
        <w:t>Clinical Private Practice -- 65,000 practitioners, $249/month average:</w:t>
      </w:r>
      <w:r>
        <w:rPr>
          <w:b w:val="0"/>
          <w:sz w:val="22"/>
        </w:rPr>
        <w:t xml:space="preserve"> Largest segment by practitioner count. Insurance-based billing makes the CPT/ICD-10 billing loop a primary retention feature. Segment TAM: $194M ARR.</w:t>
      </w:r>
    </w:p>
    <w:p>
      <w:pPr>
        <w:pStyle w:val="ListBullet"/>
        <w:spacing w:after="160"/>
      </w:pPr>
      <w:r>
        <w:rPr>
          <w:b/>
          <w:sz w:val="22"/>
        </w:rPr>
        <w:t>Hospital and Inpatient -- 18,000 practitioners, $299/month average:</w:t>
      </w:r>
      <w:r>
        <w:rPr>
          <w:b w:val="0"/>
          <w:sz w:val="22"/>
        </w:rPr>
        <w:t xml:space="preserve"> Psychiatric evaluations, capacity assessments, competency screenings. Enterprise motion through hospital system procurement. Segment TAM: $65M ARR.</w:t>
      </w:r>
    </w:p>
    <w:p>
      <w:pPr>
        <w:pStyle w:val="ListBullet"/>
        <w:spacing w:after="160"/>
      </w:pPr>
      <w:r>
        <w:rPr>
          <w:b/>
          <w:sz w:val="22"/>
        </w:rPr>
        <w:t>Industrial-Organizational and Employment Assessment -- 10,000 practitioners, $249/month average:</w:t>
      </w:r>
      <w:r>
        <w:rPr>
          <w:b w:val="0"/>
          <w:sz w:val="22"/>
        </w:rPr>
        <w:t xml:space="preserve"> Pre-employment and leadership evaluations. Lower liability stakes than forensic but significant documentation burden. Segment TAM: $30M ARR.</w:t>
      </w:r>
    </w:p>
    <w:p>
      <w:pPr>
        <w:spacing w:after="160"/>
      </w:pPr>
      <w:r>
        <w:rPr>
          <w:sz w:val="22"/>
        </w:rPr>
        <w:t>Total US addressable market: $379M ARR. International expansion (UK, Canada, Australia, EU) adds 60-80%, bringing global TAM to $650-680M. At 10% US penetration across all segments -- a realistic 7-year target for a well-capitalized product -- Forensai reaches $37.9M ARR. At 12x ARR strategic acquisition multiple, that represents a $455M exit. At 18x infrastructure category premium: $682M.</w:t>
      </w:r>
    </w:p>
    <w:p>
      <w:pPr>
        <w:spacing w:before="0" w:after="0"/>
      </w:pPr>
      <w:r>
        <w:rPr>
          <w:color w:val="CCCCCC"/>
          <w:sz w:val="16"/>
        </w:rPr>
        <w:t>________________________________________________________________________</w:t>
      </w:r>
    </w:p>
    <w:p>
      <w:pPr>
        <w:spacing w:before="360" w:after="120"/>
      </w:pPr>
      <w:r>
        <w:rPr>
          <w:b/>
          <w:color w:val="17A589"/>
          <w:sz w:val="18"/>
        </w:rPr>
        <w:t>LOCAL-FIRST ARCHITECTURE CLARIFICATION</w:t>
      </w:r>
    </w:p>
    <w:p>
      <w:pPr>
        <w:spacing w:after="160"/>
      </w:pPr>
      <w:r>
        <w:rPr>
          <w:sz w:val="22"/>
        </w:rPr>
        <w:t>Local-first in Forensai refers specifically to protected health information -- not to all application data. This distinction is architecturally and commercially significant.</w:t>
      </w:r>
    </w:p>
    <w:p>
      <w:pPr>
        <w:pStyle w:val="ListBullet"/>
        <w:spacing w:after="160"/>
      </w:pPr>
      <w:r>
        <w:rPr>
          <w:b/>
          <w:sz w:val="22"/>
        </w:rPr>
        <w:t>What stays local (PHI):</w:t>
      </w:r>
      <w:r>
        <w:rPr>
          <w:b w:val="0"/>
          <w:sz w:val="22"/>
        </w:rPr>
        <w:t xml:space="preserve"> Patient name, date of birth, address, insurance identifiers, Social Security number, case-identifying information, raw session content tied to an identifiable individual. This data never leaves the practitioner's machine. No cloud server receives it. No API call transmits it. The local WASM PII detection engine (Presidio-based) scrubs PHI before any data moves.</w:t>
      </w:r>
    </w:p>
    <w:p>
      <w:pPr>
        <w:pStyle w:val="ListBullet"/>
        <w:spacing w:after="160"/>
      </w:pPr>
      <w:r>
        <w:rPr>
          <w:b/>
          <w:sz w:val="22"/>
        </w:rPr>
        <w:t>What transmits freely (non-PHI):</w:t>
      </w:r>
      <w:r>
        <w:rPr>
          <w:b w:val="0"/>
          <w:sz w:val="22"/>
        </w:rPr>
        <w:t xml:space="preserve"> Anonymized case structures, diagnostic patterns, assessment battery sequences, report quality scores from accept/edit/reject decisions, aggregate clinical benchmarks, and model improvement signals. This data fuels the network effect: cross-user learning, specialty-level norms, benchmarking reports, and continuous model improvement -- all without any patient-identifiable information leaving the local environment.</w:t>
      </w:r>
    </w:p>
    <w:p>
      <w:pPr>
        <w:pStyle w:val="ListBullet"/>
        <w:spacing w:after="160"/>
      </w:pPr>
      <w:r>
        <w:rPr>
          <w:b/>
          <w:sz w:val="22"/>
        </w:rPr>
        <w:t>The commercial implication:</w:t>
      </w:r>
      <w:r>
        <w:rPr>
          <w:b w:val="0"/>
          <w:sz w:val="22"/>
        </w:rPr>
        <w:t xml:space="preserve"> Forensai carries the compliance posture of a fully local system while building the network effects of a cloud system. Competitors built cloud-first cannot replicate this without a full architectural rebuild. Competitors built local-first cannot capture the aggregate learning signal without transmitting PHI. Forensai occupies the only position that achieves both simultaneously.</w:t>
      </w:r>
    </w:p>
    <w:p>
      <w:pPr>
        <w:pStyle w:val="ListBullet"/>
        <w:spacing w:after="160"/>
      </w:pPr>
      <w:r>
        <w:rPr>
          <w:b/>
          <w:sz w:val="22"/>
        </w:rPr>
        <w:t>The data moat:</w:t>
      </w:r>
      <w:r>
        <w:rPr>
          <w:b w:val="0"/>
          <w:sz w:val="22"/>
        </w:rPr>
        <w:t xml:space="preserve"> Every evaluation processed through Forensai contributes anonymized signal to a proprietary labeled evaluation dataset. This dataset does not exist anywhere else. It cannot be purchased. It grows automatically as the user base grows. It is the long-term competitive moat -- not the architecture, not the agents, not the PII engine. The dataset is the defensible asset.</w:t>
      </w:r>
    </w:p>
    <w:p>
      <w:pPr>
        <w:spacing w:before="0" w:after="0"/>
      </w:pPr>
      <w:r>
        <w:rPr>
          <w:color w:val="CCCCCC"/>
          <w:sz w:val="16"/>
        </w:rPr>
        <w:t>________________________________________________________________________</w:t>
      </w:r>
    </w:p>
    <w:p>
      <w:pPr>
        <w:spacing w:before="360" w:after="120"/>
      </w:pPr>
      <w:r>
        <w:rPr>
          <w:b/>
          <w:color w:val="17A589"/>
          <w:sz w:val="18"/>
        </w:rPr>
        <w:t>BILLING INTEGRATION STRATEGY</w:t>
      </w:r>
    </w:p>
    <w:p>
      <w:pPr>
        <w:spacing w:after="160"/>
      </w:pPr>
      <w:r>
        <w:rPr>
          <w:sz w:val="22"/>
        </w:rPr>
        <w:t>Forensai closes the reimbursement loop that no competitor in the evaluation space has addressed. The evaluation report already contains all information required for billing. Forensai generates the clinical report and the billing packet from the same workflow simultaneously.</w:t>
      </w:r>
    </w:p>
    <w:p>
      <w:pPr>
        <w:pStyle w:val="ListBullet"/>
        <w:spacing w:after="160"/>
      </w:pPr>
      <w:r>
        <w:rPr>
          <w:b/>
          <w:sz w:val="22"/>
        </w:rPr>
        <w:t>Time tracking:</w:t>
      </w:r>
      <w:r>
        <w:rPr>
          <w:b w:val="0"/>
          <w:sz w:val="22"/>
        </w:rPr>
        <w:t xml:space="preserve"> Every evaluation phase is logged automatically -- testing administration, scoring, clinical interview, record review, integration, report writing. CPT codes for psychological evaluation are time-based. Manual time tracking on notepads is the current standard. Forensai replaces it with automatic phase-level time logging embedded in the workflow.</w:t>
      </w:r>
    </w:p>
    <w:p>
      <w:pPr>
        <w:pStyle w:val="ListBullet"/>
        <w:spacing w:after="160"/>
      </w:pPr>
      <w:r>
        <w:rPr>
          <w:b/>
          <w:sz w:val="22"/>
        </w:rPr>
        <w:t>Automatic CPT code assignment:</w:t>
      </w:r>
      <w:r>
        <w:rPr>
          <w:b w:val="0"/>
          <w:sz w:val="22"/>
        </w:rPr>
        <w:t xml:space="preserve"> Based on assessment batteries administered and time logged, Forensai suggests the correct CPT codes: 96130/96131 for psychological testing evaluation, 96132/96133 for neuropsychological testing, 96136/96137 for psychologist-administered testing, 90791 for psychiatric diagnostic evaluation. The psychologist confirms -- one click. No manual lookup.</w:t>
      </w:r>
    </w:p>
    <w:p>
      <w:pPr>
        <w:pStyle w:val="ListBullet"/>
        <w:spacing w:after="160"/>
      </w:pPr>
      <w:r>
        <w:rPr>
          <w:b/>
          <w:sz w:val="22"/>
        </w:rPr>
        <w:t>DSM-5-TR to ICD-10-CM crosswalk:</w:t>
      </w:r>
      <w:r>
        <w:rPr>
          <w:b w:val="0"/>
          <w:sz w:val="22"/>
        </w:rPr>
        <w:t xml:space="preserve"> Insurance carriers require ICD-10-CM codes. Clinical documentation uses DSM-5-TR. Forensai translates automatically at report generation. The psychologist documents in clinical language. Billing outputs in insurance language. Zero extra work, zero coding errors.</w:t>
      </w:r>
    </w:p>
    <w:p>
      <w:pPr>
        <w:pStyle w:val="ListBullet"/>
        <w:spacing w:after="160"/>
      </w:pPr>
      <w:r>
        <w:rPr>
          <w:b/>
          <w:sz w:val="22"/>
        </w:rPr>
        <w:t>Superbill generation:</w:t>
      </w:r>
      <w:r>
        <w:rPr>
          <w:b w:val="0"/>
          <w:sz w:val="22"/>
        </w:rPr>
        <w:t xml:space="preserve"> CMS-1500 compatible superbill generated at report completion. Contains provider NPI, diagnosis codes, CPT codes, dates, and time documentation. Patient demographics populate from local PHI store -- never transmitted. The psychologist reviews and submits, or exports directly to practice management software.</w:t>
      </w:r>
    </w:p>
    <w:p>
      <w:pPr>
        <w:pStyle w:val="ListBullet"/>
        <w:spacing w:after="160"/>
      </w:pPr>
      <w:r>
        <w:rPr>
          <w:b/>
          <w:sz w:val="22"/>
        </w:rPr>
        <w:t>Practice management integration:</w:t>
      </w:r>
      <w:r>
        <w:rPr>
          <w:b w:val="0"/>
          <w:sz w:val="22"/>
        </w:rPr>
        <w:t xml:space="preserve"> Direct API integration with SimplePractice, TherapyNotes, and Jane App -- the three dominant platforms for clinical psychologists in private practice. Forensai pushes completed billing data directly. The evaluation workflow ends at payment confirmation, not at report delivery.</w:t>
      </w:r>
    </w:p>
    <w:p>
      <w:pPr>
        <w:spacing w:after="160"/>
      </w:pPr>
      <w:r>
        <w:rPr>
          <w:sz w:val="22"/>
        </w:rPr>
        <w:t>The billing loop transforms the clinical private practice segment from interested to captive. Once billing flows through Forensai, switching cost extends beyond report quality to the entire revenue cycle. Churn in this segment is projected below 5% annually once billing integration is active. NRR climbs above 120% as practices add seats and upgrade to group billing tiers.</w:t>
      </w:r>
    </w:p>
    <w:sectPr w:rsidR="00FC693F" w:rsidRPr="0006063C" w:rsidSect="00034616">
      <w:headerReference w:type="default" r:id="rId9"/>
      <w:footerReference w:type="default" r:id="rId10"/>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