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3B5C"/>
          <w:sz w:val="44"/>
        </w:rPr>
        <w:t>Forensai</w:t>
      </w:r>
    </w:p>
    <w:p>
      <w:r>
        <w:rPr>
          <w:color w:val="555555"/>
          <w:sz w:val="26"/>
        </w:rPr>
        <w:t>AI Psychological Evaluation Platform</w:t>
      </w:r>
    </w:p>
    <w:p>
      <w:r>
        <w:rPr>
          <w:color w:val="999999"/>
          <w:sz w:val="18"/>
        </w:rPr>
        <w:t>Features and Functionality   |   March 2026   |   Confidential</w:t>
      </w:r>
    </w:p>
    <w:p>
      <w:r>
        <w:rPr>
          <w:color w:val="CCCCCC"/>
          <w:sz w:val="16"/>
        </w:rPr>
        <w:t>________________________________________________________________________</w:t>
      </w:r>
    </w:p>
    <w:p>
      <w:r>
        <w:rPr>
          <w:sz w:val="22"/>
        </w:rPr>
        <w:t>This document defines the features and functionality of Forensai, a secure, AI-powered psychological evaluation report writing platform. Forensai runs entirely as a web application. All personally identifiable information (PII) processing occurs locally in the browser. No patient-identifiable data crosses the internet.</w:t>
      </w:r>
    </w:p>
    <w:p>
      <w:r>
        <w:rPr>
          <w:sz w:val="22"/>
        </w:rPr>
        <w:t>Each section below covers one feature area. Each entry includes a description, user benefit, and technical implementation note.</w:t>
      </w:r>
    </w:p>
    <w:p>
      <w:r>
        <w:rPr>
          <w:sz w:val="22"/>
        </w:rPr>
        <w:t>Forensai runs a full NLP pipeline inside the browser using WebAssembly. It detects and redacts names, dates of birth, Social Security numbers, addresses, and case numbers before any data leaves the device. Two redaction modes are available: replace with [REDACTED] or substitute a synthetic placeholder.</w:t>
      </w:r>
    </w:p>
    <w:p>
      <w:r>
        <w:rPr>
          <w:sz w:val="22"/>
        </w:rPr>
        <w:t>All low-confidence detections route to a human review step before finalization. Every redaction action is logged to a local audit trail.</w:t>
      </w:r>
    </w:p>
    <w:p>
      <w:pPr>
        <w:pStyle w:val="ListBullet"/>
      </w:pPr>
      <w:r>
        <w:rPr>
          <w:b/>
          <w:sz w:val="22"/>
        </w:rPr>
        <w:t xml:space="preserve">  </w:t>
      </w:r>
      <w:r>
        <w:rPr>
          <w:sz w:val="22"/>
        </w:rPr>
        <w:t>NLP runs via WebAssembly entirely in-browser</w:t>
      </w:r>
    </w:p>
    <w:p>
      <w:pPr>
        <w:pStyle w:val="ListBullet"/>
      </w:pPr>
      <w:r>
        <w:rPr>
          <w:b/>
          <w:sz w:val="22"/>
        </w:rPr>
        <w:t xml:space="preserve">  </w:t>
      </w:r>
      <w:r>
        <w:rPr>
          <w:sz w:val="22"/>
        </w:rPr>
        <w:t>Detects: names, DOB, SSN, addresses, case numbers</w:t>
      </w:r>
    </w:p>
    <w:p>
      <w:pPr>
        <w:pStyle w:val="ListBullet"/>
      </w:pPr>
      <w:r>
        <w:rPr>
          <w:b/>
          <w:sz w:val="22"/>
        </w:rPr>
        <w:t xml:space="preserve">  </w:t>
      </w:r>
      <w:r>
        <w:rPr>
          <w:sz w:val="22"/>
        </w:rPr>
        <w:t>Redaction modes: [REDACTED] token or synthetic placeholder substitution</w:t>
      </w:r>
    </w:p>
    <w:p>
      <w:pPr>
        <w:pStyle w:val="ListBullet"/>
      </w:pPr>
      <w:r>
        <w:rPr>
          <w:b/>
          <w:sz w:val="22"/>
        </w:rPr>
        <w:t xml:space="preserve">  </w:t>
      </w:r>
      <w:r>
        <w:rPr>
          <w:sz w:val="22"/>
        </w:rPr>
        <w:t>Human review queue for detections below confidence threshold</w:t>
      </w:r>
    </w:p>
    <w:p>
      <w:pPr>
        <w:pStyle w:val="ListBullet"/>
      </w:pPr>
      <w:r>
        <w:rPr>
          <w:b/>
          <w:sz w:val="22"/>
        </w:rPr>
        <w:t xml:space="preserve">  </w:t>
      </w:r>
      <w:r>
        <w:rPr>
          <w:sz w:val="22"/>
        </w:rPr>
        <w:t>Immutable local audit log with timestamp, field type, and action taken</w:t>
      </w:r>
    </w:p>
    <w:p>
      <w:r>
        <w:rPr>
          <w:sz w:val="22"/>
        </w:rPr>
        <w:t>User Benefit:  Clinicians get strong PII protection without installing software or trusting a cloud service. The review step ensures no accidental data exposure.</w:t>
      </w:r>
    </w:p>
    <w:p>
      <w:r>
        <w:rPr>
          <w:sz w:val="22"/>
        </w:rPr>
        <w:t>Technical Note:  Uses a quantized NER model (e.g., spaCy or Hugging Face Transformers compiled to WASM). Audit log stored in IndexedDB. Synthetic placeholders generated from a local lookup table to preserve document readability.</w:t>
      </w:r>
    </w:p>
    <w:p>
      <w:r>
        <w:rPr>
          <w:sz w:val="22"/>
        </w:rPr>
        <w:t>Forensai provides a browser-based file tree powered by the File System Access API. Clinicians can import PDF, Word (.docx), plain text, and image files directly from their local drive. Images are processed with OCR on import.</w:t>
      </w:r>
    </w:p>
    <w:p>
      <w:r>
        <w:rPr>
          <w:sz w:val="22"/>
        </w:rPr>
        <w:t>The built-in viewer and editor support Word documents without leaving the app. A side-by-side notes panel lets clinicians annotate while reading. Version history tracks all changes to each document.</w:t>
      </w:r>
    </w:p>
    <w:p>
      <w:pPr>
        <w:pStyle w:val="ListBullet"/>
      </w:pPr>
      <w:r>
        <w:rPr>
          <w:b/>
          <w:sz w:val="22"/>
        </w:rPr>
        <w:t xml:space="preserve">  </w:t>
      </w:r>
      <w:r>
        <w:rPr>
          <w:sz w:val="22"/>
        </w:rPr>
        <w:t>File tree via File System Access API (no upload to server)</w:t>
      </w:r>
    </w:p>
    <w:p>
      <w:pPr>
        <w:pStyle w:val="ListBullet"/>
      </w:pPr>
      <w:r>
        <w:rPr>
          <w:b/>
          <w:sz w:val="22"/>
        </w:rPr>
        <w:t xml:space="preserve">  </w:t>
      </w:r>
      <w:r>
        <w:rPr>
          <w:sz w:val="22"/>
        </w:rPr>
        <w:t>Import: PDF, .docx, .txt, images (OCR on ingest)</w:t>
      </w:r>
    </w:p>
    <w:p>
      <w:pPr>
        <w:pStyle w:val="ListBullet"/>
      </w:pPr>
      <w:r>
        <w:rPr>
          <w:b/>
          <w:sz w:val="22"/>
        </w:rPr>
        <w:t xml:space="preserve">  </w:t>
      </w:r>
      <w:r>
        <w:rPr>
          <w:sz w:val="22"/>
        </w:rPr>
        <w:t>In-app Word document viewer and editor</w:t>
      </w:r>
    </w:p>
    <w:p>
      <w:pPr>
        <w:pStyle w:val="ListBullet"/>
      </w:pPr>
      <w:r>
        <w:rPr>
          <w:b/>
          <w:sz w:val="22"/>
        </w:rPr>
        <w:t xml:space="preserve">  </w:t>
      </w:r>
      <w:r>
        <w:rPr>
          <w:sz w:val="22"/>
        </w:rPr>
        <w:t>Template library with user import capability</w:t>
      </w:r>
    </w:p>
    <w:p>
      <w:pPr>
        <w:pStyle w:val="ListBullet"/>
      </w:pPr>
      <w:r>
        <w:rPr>
          <w:b/>
          <w:sz w:val="22"/>
        </w:rPr>
        <w:t xml:space="preserve">  </w:t>
      </w:r>
      <w:r>
        <w:rPr>
          <w:sz w:val="22"/>
        </w:rPr>
        <w:t>Side-by-side document notes panel</w:t>
      </w:r>
    </w:p>
    <w:p>
      <w:pPr>
        <w:pStyle w:val="ListBullet"/>
      </w:pPr>
      <w:r>
        <w:rPr>
          <w:b/>
          <w:sz w:val="22"/>
        </w:rPr>
        <w:t xml:space="preserve">  </w:t>
      </w:r>
      <w:r>
        <w:rPr>
          <w:sz w:val="22"/>
        </w:rPr>
        <w:t>Version history with restore capability</w:t>
      </w:r>
    </w:p>
    <w:p>
      <w:r>
        <w:rPr>
          <w:sz w:val="22"/>
        </w:rPr>
        <w:t>User Benefit:  All documents stay on the clinician's machine. The integrated viewer eliminates app-switching during report review and editing.</w:t>
      </w:r>
    </w:p>
    <w:p>
      <w:r>
        <w:rPr>
          <w:sz w:val="22"/>
        </w:rPr>
        <w:t>Technical Note:  File System Access API grants persistent directory handles stored via localStorage. OCR runs via Tesseract.js (WASM). Docx rendering uses docx-preview or a custom renderer. Version snapshots stored in IndexedDB with diff compression.</w:t>
      </w:r>
    </w:p>
    <w:p>
      <w:r>
        <w:rPr>
          <w:sz w:val="22"/>
        </w:rPr>
        <w:t>Forensai imports test result exports from Q-global, PAR iConnect, and generic CSV score sheets. Scanned documents pass through OCR to extract structured data. Raw scores are normalized to percentiles, T-scores, and confidence intervals automatically.</w:t>
      </w:r>
    </w:p>
    <w:p>
      <w:r>
        <w:rPr>
          <w:sz w:val="22"/>
        </w:rPr>
        <w:t>Only clean, de-identified structured data is stored. Raw import files are discarded after extraction unless the user chooses to retain them.</w:t>
      </w:r>
    </w:p>
    <w:p>
      <w:pPr>
        <w:pStyle w:val="ListBullet"/>
      </w:pPr>
      <w:r>
        <w:rPr>
          <w:b/>
          <w:sz w:val="22"/>
        </w:rPr>
        <w:t xml:space="preserve">  </w:t>
      </w:r>
      <w:r>
        <w:rPr>
          <w:sz w:val="22"/>
        </w:rPr>
        <w:t>Parsers for Q-global and PAR iConnect export formats</w:t>
      </w:r>
    </w:p>
    <w:p>
      <w:pPr>
        <w:pStyle w:val="ListBullet"/>
      </w:pPr>
      <w:r>
        <w:rPr>
          <w:b/>
          <w:sz w:val="22"/>
        </w:rPr>
        <w:t xml:space="preserve">  </w:t>
      </w:r>
      <w:r>
        <w:rPr>
          <w:sz w:val="22"/>
        </w:rPr>
        <w:t>Generic CSV import with field mapping UI</w:t>
      </w:r>
    </w:p>
    <w:p>
      <w:pPr>
        <w:pStyle w:val="ListBullet"/>
      </w:pPr>
      <w:r>
        <w:rPr>
          <w:b/>
          <w:sz w:val="22"/>
        </w:rPr>
        <w:t xml:space="preserve">  </w:t>
      </w:r>
      <w:r>
        <w:rPr>
          <w:sz w:val="22"/>
        </w:rPr>
        <w:t>OCR extraction for scanned score sheets (Tesseract.js)</w:t>
      </w:r>
    </w:p>
    <w:p>
      <w:pPr>
        <w:pStyle w:val="ListBullet"/>
      </w:pPr>
      <w:r>
        <w:rPr>
          <w:b/>
          <w:sz w:val="22"/>
        </w:rPr>
        <w:t xml:space="preserve">  </w:t>
      </w:r>
      <w:r>
        <w:rPr>
          <w:sz w:val="22"/>
        </w:rPr>
        <w:t>Score normalization: percentiles, T-scores, confidence intervals</w:t>
      </w:r>
    </w:p>
    <w:p>
      <w:pPr>
        <w:pStyle w:val="ListBullet"/>
      </w:pPr>
      <w:r>
        <w:rPr>
          <w:b/>
          <w:sz w:val="22"/>
        </w:rPr>
        <w:t xml:space="preserve">  </w:t>
      </w:r>
      <w:r>
        <w:rPr>
          <w:sz w:val="22"/>
        </w:rPr>
        <w:t>Stores only de-identified structured records</w:t>
      </w:r>
    </w:p>
    <w:p>
      <w:pPr>
        <w:pStyle w:val="ListBullet"/>
      </w:pPr>
      <w:r>
        <w:rPr>
          <w:b/>
          <w:sz w:val="22"/>
        </w:rPr>
        <w:t xml:space="preserve">  </w:t>
      </w:r>
      <w:r>
        <w:rPr>
          <w:sz w:val="22"/>
        </w:rPr>
        <w:t>Raw file discard option post-extraction</w:t>
      </w:r>
    </w:p>
    <w:p>
      <w:r>
        <w:rPr>
          <w:sz w:val="22"/>
        </w:rPr>
        <w:t>User Benefit:  Test data from multiple platforms lands in one clean, normalized store. Clinicians spend less time reformatting numbers and more time interpreting results.</w:t>
      </w:r>
    </w:p>
    <w:p>
      <w:r>
        <w:rPr>
          <w:sz w:val="22"/>
        </w:rPr>
        <w:t>Technical Note:  Parser modules are platform-specific and version-aware. Normalization tables ship bundled with the app. Score records are stored in a local SQLite database via the OPFS (Origin Private File System) API.</w:t>
      </w:r>
    </w:p>
    <w:p>
      <w:r>
        <w:rPr>
          <w:sz w:val="22"/>
        </w:rPr>
        <w:t>Clinicians import Zoom transcript files in .vtt or plain .txt format. The AI converts raw transcripts into structured clinical notes, identifying speakers and labeling turns. Non-clinical conversation (small talk, scheduling, technical issues) is filtered out before output.</w:t>
      </w:r>
    </w:p>
    <w:p>
      <w:pPr>
        <w:pStyle w:val="ListBullet"/>
      </w:pPr>
      <w:r>
        <w:rPr>
          <w:b/>
          <w:sz w:val="22"/>
        </w:rPr>
        <w:t xml:space="preserve">  </w:t>
      </w:r>
      <w:r>
        <w:rPr>
          <w:sz w:val="22"/>
        </w:rPr>
        <w:t>Import .vtt and .txt Zoom transcript files</w:t>
      </w:r>
    </w:p>
    <w:p>
      <w:pPr>
        <w:pStyle w:val="ListBullet"/>
      </w:pPr>
      <w:r>
        <w:rPr>
          <w:b/>
          <w:sz w:val="22"/>
        </w:rPr>
        <w:t xml:space="preserve">  </w:t>
      </w:r>
      <w:r>
        <w:rPr>
          <w:sz w:val="22"/>
        </w:rPr>
        <w:t>AI conversion to structured clinical notes format</w:t>
      </w:r>
    </w:p>
    <w:p>
      <w:pPr>
        <w:pStyle w:val="ListBullet"/>
      </w:pPr>
      <w:r>
        <w:rPr>
          <w:b/>
          <w:sz w:val="22"/>
        </w:rPr>
        <w:t xml:space="preserve">  </w:t>
      </w:r>
      <w:r>
        <w:rPr>
          <w:sz w:val="22"/>
        </w:rPr>
        <w:t>Speaker identification and persistent label assignment</w:t>
      </w:r>
    </w:p>
    <w:p>
      <w:pPr>
        <w:pStyle w:val="ListBullet"/>
      </w:pPr>
      <w:r>
        <w:rPr>
          <w:b/>
          <w:sz w:val="22"/>
        </w:rPr>
        <w:t xml:space="preserve">  </w:t>
      </w:r>
      <w:r>
        <w:rPr>
          <w:sz w:val="22"/>
        </w:rPr>
        <w:t>Filter pass removes non-clinical conversation segments</w:t>
      </w:r>
    </w:p>
    <w:p>
      <w:pPr>
        <w:pStyle w:val="ListBullet"/>
      </w:pPr>
      <w:r>
        <w:rPr>
          <w:b/>
          <w:sz w:val="22"/>
        </w:rPr>
        <w:t xml:space="preserve">  </w:t>
      </w:r>
      <w:r>
        <w:rPr>
          <w:sz w:val="22"/>
        </w:rPr>
        <w:t>Output integrates with the main report assembly pipeline</w:t>
      </w:r>
    </w:p>
    <w:p>
      <w:r>
        <w:rPr>
          <w:sz w:val="22"/>
        </w:rPr>
        <w:t>User Benefit:  Clinicians capture session content without manual note-taking. Clean clinical notes are ready for report assembly within seconds of import.</w:t>
      </w:r>
    </w:p>
    <w:p>
      <w:r>
        <w:rPr>
          <w:sz w:val="22"/>
        </w:rPr>
        <w:t>Technical Note:  VTT parsing is handled by a lightweight local parser. Speaker diarization uses timestamp clustering. Filtering uses a locally run classifier. All processing runs in-browser before any AI call is made, ensuring PII scrubbing occurs first.</w:t>
      </w:r>
    </w:p>
    <w:p>
      <w:r>
        <w:rPr>
          <w:sz w:val="22"/>
        </w:rPr>
        <w:t>Forensai ships with a local DSM-5-TR criteria database stored in SQLite. The system maps imported test scores to relevant diagnostic criteria and surfaces differential diagnosis options. ICD-10-CM codes are suggested based on the active diagnostic profile.</w:t>
      </w:r>
    </w:p>
    <w:p>
      <w:r>
        <w:rPr>
          <w:sz w:val="22"/>
        </w:rPr>
        <w:t>The system flags cases where data is insufficient to support a diagnosis and prompts the clinician to gather more information.</w:t>
      </w:r>
    </w:p>
    <w:p>
      <w:pPr>
        <w:pStyle w:val="ListBullet"/>
      </w:pPr>
      <w:r>
        <w:rPr>
          <w:b/>
          <w:sz w:val="22"/>
        </w:rPr>
        <w:t xml:space="preserve">  </w:t>
      </w:r>
      <w:r>
        <w:rPr>
          <w:sz w:val="22"/>
        </w:rPr>
        <w:t>Full DSM-5-TR criteria database (local SQLite, no network required)</w:t>
      </w:r>
    </w:p>
    <w:p>
      <w:pPr>
        <w:pStyle w:val="ListBullet"/>
      </w:pPr>
      <w:r>
        <w:rPr>
          <w:b/>
          <w:sz w:val="22"/>
        </w:rPr>
        <w:t xml:space="preserve">  </w:t>
      </w:r>
      <w:r>
        <w:rPr>
          <w:sz w:val="22"/>
        </w:rPr>
        <w:t>Automatic mapping of test scores to diagnostic criteria</w:t>
      </w:r>
    </w:p>
    <w:p>
      <w:pPr>
        <w:pStyle w:val="ListBullet"/>
      </w:pPr>
      <w:r>
        <w:rPr>
          <w:b/>
          <w:sz w:val="22"/>
        </w:rPr>
        <w:t xml:space="preserve">  </w:t>
      </w:r>
      <w:r>
        <w:rPr>
          <w:sz w:val="22"/>
        </w:rPr>
        <w:t>Differential diagnosis support with ranked options</w:t>
      </w:r>
    </w:p>
    <w:p>
      <w:pPr>
        <w:pStyle w:val="ListBullet"/>
      </w:pPr>
      <w:r>
        <w:rPr>
          <w:b/>
          <w:sz w:val="22"/>
        </w:rPr>
        <w:t xml:space="preserve">  </w:t>
      </w:r>
      <w:r>
        <w:rPr>
          <w:sz w:val="22"/>
        </w:rPr>
        <w:t>ICD-10-CM code lookup and context-aware suggestion</w:t>
      </w:r>
    </w:p>
    <w:p>
      <w:pPr>
        <w:pStyle w:val="ListBullet"/>
      </w:pPr>
      <w:r>
        <w:rPr>
          <w:b/>
          <w:sz w:val="22"/>
        </w:rPr>
        <w:t xml:space="preserve">  </w:t>
      </w:r>
      <w:r>
        <w:rPr>
          <w:sz w:val="22"/>
        </w:rPr>
        <w:t>Insufficient data flag with specific gap identification</w:t>
      </w:r>
    </w:p>
    <w:p>
      <w:r>
        <w:rPr>
          <w:sz w:val="22"/>
        </w:rPr>
        <w:t>User Benefit:  Clinicians get a structured starting point for diagnosis without switching to external references. Differential support reduces the chance of overlooking competing diagnoses.</w:t>
      </w:r>
    </w:p>
    <w:p>
      <w:r>
        <w:rPr>
          <w:sz w:val="22"/>
        </w:rPr>
        <w:t>Technical Note:  SQLite runs via sql.js (WASM). DSM-5-TR content is licensed and bundled as a read-only database. Mapping logic uses rule-based scoring thresholds defined per disorder. ICD-10-CM lookup is a flat file search with phonetic matching.</w:t>
      </w:r>
    </w:p>
    <w:p>
      <w:r>
        <w:rPr>
          <w:sz w:val="22"/>
        </w:rPr>
        <w:t>Clinicians upload prior evaluation reports as personal style examples. Forensai builds vector embeddings from these documents locally and stores them on the device. During report drafting, the AI retrieves stylistically similar passages and uses them to match the clinician's voice and tone.</w:t>
      </w:r>
    </w:p>
    <w:p>
      <w:pPr>
        <w:pStyle w:val="ListBullet"/>
      </w:pPr>
      <w:r>
        <w:rPr>
          <w:b/>
          <w:sz w:val="22"/>
        </w:rPr>
        <w:t xml:space="preserve">  </w:t>
      </w:r>
      <w:r>
        <w:rPr>
          <w:sz w:val="22"/>
        </w:rPr>
        <w:t>Upload prior reports as style reference documents (stored locally)</w:t>
      </w:r>
    </w:p>
    <w:p>
      <w:pPr>
        <w:pStyle w:val="ListBullet"/>
      </w:pPr>
      <w:r>
        <w:rPr>
          <w:b/>
          <w:sz w:val="22"/>
        </w:rPr>
        <w:t xml:space="preserve">  </w:t>
      </w:r>
      <w:r>
        <w:rPr>
          <w:sz w:val="22"/>
        </w:rPr>
        <w:t>Vector embeddings generated on-device using a local embedding model</w:t>
      </w:r>
    </w:p>
    <w:p>
      <w:pPr>
        <w:pStyle w:val="ListBullet"/>
      </w:pPr>
      <w:r>
        <w:rPr>
          <w:b/>
          <w:sz w:val="22"/>
        </w:rPr>
        <w:t xml:space="preserve">  </w:t>
      </w:r>
      <w:r>
        <w:rPr>
          <w:sz w:val="22"/>
        </w:rPr>
        <w:t>No style data sent to cloud for indexing</w:t>
      </w:r>
    </w:p>
    <w:p>
      <w:pPr>
        <w:pStyle w:val="ListBullet"/>
      </w:pPr>
      <w:r>
        <w:rPr>
          <w:b/>
          <w:sz w:val="22"/>
        </w:rPr>
        <w:t xml:space="preserve">  </w:t>
      </w:r>
      <w:r>
        <w:rPr>
          <w:sz w:val="22"/>
        </w:rPr>
        <w:t>Retrieval-augmented generation pulls similar passages at draft time</w:t>
      </w:r>
    </w:p>
    <w:p>
      <w:pPr>
        <w:pStyle w:val="ListBullet"/>
      </w:pPr>
      <w:r>
        <w:rPr>
          <w:b/>
          <w:sz w:val="22"/>
        </w:rPr>
        <w:t xml:space="preserve">  </w:t>
      </w:r>
      <w:r>
        <w:rPr>
          <w:sz w:val="22"/>
        </w:rPr>
        <w:t>Voice and tone matching adjusts output to match the clinician's style</w:t>
      </w:r>
    </w:p>
    <w:p>
      <w:r>
        <w:rPr>
          <w:sz w:val="22"/>
        </w:rPr>
        <w:t>User Benefit:  Generated reports sound like the clinician wrote them. Consistency across reports builds client trust and reduces editing time.</w:t>
      </w:r>
    </w:p>
    <w:p>
      <w:r>
        <w:rPr>
          <w:sz w:val="22"/>
        </w:rPr>
        <w:t>Technical Note:  Embeddings are generated via a local ONNX embedding model (e.g., all-MiniLM-L6-v2). Vectors are stored in a local HNSW index using hnswlib-wasm or equivalent. At generation time, top-k passages are retrieved and injected into the system prompt as style context.</w:t>
      </w:r>
    </w:p>
    <w:p>
      <w:r>
        <w:rPr>
          <w:sz w:val="22"/>
        </w:rPr>
        <w:t>Clinicians define plain-text writing rules in the settings panel (for example: 'Do not use em dashes' or 'Use active voice'). These rules are enforced during AI generation via prompt injection. After generation, a linting pass checks the output and flags any violations in a suggestions panel.</w:t>
      </w:r>
    </w:p>
    <w:p>
      <w:pPr>
        <w:pStyle w:val="ListBullet"/>
      </w:pPr>
      <w:r>
        <w:rPr>
          <w:b/>
          <w:sz w:val="22"/>
        </w:rPr>
        <w:t xml:space="preserve">  </w:t>
      </w:r>
      <w:r>
        <w:rPr>
          <w:sz w:val="22"/>
        </w:rPr>
        <w:t>Plain-text rule editor in settings (no coding required)</w:t>
      </w:r>
    </w:p>
    <w:p>
      <w:pPr>
        <w:pStyle w:val="ListBullet"/>
      </w:pPr>
      <w:r>
        <w:rPr>
          <w:b/>
          <w:sz w:val="22"/>
        </w:rPr>
        <w:t xml:space="preserve">  </w:t>
      </w:r>
      <w:r>
        <w:rPr>
          <w:sz w:val="22"/>
        </w:rPr>
        <w:t>Rules injected into AI generation prompt as hard constraints</w:t>
      </w:r>
    </w:p>
    <w:p>
      <w:pPr>
        <w:pStyle w:val="ListBullet"/>
      </w:pPr>
      <w:r>
        <w:rPr>
          <w:b/>
          <w:sz w:val="22"/>
        </w:rPr>
        <w:t xml:space="preserve">  </w:t>
      </w:r>
      <w:r>
        <w:rPr>
          <w:sz w:val="22"/>
        </w:rPr>
        <w:t>Post-generation linting pass checks output against all active rules</w:t>
      </w:r>
    </w:p>
    <w:p>
      <w:pPr>
        <w:pStyle w:val="ListBullet"/>
      </w:pPr>
      <w:r>
        <w:rPr>
          <w:b/>
          <w:sz w:val="22"/>
        </w:rPr>
        <w:t xml:space="preserve">  </w:t>
      </w:r>
      <w:r>
        <w:rPr>
          <w:sz w:val="22"/>
        </w:rPr>
        <w:t>Flagged violations displayed in a side suggestions panel</w:t>
      </w:r>
    </w:p>
    <w:p>
      <w:pPr>
        <w:pStyle w:val="ListBullet"/>
      </w:pPr>
      <w:r>
        <w:rPr>
          <w:b/>
          <w:sz w:val="22"/>
        </w:rPr>
        <w:t xml:space="preserve">  </w:t>
      </w:r>
      <w:r>
        <w:rPr>
          <w:sz w:val="22"/>
        </w:rPr>
        <w:t>One-click accept or dismiss for each suggestion</w:t>
      </w:r>
    </w:p>
    <w:p>
      <w:r>
        <w:rPr>
          <w:sz w:val="22"/>
        </w:rPr>
        <w:t>User Benefit:  Clinicians enforce house style consistently without manually reviewing every sentence. The linting pass catches anything the generation step misses.</w:t>
      </w:r>
    </w:p>
    <w:p>
      <w:r>
        <w:rPr>
          <w:sz w:val="22"/>
        </w:rPr>
        <w:t>Technical Note:  Rules are stored as structured JSON in localStorage. Prompt injection uses a dedicated system-level rules block. Post-generation linting uses regex and NLP heuristics for each rule type. Rule categories: lexical (word bans), structural (sentence length), grammatical (voice).</w:t>
      </w:r>
    </w:p>
    <w:p>
      <w:r>
        <w:rPr>
          <w:sz w:val="22"/>
        </w:rPr>
        <w:t>Forensai assembles reports section by section from structured intake data, test scores, and clinical notes. Report templates define the section order and field mappings. Output streams token by token so clinicians see the draft form in real time.</w:t>
      </w:r>
    </w:p>
    <w:p>
      <w:r>
        <w:rPr>
          <w:sz w:val="22"/>
        </w:rPr>
        <w:t>The editor surfaces inline suggestions for rewrites, additions, and clarifications as each section completes.</w:t>
      </w:r>
    </w:p>
    <w:p>
      <w:pPr>
        <w:pStyle w:val="ListBullet"/>
      </w:pPr>
      <w:r>
        <w:rPr>
          <w:b/>
          <w:sz w:val="22"/>
        </w:rPr>
        <w:t xml:space="preserve">  </w:t>
      </w:r>
      <w:r>
        <w:rPr>
          <w:sz w:val="22"/>
        </w:rPr>
        <w:t>Section-by-section assembly driven by structured data and templates</w:t>
      </w:r>
    </w:p>
    <w:p>
      <w:pPr>
        <w:pStyle w:val="ListBullet"/>
      </w:pPr>
      <w:r>
        <w:rPr>
          <w:b/>
          <w:sz w:val="22"/>
        </w:rPr>
        <w:t xml:space="preserve">  </w:t>
      </w:r>
      <w:r>
        <w:rPr>
          <w:sz w:val="22"/>
        </w:rPr>
        <w:t>Template library defines section order, headings, and field bindings</w:t>
      </w:r>
    </w:p>
    <w:p>
      <w:pPr>
        <w:pStyle w:val="ListBullet"/>
      </w:pPr>
      <w:r>
        <w:rPr>
          <w:b/>
          <w:sz w:val="22"/>
        </w:rPr>
        <w:t xml:space="preserve">  </w:t>
      </w:r>
      <w:r>
        <w:rPr>
          <w:sz w:val="22"/>
        </w:rPr>
        <w:t>Streaming token output for real-time draft visibility</w:t>
      </w:r>
    </w:p>
    <w:p>
      <w:pPr>
        <w:pStyle w:val="ListBullet"/>
      </w:pPr>
      <w:r>
        <w:rPr>
          <w:b/>
          <w:sz w:val="22"/>
        </w:rPr>
        <w:t xml:space="preserve">  </w:t>
      </w:r>
      <w:r>
        <w:rPr>
          <w:sz w:val="22"/>
        </w:rPr>
        <w:t>Inline edit suggestions per section on completion</w:t>
      </w:r>
    </w:p>
    <w:p>
      <w:pPr>
        <w:pStyle w:val="ListBullet"/>
      </w:pPr>
      <w:r>
        <w:rPr>
          <w:b/>
          <w:sz w:val="22"/>
        </w:rPr>
        <w:t xml:space="preserve">  </w:t>
      </w:r>
      <w:r>
        <w:rPr>
          <w:sz w:val="22"/>
        </w:rPr>
        <w:t>Full edit capability at any point during or after assembly</w:t>
      </w:r>
    </w:p>
    <w:p>
      <w:r>
        <w:rPr>
          <w:sz w:val="22"/>
        </w:rPr>
        <w:t>User Benefit:  Clinicians watch the report build live and intervene early rather than reviewing a finished wall of text. Template control keeps output consistent across cases.</w:t>
      </w:r>
    </w:p>
    <w:p>
      <w:r>
        <w:rPr>
          <w:sz w:val="22"/>
        </w:rPr>
        <w:t>Technical Note:  Assembly calls are made to the configured AI provider (local or API-based) using a structured prompt per section. Streaming uses the provider's SSE endpoint. The editor is built on ProseMirror or Tiptap with custom inline suggestion nodes.</w:t>
      </w:r>
    </w:p>
    <w:p>
      <w:r>
        <w:rPr>
          <w:sz w:val="22"/>
        </w:rPr>
        <w:t>Clinicians record voice notes at any point during case review. Transcription runs locally via OpenAI Whisper compiled to WASM, keeping audio on the device. Voice commands let clinicians edit and navigate the report hands-free.</w:t>
      </w:r>
    </w:p>
    <w:p>
      <w:pPr>
        <w:pStyle w:val="ListBullet"/>
      </w:pPr>
      <w:r>
        <w:rPr>
          <w:b/>
          <w:sz w:val="22"/>
        </w:rPr>
        <w:t xml:space="preserve">  </w:t>
      </w:r>
      <w:r>
        <w:rPr>
          <w:sz w:val="22"/>
        </w:rPr>
        <w:t>In-app voice recording with local transcription (Whisper WASM)</w:t>
      </w:r>
    </w:p>
    <w:p>
      <w:pPr>
        <w:pStyle w:val="ListBullet"/>
      </w:pPr>
      <w:r>
        <w:rPr>
          <w:b/>
          <w:sz w:val="22"/>
        </w:rPr>
        <w:t xml:space="preserve">  </w:t>
      </w:r>
      <w:r>
        <w:rPr>
          <w:sz w:val="22"/>
        </w:rPr>
        <w:t>Voice notes attach to specific report sections or case records</w:t>
      </w:r>
    </w:p>
    <w:p>
      <w:pPr>
        <w:pStyle w:val="ListBullet"/>
      </w:pPr>
      <w:r>
        <w:rPr>
          <w:b/>
          <w:sz w:val="22"/>
        </w:rPr>
        <w:t xml:space="preserve">  </w:t>
      </w:r>
      <w:r>
        <w:rPr>
          <w:sz w:val="22"/>
        </w:rPr>
        <w:t>Edit commands: 'Rewrite the second paragraph to be more concise'</w:t>
      </w:r>
    </w:p>
    <w:p>
      <w:pPr>
        <w:pStyle w:val="ListBullet"/>
      </w:pPr>
      <w:r>
        <w:rPr>
          <w:b/>
          <w:sz w:val="22"/>
        </w:rPr>
        <w:t xml:space="preserve">  </w:t>
      </w:r>
      <w:r>
        <w:rPr>
          <w:sz w:val="22"/>
        </w:rPr>
        <w:t>Navigation commands: 'Go to recommendations section'</w:t>
      </w:r>
    </w:p>
    <w:p>
      <w:pPr>
        <w:pStyle w:val="ListBullet"/>
      </w:pPr>
      <w:r>
        <w:rPr>
          <w:b/>
          <w:sz w:val="22"/>
        </w:rPr>
        <w:t xml:space="preserve">  </w:t>
      </w:r>
      <w:r>
        <w:rPr>
          <w:sz w:val="22"/>
        </w:rPr>
        <w:t>Command recognition layer routes intent before any AI call</w:t>
      </w:r>
    </w:p>
    <w:p>
      <w:r>
        <w:rPr>
          <w:sz w:val="22"/>
        </w:rPr>
        <w:t>User Benefit:  Clinicians capture observations immediately without typing. Hands-free editing reduces friction during the final review pass.</w:t>
      </w:r>
    </w:p>
    <w:p>
      <w:r>
        <w:rPr>
          <w:sz w:val="22"/>
        </w:rPr>
        <w:t>Technical Note:  Whisper.cpp compiled to WASM handles transcription. Command parsing uses a lightweight intent classifier (keyword + NLP hybrid) that runs locally. Commands are translated to structured editor actions. Audio is never transmitted externally.</w:t>
      </w:r>
    </w:p>
    <w:p>
      <w:r>
        <w:rPr>
          <w:sz w:val="22"/>
        </w:rPr>
        <w:t>Forensai uses a four-stage workflow: Ingest, Review, Draft, and Approved. Each stage acts as a gate and requires explicit clinician action to advance. Inline commenting and annotation support team review. Track changes captures all edits with accept and reject controls.</w:t>
      </w:r>
    </w:p>
    <w:p>
      <w:r>
        <w:rPr>
          <w:sz w:val="22"/>
        </w:rPr>
        <w:t>Doctor sign-off at the Approved stage generates a timestamped audit trail entry.</w:t>
      </w:r>
    </w:p>
    <w:p>
      <w:pPr>
        <w:pStyle w:val="ListBullet"/>
      </w:pPr>
      <w:r>
        <w:rPr>
          <w:b/>
          <w:sz w:val="22"/>
        </w:rPr>
        <w:t xml:space="preserve">  </w:t>
      </w:r>
      <w:r>
        <w:rPr>
          <w:sz w:val="22"/>
        </w:rPr>
        <w:t>Four-stage gate: Ingest &gt; Review &gt; Draft &gt; Approved</w:t>
      </w:r>
    </w:p>
    <w:p>
      <w:pPr>
        <w:pStyle w:val="ListBullet"/>
      </w:pPr>
      <w:r>
        <w:rPr>
          <w:b/>
          <w:sz w:val="22"/>
        </w:rPr>
        <w:t xml:space="preserve">  </w:t>
      </w:r>
      <w:r>
        <w:rPr>
          <w:sz w:val="22"/>
        </w:rPr>
        <w:t>Stage transitions require explicit clinician confirmation</w:t>
      </w:r>
    </w:p>
    <w:p>
      <w:pPr>
        <w:pStyle w:val="ListBullet"/>
      </w:pPr>
      <w:r>
        <w:rPr>
          <w:b/>
          <w:sz w:val="22"/>
        </w:rPr>
        <w:t xml:space="preserve">  </w:t>
      </w:r>
      <w:r>
        <w:rPr>
          <w:sz w:val="22"/>
        </w:rPr>
        <w:t>Inline commenting and annotation on any paragraph</w:t>
      </w:r>
    </w:p>
    <w:p>
      <w:pPr>
        <w:pStyle w:val="ListBullet"/>
      </w:pPr>
      <w:r>
        <w:rPr>
          <w:b/>
          <w:sz w:val="22"/>
        </w:rPr>
        <w:t xml:space="preserve">  </w:t>
      </w:r>
      <w:r>
        <w:rPr>
          <w:sz w:val="22"/>
        </w:rPr>
        <w:t>Track changes with per-edit accept or reject</w:t>
      </w:r>
    </w:p>
    <w:p>
      <w:pPr>
        <w:pStyle w:val="ListBullet"/>
      </w:pPr>
      <w:r>
        <w:rPr>
          <w:b/>
          <w:sz w:val="22"/>
        </w:rPr>
        <w:t xml:space="preserve">  </w:t>
      </w:r>
      <w:r>
        <w:rPr>
          <w:sz w:val="22"/>
        </w:rPr>
        <w:t>Doctor sign-off with timestamp recorded to local audit trail</w:t>
      </w:r>
    </w:p>
    <w:p>
      <w:pPr>
        <w:pStyle w:val="ListBullet"/>
      </w:pPr>
      <w:r>
        <w:rPr>
          <w:b/>
          <w:sz w:val="22"/>
        </w:rPr>
        <w:t xml:space="preserve">  </w:t>
      </w:r>
      <w:r>
        <w:rPr>
          <w:sz w:val="22"/>
        </w:rPr>
        <w:t>Audit trail is tamper-evident (append-only log)</w:t>
      </w:r>
    </w:p>
    <w:p>
      <w:r>
        <w:rPr>
          <w:sz w:val="22"/>
        </w:rPr>
        <w:t>User Benefit:  Structured gates prevent accidental sign-off on incomplete reports. The audit trail supports compliance and professional accountability.</w:t>
      </w:r>
    </w:p>
    <w:p>
      <w:r>
        <w:rPr>
          <w:sz w:val="22"/>
        </w:rPr>
        <w:t>Technical Note:  Stage state is persisted in IndexedDB alongside the case record. Track changes uses operational transforms to record edit deltas. Sign-off generates a SHA-256 hash of the final document state, stored with the timestamp in the audit log.</w:t>
      </w:r>
    </w:p>
    <w:p>
      <w:r>
        <w:rPr>
          <w:sz w:val="22"/>
        </w:rPr>
        <w:t>Approved reports export as fully formatted .docx or PDF files. Custom letterhead (logo, practice name, address) applies automatically on export. A digital signature block is included at the footer of each exported document.</w:t>
      </w:r>
    </w:p>
    <w:p>
      <w:pPr>
        <w:pStyle w:val="ListBullet"/>
      </w:pPr>
      <w:r>
        <w:rPr>
          <w:b/>
          <w:sz w:val="22"/>
        </w:rPr>
        <w:t xml:space="preserve">  </w:t>
      </w:r>
      <w:r>
        <w:rPr>
          <w:sz w:val="22"/>
        </w:rPr>
        <w:t>Export as .docx with complete formatting preserved</w:t>
      </w:r>
    </w:p>
    <w:p>
      <w:pPr>
        <w:pStyle w:val="ListBullet"/>
      </w:pPr>
      <w:r>
        <w:rPr>
          <w:b/>
          <w:sz w:val="22"/>
        </w:rPr>
        <w:t xml:space="preserve">  </w:t>
      </w:r>
      <w:r>
        <w:rPr>
          <w:sz w:val="22"/>
        </w:rPr>
        <w:t>Export as PDF via browser print-to-PDF or a local PDF renderer</w:t>
      </w:r>
    </w:p>
    <w:p>
      <w:pPr>
        <w:pStyle w:val="ListBullet"/>
      </w:pPr>
      <w:r>
        <w:rPr>
          <w:b/>
          <w:sz w:val="22"/>
        </w:rPr>
        <w:t xml:space="preserve">  </w:t>
      </w:r>
      <w:r>
        <w:rPr>
          <w:sz w:val="22"/>
        </w:rPr>
        <w:t>Custom letterhead: logo upload, practice name, address, phone</w:t>
      </w:r>
    </w:p>
    <w:p>
      <w:pPr>
        <w:pStyle w:val="ListBullet"/>
      </w:pPr>
      <w:r>
        <w:rPr>
          <w:b/>
          <w:sz w:val="22"/>
        </w:rPr>
        <w:t xml:space="preserve">  </w:t>
      </w:r>
      <w:r>
        <w:rPr>
          <w:sz w:val="22"/>
        </w:rPr>
        <w:t>Digital signature block with clinician name, credentials, and date</w:t>
      </w:r>
    </w:p>
    <w:p>
      <w:pPr>
        <w:pStyle w:val="ListBullet"/>
      </w:pPr>
      <w:r>
        <w:rPr>
          <w:b/>
          <w:sz w:val="22"/>
        </w:rPr>
        <w:t xml:space="preserve">  </w:t>
      </w:r>
      <w:r>
        <w:rPr>
          <w:sz w:val="22"/>
        </w:rPr>
        <w:t>Export settings saved per practice profile</w:t>
      </w:r>
    </w:p>
    <w:p>
      <w:r>
        <w:rPr>
          <w:sz w:val="22"/>
        </w:rPr>
        <w:t>User Benefit:  Reports are export-ready in one click. Custom letterhead and signature blocks eliminate manual post-production formatting.</w:t>
      </w:r>
    </w:p>
    <w:p>
      <w:r>
        <w:rPr>
          <w:sz w:val="22"/>
        </w:rPr>
        <w:t>Technical Note:  DOCX export uses docxtemplater or python-docx (if a local helper is available) with style-mapped templates. PDF export uses html2pdf.js or a Puppeteer-based local renderer. Letterhead images are stored in IndexedDB as base64 blobs and injected at export time.</w:t>
      </w:r>
    </w:p>
    <w:p>
      <w:r>
        <w:rPr>
          <w:sz w:val="22"/>
        </w:rPr>
        <w:t>Forensai ships with dark and light themes. All configurable elements are accessible from a single settings panel, including writing style guide rules, RAG example document management, report templates, and practice branding assets.</w:t>
      </w:r>
    </w:p>
    <w:p>
      <w:r>
        <w:rPr>
          <w:sz w:val="22"/>
        </w:rPr>
        <w:t>Settings are stored locally and travel with the user's profile export if they move machines.</w:t>
      </w:r>
    </w:p>
    <w:p>
      <w:pPr>
        <w:pStyle w:val="ListBullet"/>
      </w:pPr>
      <w:r>
        <w:rPr>
          <w:b/>
          <w:sz w:val="22"/>
        </w:rPr>
        <w:t xml:space="preserve">  </w:t>
      </w:r>
      <w:r>
        <w:rPr>
          <w:sz w:val="22"/>
        </w:rPr>
        <w:t>Dark and light theme with system preference detection</w:t>
      </w:r>
    </w:p>
    <w:p>
      <w:pPr>
        <w:pStyle w:val="ListBullet"/>
      </w:pPr>
      <w:r>
        <w:rPr>
          <w:b/>
          <w:sz w:val="22"/>
        </w:rPr>
        <w:t xml:space="preserve">  </w:t>
      </w:r>
      <w:r>
        <w:rPr>
          <w:sz w:val="22"/>
        </w:rPr>
        <w:t>Writing style guide rules editor (add, edit, disable, delete)</w:t>
      </w:r>
    </w:p>
    <w:p>
      <w:pPr>
        <w:pStyle w:val="ListBullet"/>
      </w:pPr>
      <w:r>
        <w:rPr>
          <w:b/>
          <w:sz w:val="22"/>
        </w:rPr>
        <w:t xml:space="preserve">  </w:t>
      </w:r>
      <w:r>
        <w:rPr>
          <w:sz w:val="22"/>
        </w:rPr>
        <w:t>RAG example document manager (upload, preview, remove)</w:t>
      </w:r>
    </w:p>
    <w:p>
      <w:pPr>
        <w:pStyle w:val="ListBullet"/>
      </w:pPr>
      <w:r>
        <w:rPr>
          <w:b/>
          <w:sz w:val="22"/>
        </w:rPr>
        <w:t xml:space="preserve">  </w:t>
      </w:r>
      <w:r>
        <w:rPr>
          <w:sz w:val="22"/>
        </w:rPr>
        <w:t>Template manager (create, duplicate, import, export)</w:t>
      </w:r>
    </w:p>
    <w:p>
      <w:pPr>
        <w:pStyle w:val="ListBullet"/>
      </w:pPr>
      <w:r>
        <w:rPr>
          <w:b/>
          <w:sz w:val="22"/>
        </w:rPr>
        <w:t xml:space="preserve">  </w:t>
      </w:r>
      <w:r>
        <w:rPr>
          <w:sz w:val="22"/>
        </w:rPr>
        <w:t>Practice branding: logo, name, color accent, letterhead layout</w:t>
      </w:r>
    </w:p>
    <w:p>
      <w:pPr>
        <w:pStyle w:val="ListBullet"/>
      </w:pPr>
      <w:r>
        <w:rPr>
          <w:b/>
          <w:sz w:val="22"/>
        </w:rPr>
        <w:t xml:space="preserve">  </w:t>
      </w:r>
      <w:r>
        <w:rPr>
          <w:sz w:val="22"/>
        </w:rPr>
        <w:t>Settings export and import as encrypted local backup</w:t>
      </w:r>
    </w:p>
    <w:p>
      <w:r>
        <w:rPr>
          <w:sz w:val="22"/>
        </w:rPr>
        <w:t>User Benefit:  Clinicians configure Forensai once and it stays consistent across all their cases. Practice branding keeps every report professionally on-brand.</w:t>
      </w:r>
    </w:p>
    <w:p>
      <w:r>
        <w:rPr>
          <w:sz w:val="22"/>
        </w:rPr>
        <w:t>Technical Note:  All settings stored in IndexedDB under a versioned schema. Theme applied via CSS custom properties. Settings export produces an AES-256 encrypted JSON blob the user saves locally. No settings sync to any external server.</w:t>
      </w:r>
    </w:p>
    <w:p>
      <w:pPr>
        <w:spacing w:before="360"/>
      </w:pPr>
      <w:r>
        <w:rPr>
          <w:b/>
          <w:color w:val="17A589"/>
          <w:sz w:val="18"/>
        </w:rPr>
        <w:t>KANBAN CASE MANAGEMENT</w:t>
      </w:r>
    </w:p>
    <w:p>
      <w:pPr>
        <w:spacing w:after="200"/>
      </w:pPr>
      <w:r>
        <w:rPr>
          <w:sz w:val="22"/>
        </w:rPr>
        <w:t>The Kanban view gives the doctor a real-time overview of every active evaluation. Each case appears as a card. Cards move left to right through ten columns as the evaluation progresses. At a glance, the doctor sees what is waiting for their input, what agents are actively working, and what is blocked.</w:t>
      </w:r>
    </w:p>
    <w:p>
      <w:pPr>
        <w:spacing w:after="200"/>
      </w:pPr>
      <w:r>
        <w:rPr>
          <w:sz w:val="22"/>
        </w:rPr>
        <w:t>The board is the primary navigation surface. Clicking any card opens the full case workspace. Blocked cards display a red indicator with a one-line description of what is stopping progress. Cards waiting at approval gates pulse amber until the doctor acts.</w:t>
      </w:r>
    </w:p>
    <w:p>
      <w:pPr>
        <w:pStyle w:val="ListBullet"/>
      </w:pPr>
      <w:r>
        <w:rPr>
          <w:b/>
          <w:sz w:val="22"/>
        </w:rPr>
        <w:t xml:space="preserve">New Record: </w:t>
      </w:r>
      <w:r>
        <w:rPr>
          <w:sz w:val="22"/>
        </w:rPr>
        <w:t>Case created. Basic referral information entered. Documents not yet uploaded. Card shows case type and referral date.</w:t>
      </w:r>
    </w:p>
    <w:p>
      <w:pPr>
        <w:pStyle w:val="ListBullet"/>
      </w:pPr>
      <w:r>
        <w:rPr>
          <w:b/>
          <w:sz w:val="22"/>
        </w:rPr>
        <w:t xml:space="preserve">Ingesting: </w:t>
      </w:r>
      <w:r>
        <w:rPr>
          <w:sz w:val="22"/>
        </w:rPr>
        <w:t>Documents are uploading and processing. PII detection running locally. Card shows progress percentage and any documents in the review queue.</w:t>
      </w:r>
    </w:p>
    <w:p>
      <w:pPr>
        <w:pStyle w:val="ListBullet"/>
      </w:pPr>
      <w:r>
        <w:rPr>
          <w:b/>
          <w:sz w:val="22"/>
        </w:rPr>
        <w:t xml:space="preserve">Pending Doctor Review (Gate 1): </w:t>
      </w:r>
      <w:r>
        <w:rPr>
          <w:sz w:val="22"/>
        </w:rPr>
        <w:t>Ingestor complete. Doctor must confirm the de-identified data packet before analysis begins. Card pulses amber. Blocked until doctor acts.</w:t>
      </w:r>
    </w:p>
    <w:p>
      <w:pPr>
        <w:pStyle w:val="ListBullet"/>
      </w:pPr>
      <w:r>
        <w:rPr>
          <w:b/>
          <w:sz w:val="22"/>
        </w:rPr>
        <w:t xml:space="preserve">In Analysis: </w:t>
      </w:r>
      <w:r>
        <w:rPr>
          <w:sz w:val="22"/>
        </w:rPr>
        <w:t>Test Data Analyst and Diagnostician agents running. Card shows which agent is active and estimated completion.</w:t>
      </w:r>
    </w:p>
    <w:p>
      <w:pPr>
        <w:pStyle w:val="ListBullet"/>
      </w:pPr>
      <w:r>
        <w:rPr>
          <w:b/>
          <w:sz w:val="22"/>
        </w:rPr>
        <w:t xml:space="preserve">Diagnostic Review (Gate 2): </w:t>
      </w:r>
      <w:r>
        <w:rPr>
          <w:sz w:val="22"/>
        </w:rPr>
        <w:t>Diagnostic impressions ready. Doctor must review, modify, and approve before writing begins. Card pulses amber. Blocked until doctor acts.</w:t>
      </w:r>
    </w:p>
    <w:p>
      <w:pPr>
        <w:pStyle w:val="ListBullet"/>
      </w:pPr>
      <w:r>
        <w:rPr>
          <w:b/>
          <w:sz w:val="22"/>
        </w:rPr>
        <w:t xml:space="preserve">Drafting: </w:t>
      </w:r>
      <w:r>
        <w:rPr>
          <w:sz w:val="22"/>
        </w:rPr>
        <w:t>Writer Agent assembling the report section by section. Card shows percentage complete and current section being written.</w:t>
      </w:r>
    </w:p>
    <w:p>
      <w:pPr>
        <w:pStyle w:val="ListBullet"/>
      </w:pPr>
      <w:r>
        <w:rPr>
          <w:b/>
          <w:sz w:val="22"/>
        </w:rPr>
        <w:t xml:space="preserve">Legal and Editorial Review: </w:t>
      </w:r>
      <w:r>
        <w:rPr>
          <w:sz w:val="22"/>
        </w:rPr>
        <w:t>Legal Reviewer, Editor, and Fact Checker running in sequence. Card shows active agent and flag count as it builds.</w:t>
      </w:r>
    </w:p>
    <w:p>
      <w:pPr>
        <w:pStyle w:val="ListBullet"/>
      </w:pPr>
      <w:r>
        <w:rPr>
          <w:b/>
          <w:sz w:val="22"/>
        </w:rPr>
        <w:t xml:space="preserve">Final Approval (Gate 3 and 4): </w:t>
      </w:r>
      <w:r>
        <w:rPr>
          <w:sz w:val="22"/>
        </w:rPr>
        <w:t>Doctor resolves all legal flags and fact checker discrepancies. Provides final attestation. Card shows number of open flags. Blocked until all flags are resolved and doctor signs.</w:t>
      </w:r>
    </w:p>
    <w:p>
      <w:pPr>
        <w:pStyle w:val="ListBullet"/>
      </w:pPr>
      <w:r>
        <w:rPr>
          <w:b/>
          <w:sz w:val="22"/>
        </w:rPr>
        <w:t xml:space="preserve">Published: </w:t>
      </w:r>
      <w:r>
        <w:rPr>
          <w:sz w:val="22"/>
        </w:rPr>
        <w:t>Report exported as Word or PDF. Version locked. Signed attestation embedded. Card shows export date and format.</w:t>
      </w:r>
    </w:p>
    <w:p>
      <w:pPr>
        <w:pStyle w:val="ListBullet"/>
      </w:pPr>
      <w:r>
        <w:rPr>
          <w:b/>
          <w:sz w:val="22"/>
        </w:rPr>
        <w:t xml:space="preserve">Client Review: </w:t>
      </w:r>
      <w:r>
        <w:rPr>
          <w:sz w:val="22"/>
        </w:rPr>
        <w:t>Report delivered to referral source, court, or attorney. Awaiting acknowledgment or response. Card shows delivery date and recipient. Closed when acknowledgment is received.</w:t>
      </w:r>
    </w:p>
    <w:p>
      <w:pPr>
        <w:spacing w:before="360"/>
      </w:pPr>
      <w:r>
        <w:rPr>
          <w:b/>
          <w:color w:val="17A589"/>
          <w:sz w:val="18"/>
        </w:rPr>
        <w:t>CASE CARD DETAILS</w:t>
      </w:r>
    </w:p>
    <w:p>
      <w:pPr>
        <w:spacing w:after="200"/>
      </w:pPr>
      <w:r>
        <w:rPr>
          <w:sz w:val="22"/>
        </w:rPr>
        <w:t>Each card displays:</w:t>
      </w:r>
    </w:p>
    <w:p>
      <w:pPr>
        <w:pStyle w:val="ListBullet"/>
      </w:pPr>
      <w:r>
        <w:rPr>
          <w:b/>
          <w:sz w:val="22"/>
        </w:rPr>
        <w:t>De-identified case reference number</w:t>
      </w:r>
      <w:r>
        <w:rPr>
          <w:sz w:val="22"/>
        </w:rPr>
        <w:t xml:space="preserve"> (never patient name on the board)</w:t>
      </w:r>
    </w:p>
    <w:p>
      <w:pPr>
        <w:pStyle w:val="ListBullet"/>
      </w:pPr>
      <w:r>
        <w:rPr>
          <w:b/>
          <w:sz w:val="22"/>
        </w:rPr>
        <w:t xml:space="preserve">Case type: </w:t>
      </w:r>
      <w:r>
        <w:rPr>
          <w:sz w:val="22"/>
        </w:rPr>
        <w:t>Forensic, Clinical, Neuropsychological, School</w:t>
      </w:r>
    </w:p>
    <w:p>
      <w:pPr>
        <w:pStyle w:val="ListBullet"/>
      </w:pPr>
      <w:r>
        <w:rPr>
          <w:b/>
          <w:sz w:val="22"/>
        </w:rPr>
        <w:t>Assigned doctor</w:t>
      </w:r>
    </w:p>
    <w:p>
      <w:pPr>
        <w:pStyle w:val="ListBullet"/>
      </w:pPr>
      <w:r>
        <w:rPr>
          <w:b/>
          <w:sz w:val="22"/>
        </w:rPr>
        <w:t>Current agent or gate status</w:t>
      </w:r>
    </w:p>
    <w:p>
      <w:pPr>
        <w:pStyle w:val="ListBullet"/>
      </w:pPr>
      <w:r>
        <w:rPr>
          <w:b/>
          <w:sz w:val="22"/>
        </w:rPr>
        <w:t>Time in current column</w:t>
      </w:r>
    </w:p>
    <w:p>
      <w:pPr>
        <w:pStyle w:val="ListBullet"/>
      </w:pPr>
      <w:r>
        <w:rPr>
          <w:b/>
          <w:sz w:val="22"/>
        </w:rPr>
        <w:t>Open flag count</w:t>
      </w:r>
      <w:r>
        <w:rPr>
          <w:sz w:val="22"/>
        </w:rPr>
        <w:t xml:space="preserve"> (red badge if any)</w:t>
      </w:r>
    </w:p>
    <w:p>
      <w:pPr>
        <w:pStyle w:val="ListBullet"/>
      </w:pPr>
      <w:r>
        <w:rPr>
          <w:b/>
          <w:sz w:val="22"/>
        </w:rPr>
        <w:t>Days since case opened</w:t>
      </w:r>
    </w:p>
    <w:p>
      <w:pPr>
        <w:spacing w:before="360"/>
      </w:pPr>
      <w:r>
        <w:rPr>
          <w:b/>
          <w:color w:val="17A589"/>
          <w:sz w:val="18"/>
        </w:rPr>
        <w:t>BOARD CONTROLS</w:t>
      </w:r>
    </w:p>
    <w:p>
      <w:pPr>
        <w:pStyle w:val="ListBullet"/>
      </w:pPr>
      <w:r>
        <w:rPr>
          <w:b/>
          <w:sz w:val="22"/>
        </w:rPr>
        <w:t xml:space="preserve">Filter by </w:t>
      </w:r>
      <w:r>
        <w:rPr>
          <w:sz w:val="22"/>
        </w:rPr>
        <w:t>case type, doctor, flag status</w:t>
      </w:r>
    </w:p>
    <w:p>
      <w:pPr>
        <w:pStyle w:val="ListBullet"/>
      </w:pPr>
      <w:r>
        <w:rPr>
          <w:b/>
          <w:sz w:val="22"/>
        </w:rPr>
        <w:t xml:space="preserve">Sort by </w:t>
      </w:r>
      <w:r>
        <w:rPr>
          <w:sz w:val="22"/>
        </w:rPr>
        <w:t>days open, flag count, or referral date</w:t>
      </w:r>
    </w:p>
    <w:p>
      <w:pPr>
        <w:pStyle w:val="ListBullet"/>
      </w:pPr>
      <w:r>
        <w:rPr>
          <w:b/>
          <w:sz w:val="22"/>
        </w:rPr>
        <w:t xml:space="preserve">Compact view </w:t>
      </w:r>
      <w:r>
        <w:rPr>
          <w:sz w:val="22"/>
        </w:rPr>
        <w:t>for practices with many active cases</w:t>
      </w:r>
    </w:p>
    <w:p>
      <w:pPr>
        <w:pStyle w:val="ListBullet"/>
      </w:pPr>
      <w:r>
        <w:rPr>
          <w:b/>
          <w:sz w:val="22"/>
        </w:rPr>
        <w:t xml:space="preserve">Click any card </w:t>
      </w:r>
      <w:r>
        <w:rPr>
          <w:sz w:val="22"/>
        </w:rPr>
        <w:t>to open full case workspace</w:t>
      </w:r>
    </w:p>
    <w:p>
      <w:pPr>
        <w:pStyle w:val="ListBullet"/>
      </w:pPr>
      <w:r>
        <w:rPr>
          <w:b/>
          <w:sz w:val="22"/>
        </w:rPr>
        <w:t>Drag cards is disabled</w:t>
      </w:r>
      <w:r>
        <w:rPr>
          <w:sz w:val="22"/>
        </w:rPr>
        <w:t xml:space="preserve"> -- movement is controlled by the workflow engine, not manual drag</w:t>
      </w:r>
    </w:p>
    <w:p>
      <w:r>
        <w:rPr>
          <w:color w:val="CCCCCC"/>
          <w:sz w:val="16"/>
        </w:rPr>
        <w:t>________________________________________________________________________</w:t>
      </w:r>
    </w:p>
    <w:p>
      <w:r>
        <w:rPr>
          <w:color w:val="17A589"/>
          <w:sz w:val="18"/>
        </w:rPr>
        <w:t>forensai.com</w:t>
      </w:r>
    </w:p>
    <w:sectPr w:rsidR="00FC693F" w:rsidRPr="0006063C" w:rsidSect="00034616">
      <w:headerReference w:type="default" r:id="rId9"/>
      <w:footerReference w:type="default" r:id="rId10"/>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