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3B5C"/>
          <w:sz w:val="44"/>
        </w:rPr>
        <w:t>Forensai</w:t>
      </w:r>
    </w:p>
    <w:p>
      <w:r>
        <w:rPr>
          <w:color w:val="555555"/>
          <w:sz w:val="26"/>
        </w:rPr>
        <w:t>AI Psychological Evaluation Platform</w:t>
      </w:r>
    </w:p>
    <w:p>
      <w:r>
        <w:rPr>
          <w:color w:val="999999"/>
          <w:sz w:val="18"/>
        </w:rPr>
        <w:t>Architecture and Technical Specification   |   March 2026   |   Confidential</w:t>
      </w:r>
    </w:p>
    <w:p>
      <w:r>
        <w:rPr>
          <w:color w:val="CCCCCC"/>
          <w:sz w:val="16"/>
        </w:rPr>
        <w:t>________________________________________________________________________</w:t>
      </w:r>
    </w:p>
    <w:p>
      <w:r>
        <w:rPr>
          <w:sz w:val="22"/>
        </w:rPr>
        <w:t>Table of Contents</w:t>
      </w:r>
    </w:p>
    <w:p>
      <w:r>
        <w:rPr>
          <w:sz w:val="22"/>
        </w:rPr>
        <w:t>1.  System Overview</w:t>
      </w:r>
    </w:p>
    <w:p>
      <w:r>
        <w:rPr>
          <w:sz w:val="22"/>
        </w:rPr>
        <w:t>2.  Data Flow</w:t>
      </w:r>
    </w:p>
    <w:p>
      <w:r>
        <w:rPr>
          <w:sz w:val="22"/>
        </w:rPr>
        <w:t>3.  Frontend Stack</w:t>
      </w:r>
    </w:p>
    <w:p>
      <w:r>
        <w:rPr>
          <w:sz w:val="22"/>
        </w:rPr>
        <w:t>4.  PII Scrubbing Engine</w:t>
      </w:r>
    </w:p>
    <w:p>
      <w:r>
        <w:rPr>
          <w:sz w:val="22"/>
        </w:rPr>
        <w:t>5.  RAG System</w:t>
      </w:r>
    </w:p>
    <w:p>
      <w:r>
        <w:rPr>
          <w:sz w:val="22"/>
        </w:rPr>
        <w:t>6.  LLM Integration</w:t>
      </w:r>
    </w:p>
    <w:p>
      <w:r>
        <w:rPr>
          <w:sz w:val="22"/>
        </w:rPr>
        <w:t>7.  DSM-5-TR Database</w:t>
      </w:r>
    </w:p>
    <w:p>
      <w:r>
        <w:rPr>
          <w:sz w:val="22"/>
        </w:rPr>
        <w:t>8.  Voice System</w:t>
      </w:r>
    </w:p>
    <w:p>
      <w:r>
        <w:rPr>
          <w:sz w:val="22"/>
        </w:rPr>
        <w:t>10.  Cloud Services</w:t>
      </w:r>
    </w:p>
    <w:p>
      <w:r>
        <w:rPr>
          <w:sz w:val="22"/>
        </w:rPr>
        <w:t>11.  Deployment</w:t>
      </w:r>
    </w:p>
    <w:p>
      <w:r>
        <w:rPr>
          <w:sz w:val="22"/>
        </w:rPr>
        <w:t>12.  Technology Decisions and Rationale</w:t>
      </w:r>
    </w:p>
    <w:p>
      <w:r>
        <w:rPr>
          <w:sz w:val="22"/>
        </w:rPr>
        <w:t>1. System Overview</w:t>
      </w:r>
    </w:p>
    <w:p>
      <w:r>
        <w:rPr>
          <w:sz w:val="22"/>
        </w:rPr>
        <w:t>Forensai is a local-first clinical documentation platform built for licensed psychologists. It generates structured evaluation reports from raw clinical source material, handles diagnostic mapping, and produces publication-ready Word documents. The system processes all protected health information (PHI) on the user's device. Cloud services handle only authentication and license validation.</w:t>
      </w:r>
    </w:p>
    <w:p>
      <w:r>
        <w:rPr>
          <w:sz w:val="22"/>
        </w:rPr>
        <w:t>The application runs as a Progressive Web App (PWA) in a modern browser. An optional Electron wrapper provides deeper OS integration: native file system access, local Python sidecar processes, and offline auto-update support. The browser-based core and the Electron shell share the same React codebase.</w:t>
      </w:r>
    </w:p>
    <w:p>
      <w:r>
        <w:rPr>
          <w:sz w:val="22"/>
        </w:rPr>
        <w:t>Design Principles</w:t>
      </w:r>
    </w:p>
    <w:p>
      <w:pPr>
        <w:pStyle w:val="ListBullet"/>
      </w:pPr>
      <w:r>
        <w:rPr>
          <w:b/>
          <w:sz w:val="22"/>
        </w:rPr>
        <w:t xml:space="preserve">  </w:t>
      </w:r>
      <w:r>
        <w:rPr>
          <w:sz w:val="22"/>
        </w:rPr>
        <w:t>Local-first: all PHI stays on device, always.</w:t>
      </w:r>
    </w:p>
    <w:p>
      <w:pPr>
        <w:pStyle w:val="ListBullet"/>
      </w:pPr>
      <w:r>
        <w:rPr>
          <w:b/>
          <w:sz w:val="22"/>
        </w:rPr>
        <w:t xml:space="preserve">  </w:t>
      </w:r>
      <w:r>
        <w:rPr>
          <w:sz w:val="22"/>
        </w:rPr>
        <w:t>Minimal cloud surface: only stateless, non-PHI endpoints.</w:t>
      </w:r>
    </w:p>
    <w:p>
      <w:pPr>
        <w:pStyle w:val="ListBullet"/>
      </w:pPr>
      <w:r>
        <w:rPr>
          <w:b/>
          <w:sz w:val="22"/>
        </w:rPr>
        <w:t xml:space="preserve">  </w:t>
      </w:r>
      <w:r>
        <w:rPr>
          <w:sz w:val="22"/>
        </w:rPr>
        <w:t>Encryption at rest and in transit for everything that touches patient data.</w:t>
      </w:r>
    </w:p>
    <w:p>
      <w:pPr>
        <w:pStyle w:val="ListBullet"/>
      </w:pPr>
      <w:r>
        <w:rPr>
          <w:b/>
          <w:sz w:val="22"/>
        </w:rPr>
        <w:t xml:space="preserve">  </w:t>
      </w:r>
      <w:r>
        <w:rPr>
          <w:sz w:val="22"/>
        </w:rPr>
        <w:t>Audit everything: every PII redaction and every LLM call is logged locally.</w:t>
      </w:r>
    </w:p>
    <w:p>
      <w:pPr>
        <w:pStyle w:val="ListBullet"/>
      </w:pPr>
      <w:r>
        <w:rPr>
          <w:b/>
          <w:sz w:val="22"/>
        </w:rPr>
        <w:t xml:space="preserve">  </w:t>
      </w:r>
      <w:r>
        <w:rPr>
          <w:sz w:val="22"/>
        </w:rPr>
        <w:t>No vendor lock-in for core workflow: app runs offline with local models if needed.</w:t>
      </w:r>
    </w:p>
    <w:p>
      <w:r>
        <w:rPr>
          <w:sz w:val="22"/>
        </w:rPr>
        <w:t>2. Data Flow</w:t>
      </w:r>
    </w:p>
    <w:p>
      <w:r>
        <w:rPr>
          <w:sz w:val="22"/>
        </w:rPr>
        <w:t>This section is the authoritative reference for how patient data moves through Forensai. Follow this flow diagram when evaluating any proposed change to the system. PHI never exits the device. The boundary is enforced at the transport layer, not just by policy.</w:t>
      </w:r>
    </w:p>
    <w:p>
      <w:r>
        <w:rPr>
          <w:sz w:val="22"/>
        </w:rPr>
        <w:t>3. Frontend Stack</w:t>
      </w:r>
    </w:p>
    <w:p>
      <w:r>
        <w:rPr>
          <w:sz w:val="22"/>
        </w:rPr>
        <w:t>The frontend is a React + TypeScript single-page application built with Vite. It targets evergreen browsers and the Electron runtime. All heavy computation runs in Web Workers so the UI thread stays responsive during NLP and embedding tasks.</w:t>
      </w:r>
    </w:p>
    <w:p>
      <w:r>
        <w:rPr>
          <w:sz w:val="22"/>
        </w:rPr>
        <w:t>Core Framework</w:t>
      </w:r>
    </w:p>
    <w:p>
      <w:r>
        <w:rPr>
          <w:sz w:val="22"/>
        </w:rPr>
        <w:t>File System Access</w:t>
      </w:r>
    </w:p>
    <w:p>
      <w:r>
        <w:rPr>
          <w:sz w:val="22"/>
        </w:rPr>
        <w:t>The File System Access API gives the browser read and write access to the local file system after explicit user permission. The app presents a file tree panel for selecting evaluation folders. In Electron, Node.js fs is used as a fallback for older OS versions that lack File System Access support.</w:t>
      </w:r>
    </w:p>
    <w:p>
      <w:r>
        <w:rPr>
          <w:sz w:val="22"/>
        </w:rPr>
        <w:t>WebAssembly (WASM)</w:t>
      </w:r>
    </w:p>
    <w:p>
      <w:r>
        <w:rPr>
          <w:sz w:val="22"/>
        </w:rPr>
        <w:t>WASM modules run inside Web Workers to avoid blocking the main thread. Key WASM targets include the PII scrubber, the embedding model, the vector store, and the SQLite DSM database. WASM modules are loaded lazily on first use and cached in the browser.</w:t>
      </w:r>
    </w:p>
    <w:p>
      <w:r>
        <w:rPr>
          <w:sz w:val="22"/>
        </w:rPr>
        <w:t>Storage and Encryption</w:t>
      </w:r>
    </w:p>
    <w:p>
      <w:r>
        <w:rPr>
          <w:sz w:val="22"/>
        </w:rPr>
        <w:t>Document Rendering and Editing</w:t>
      </w:r>
    </w:p>
    <w:p>
      <w:r>
        <w:rPr>
          <w:sz w:val="22"/>
        </w:rPr>
        <w:t>Electron Wrapper (Optional)</w:t>
      </w:r>
    </w:p>
    <w:p>
      <w:pPr>
        <w:pStyle w:val="ListBullet"/>
      </w:pPr>
      <w:r>
        <w:rPr>
          <w:b/>
          <w:sz w:val="22"/>
        </w:rPr>
        <w:t xml:space="preserve">  </w:t>
      </w:r>
      <w:r>
        <w:rPr>
          <w:sz w:val="22"/>
        </w:rPr>
        <w:t>Packages the PWA as a signed macOS/Windows desktop app.</w:t>
      </w:r>
    </w:p>
    <w:p>
      <w:pPr>
        <w:pStyle w:val="ListBullet"/>
      </w:pPr>
      <w:r>
        <w:rPr>
          <w:b/>
          <w:sz w:val="22"/>
        </w:rPr>
        <w:t xml:space="preserve">  </w:t>
      </w:r>
      <w:r>
        <w:rPr>
          <w:sz w:val="22"/>
        </w:rPr>
        <w:t>Enables native file system, local Python sidecar (for Presidio), and system tray integration.</w:t>
      </w:r>
    </w:p>
    <w:p>
      <w:pPr>
        <w:pStyle w:val="ListBullet"/>
      </w:pPr>
      <w:r>
        <w:rPr>
          <w:b/>
          <w:sz w:val="22"/>
        </w:rPr>
        <w:t xml:space="preserve">  </w:t>
      </w:r>
      <w:r>
        <w:rPr>
          <w:sz w:val="22"/>
        </w:rPr>
        <w:t>Context isolation enabled; nodeIntegration disabled; preload scripts expose a narrow IPC API only.</w:t>
      </w:r>
    </w:p>
    <w:p>
      <w:pPr>
        <w:pStyle w:val="ListBullet"/>
      </w:pPr>
      <w:r>
        <w:rPr>
          <w:b/>
          <w:sz w:val="22"/>
        </w:rPr>
        <w:t xml:space="preserve">  </w:t>
      </w:r>
      <w:r>
        <w:rPr>
          <w:sz w:val="22"/>
        </w:rPr>
        <w:t>Auto-update via electron-updater; updates signed and verified before install.</w:t>
      </w:r>
    </w:p>
    <w:p>
      <w:r>
        <w:rPr>
          <w:sz w:val="22"/>
        </w:rPr>
        <w:t>4. PII Scrubbing Engine</w:t>
      </w:r>
    </w:p>
    <w:p>
      <w:r>
        <w:rPr>
          <w:sz w:val="22"/>
        </w:rPr>
        <w:t>The PII scrubbing engine is the most security-critical component in the system. It runs before any data reaches IndexedDB or the LLM. No de-identified data is produced until the scrubber completes and the audit log records the run.</w:t>
      </w:r>
    </w:p>
    <w:p>
      <w:r>
        <w:rPr>
          <w:sz w:val="22"/>
        </w:rPr>
        <w:t>Implementation Options</w:t>
      </w:r>
    </w:p>
    <w:p>
      <w:r>
        <w:rPr>
          <w:sz w:val="22"/>
        </w:rPr>
        <w:t>Two deployment modes are supported, selected at build time:</w:t>
      </w:r>
    </w:p>
    <w:p>
      <w:pPr>
        <w:pStyle w:val="ListBullet"/>
      </w:pPr>
      <w:r>
        <w:rPr>
          <w:b/>
          <w:sz w:val="22"/>
        </w:rPr>
        <w:t xml:space="preserve">  </w:t>
      </w:r>
      <w:r>
        <w:rPr>
          <w:sz w:val="22"/>
        </w:rPr>
        <w:t>Option A: WASM mode: Microsoft Presidio NLP engine compiled to WebAssembly, runs inside a Web Worker. No network required. Suitable for browser-only deployment.</w:t>
      </w:r>
    </w:p>
    <w:p>
      <w:pPr>
        <w:pStyle w:val="ListBullet"/>
      </w:pPr>
      <w:r>
        <w:rPr>
          <w:b/>
          <w:sz w:val="22"/>
        </w:rPr>
        <w:t xml:space="preserve">  </w:t>
      </w:r>
      <w:r>
        <w:rPr>
          <w:sz w:val="22"/>
        </w:rPr>
        <w:t>Option B: Python sidecar mode: Presidio runs as a local Python process (FastAPI on localhost). The Electron app spawns and manages the sidecar. Higher accuracy; supports custom spaCy models.</w:t>
      </w:r>
    </w:p>
    <w:p>
      <w:r>
        <w:rPr>
          <w:sz w:val="22"/>
        </w:rPr>
        <w:t>Detected Entity Types</w:t>
      </w:r>
    </w:p>
    <w:p>
      <w:r>
        <w:rPr>
          <w:sz w:val="22"/>
        </w:rPr>
        <w:t>Redaction Strategy</w:t>
      </w:r>
    </w:p>
    <w:p>
      <w:r>
        <w:rPr>
          <w:sz w:val="22"/>
        </w:rPr>
        <w:t>Each detected entity is replaced with a typed, numbered placeholder. The placeholder map (e.g., PERSON_1 -&gt; 'Jane Smith') is stored encrypted in IndexedDB and used only for local display reconstruction. It is never transmitted.</w:t>
      </w:r>
    </w:p>
    <w:p>
      <w:pPr>
        <w:pStyle w:val="ListBullet"/>
      </w:pPr>
      <w:r>
        <w:rPr>
          <w:b/>
          <w:sz w:val="22"/>
        </w:rPr>
        <w:t xml:space="preserve">  </w:t>
      </w:r>
      <w:r>
        <w:rPr>
          <w:sz w:val="22"/>
        </w:rPr>
        <w:t>Replace mode: entity text replaced with [ENTITY_TYPE_N] in the working document.</w:t>
      </w:r>
    </w:p>
    <w:p>
      <w:pPr>
        <w:pStyle w:val="ListBullet"/>
      </w:pPr>
      <w:r>
        <w:rPr>
          <w:b/>
          <w:sz w:val="22"/>
        </w:rPr>
        <w:t xml:space="preserve">  </w:t>
      </w:r>
      <w:r>
        <w:rPr>
          <w:sz w:val="22"/>
        </w:rPr>
        <w:t>Synthetic mode (optional): entity replaced with realistic synthetic value (e.g., 'Alex Johnson' for PERSON_1). Useful for review workflows without revealing real names.</w:t>
      </w:r>
    </w:p>
    <w:p>
      <w:r>
        <w:rPr>
          <w:sz w:val="22"/>
        </w:rPr>
        <w:t>Confidence Thresholds and Review Queue</w:t>
      </w:r>
    </w:p>
    <w:p>
      <w:r>
        <w:rPr>
          <w:sz w:val="22"/>
        </w:rPr>
        <w:t>Entities with detection confidence below a configurable threshold (default: 0.75) are flagged rather than auto-redacted. The user sees a highlighted review queue before the document proceeds. This prevents both under-redaction (PHI leakage) and over-redaction (loss of clinical meaning).</w:t>
      </w:r>
    </w:p>
    <w:p>
      <w:r>
        <w:rPr>
          <w:sz w:val="22"/>
        </w:rPr>
        <w:t>Audit Log</w:t>
      </w:r>
    </w:p>
    <w:p>
      <w:r>
        <w:rPr>
          <w:sz w:val="22"/>
        </w:rPr>
        <w:t>Every scrubbing run appends an entry to the local audit log with: timestamp, document ID, number of entities detected by type, model version used, confidence distribution, and whether human review was triggered. The log is append-only and tamper-evident (see Section 9).</w:t>
      </w:r>
    </w:p>
    <w:p>
      <w:r>
        <w:rPr>
          <w:sz w:val="22"/>
        </w:rPr>
        <w:t>5. RAG System (All Local)</w:t>
      </w:r>
    </w:p>
    <w:p>
      <w:r>
        <w:rPr>
          <w:sz w:val="22"/>
        </w:rPr>
        <w:t>Forensai includes a retrieval-augmented generation (RAG) pipeline that allows the LLM to reference the clinician's prior evaluations and notes. Because prior work is PHI, the entire RAG pipeline runs locally. Embeddings are never uploaded. The vector store lives in IndexedDB.</w:t>
      </w:r>
    </w:p>
    <w:p>
      <w:r>
        <w:rPr>
          <w:sz w:val="22"/>
        </w:rPr>
        <w:t>Embedding Model</w:t>
      </w:r>
    </w:p>
    <w:p>
      <w:r>
        <w:rPr>
          <w:sz w:val="22"/>
        </w:rPr>
        <w:t>Vector Store</w:t>
      </w:r>
    </w:p>
    <w:p>
      <w:r>
        <w:rPr>
          <w:sz w:val="22"/>
        </w:rPr>
        <w:t>Two options are evaluated based on bundle size and query performance:</w:t>
      </w:r>
    </w:p>
    <w:p>
      <w:pPr>
        <w:pStyle w:val="ListBullet"/>
      </w:pPr>
      <w:r>
        <w:rPr>
          <w:b/>
          <w:sz w:val="22"/>
        </w:rPr>
        <w:t xml:space="preserve">  </w:t>
      </w:r>
      <w:r>
        <w:rPr>
          <w:sz w:val="22"/>
        </w:rPr>
        <w:t>Primary: LanceDB compiled to WASM: columnar format, fast ANN search, good for large corpora.</w:t>
      </w:r>
    </w:p>
    <w:p>
      <w:pPr>
        <w:pStyle w:val="ListBullet"/>
      </w:pPr>
      <w:r>
        <w:rPr>
          <w:b/>
          <w:sz w:val="22"/>
        </w:rPr>
        <w:t xml:space="preserve">  </w:t>
      </w:r>
      <w:r>
        <w:rPr>
          <w:sz w:val="22"/>
        </w:rPr>
        <w:t>Fallback: hnswlib-wasm: lightweight HNSW index, simpler integration, suitable for smaller corpora (&lt;10k chunks).</w:t>
      </w:r>
    </w:p>
    <w:p>
      <w:r>
        <w:rPr>
          <w:sz w:val="22"/>
        </w:rPr>
        <w:t>Chunking Strategy</w:t>
      </w:r>
    </w:p>
    <w:p>
      <w:pPr>
        <w:pStyle w:val="ListBullet"/>
      </w:pPr>
      <w:r>
        <w:rPr>
          <w:b/>
          <w:sz w:val="22"/>
        </w:rPr>
        <w:t xml:space="preserve">  </w:t>
      </w:r>
      <w:r>
        <w:rPr>
          <w:sz w:val="22"/>
        </w:rPr>
        <w:t>Source documents are chunked at paragraph boundaries.</w:t>
      </w:r>
    </w:p>
    <w:p>
      <w:pPr>
        <w:pStyle w:val="ListBullet"/>
      </w:pPr>
      <w:r>
        <w:rPr>
          <w:b/>
          <w:sz w:val="22"/>
        </w:rPr>
        <w:t xml:space="preserve">  </w:t>
      </w:r>
      <w:r>
        <w:rPr>
          <w:sz w:val="22"/>
        </w:rPr>
        <w:t>Minimum chunk size: 100 tokens. Maximum: 512 tokens.</w:t>
      </w:r>
    </w:p>
    <w:p>
      <w:pPr>
        <w:pStyle w:val="ListBullet"/>
      </w:pPr>
      <w:r>
        <w:rPr>
          <w:b/>
          <w:sz w:val="22"/>
        </w:rPr>
        <w:t xml:space="preserve">  </w:t>
      </w:r>
      <w:r>
        <w:rPr>
          <w:sz w:val="22"/>
        </w:rPr>
        <w:t>Overlapping context: 64-token overlap between adjacent chunks to preserve boundary semantics.</w:t>
      </w:r>
    </w:p>
    <w:p>
      <w:pPr>
        <w:pStyle w:val="ListBullet"/>
      </w:pPr>
      <w:r>
        <w:rPr>
          <w:b/>
          <w:sz w:val="22"/>
        </w:rPr>
        <w:t xml:space="preserve">  </w:t>
      </w:r>
      <w:r>
        <w:rPr>
          <w:sz w:val="22"/>
        </w:rPr>
        <w:t>Chunk metadata: document ID, page number, section header, creation timestamp.</w:t>
      </w:r>
    </w:p>
    <w:p>
      <w:r>
        <w:rPr>
          <w:sz w:val="22"/>
        </w:rPr>
        <w:t>Retrieval</w:t>
      </w:r>
    </w:p>
    <w:p>
      <w:pPr>
        <w:pStyle w:val="ListBullet"/>
      </w:pPr>
      <w:r>
        <w:rPr>
          <w:b/>
          <w:sz w:val="22"/>
        </w:rPr>
        <w:t xml:space="preserve">  </w:t>
      </w:r>
      <w:r>
        <w:rPr>
          <w:sz w:val="22"/>
        </w:rPr>
        <w:t>Query: de-identified user prompt or report section topic.</w:t>
      </w:r>
    </w:p>
    <w:p>
      <w:pPr>
        <w:pStyle w:val="ListBullet"/>
      </w:pPr>
      <w:r>
        <w:rPr>
          <w:b/>
          <w:sz w:val="22"/>
        </w:rPr>
        <w:t xml:space="preserve">  </w:t>
      </w:r>
      <w:r>
        <w:rPr>
          <w:sz w:val="22"/>
        </w:rPr>
        <w:t>Method: top-k cosine similarity (k=5 default, configurable).</w:t>
      </w:r>
    </w:p>
    <w:p>
      <w:pPr>
        <w:pStyle w:val="ListBullet"/>
      </w:pPr>
      <w:r>
        <w:rPr>
          <w:b/>
          <w:sz w:val="22"/>
        </w:rPr>
        <w:t xml:space="preserve">  </w:t>
      </w:r>
      <w:r>
        <w:rPr>
          <w:sz w:val="22"/>
        </w:rPr>
        <w:t>Retrieved chunks are appended to the LLM context window as reference material.</w:t>
      </w:r>
    </w:p>
    <w:p>
      <w:pPr>
        <w:pStyle w:val="ListBullet"/>
      </w:pPr>
      <w:r>
        <w:rPr>
          <w:b/>
          <w:sz w:val="22"/>
        </w:rPr>
        <w:t xml:space="preserve">  </w:t>
      </w:r>
      <w:r>
        <w:rPr>
          <w:sz w:val="22"/>
        </w:rPr>
        <w:t>Chunks are filtered to exclude any that failed the PII review queue.</w:t>
      </w:r>
    </w:p>
    <w:p>
      <w:r>
        <w:rPr>
          <w:sz w:val="22"/>
        </w:rPr>
        <w:t>6. LLM Integration</w:t>
      </w:r>
    </w:p>
    <w:p>
      <w:r>
        <w:rPr>
          <w:sz w:val="22"/>
        </w:rPr>
        <w:t>The LLM is responsible for drafting report sections, synthesizing clinical observations, and mapping behavioral data to diagnostic criteria. It receives only de-identified input. All prompt construction and response rendering happen client-side.</w:t>
      </w:r>
    </w:p>
    <w:p>
      <w:r>
        <w:rPr>
          <w:sz w:val="22"/>
        </w:rPr>
        <w:t>Model Configuration</w:t>
      </w:r>
    </w:p>
    <w:p>
      <w:r>
        <w:rPr>
          <w:sz w:val="22"/>
        </w:rPr>
        <w:t>Each LLM request is assembled from three layers:</w:t>
      </w:r>
    </w:p>
    <w:p>
      <w:pPr>
        <w:pStyle w:val="ListBullet"/>
      </w:pPr>
      <w:r>
        <w:rPr>
          <w:b/>
          <w:sz w:val="22"/>
        </w:rPr>
        <w:t xml:space="preserve">  </w:t>
      </w:r>
      <w:r>
        <w:rPr>
          <w:sz w:val="22"/>
        </w:rPr>
        <w:t>System prompt: report style guide, tone rules, output format instructions, professional standards.</w:t>
      </w:r>
    </w:p>
    <w:p>
      <w:pPr>
        <w:pStyle w:val="ListBullet"/>
      </w:pPr>
      <w:r>
        <w:rPr>
          <w:b/>
          <w:sz w:val="22"/>
        </w:rPr>
        <w:t xml:space="preserve">  </w:t>
      </w:r>
      <w:r>
        <w:rPr>
          <w:sz w:val="22"/>
        </w:rPr>
        <w:t>Context block: retrieved RAG chunks and DSM-5-TR criteria for the target diagnostic area.</w:t>
      </w:r>
    </w:p>
    <w:p>
      <w:pPr>
        <w:pStyle w:val="ListBullet"/>
      </w:pPr>
      <w:r>
        <w:rPr>
          <w:b/>
          <w:sz w:val="22"/>
        </w:rPr>
        <w:t xml:space="preserve">  </w:t>
      </w:r>
      <w:r>
        <w:rPr>
          <w:sz w:val="22"/>
        </w:rPr>
        <w:t>User block: de-identified clinical data, test scores, referral questions.</w:t>
      </w:r>
    </w:p>
    <w:p>
      <w:r>
        <w:rPr>
          <w:sz w:val="22"/>
        </w:rPr>
        <w:t>The system prompt enforces: active voice, no em dashes, no hedging filler phrases, ICD-10-CM code inclusion, and the clinician's preferred section headings.</w:t>
      </w:r>
    </w:p>
    <w:p>
      <w:r>
        <w:rPr>
          <w:sz w:val="22"/>
        </w:rPr>
        <w:t>Streaming Responses</w:t>
      </w:r>
    </w:p>
    <w:p>
      <w:r>
        <w:rPr>
          <w:sz w:val="22"/>
        </w:rPr>
        <w:t>Responses stream via server-sent events (SSE). The TipTap editor appends tokens in real time. Streaming is cancelable. Partial responses are saved to IndexedDB on cancel so work is not lost.</w:t>
      </w:r>
    </w:p>
    <w:p>
      <w:r>
        <w:rPr>
          <w:sz w:val="22"/>
        </w:rPr>
        <w:t>Context Management for Large Packets</w:t>
      </w:r>
    </w:p>
    <w:p>
      <w:pPr>
        <w:pStyle w:val="ListBullet"/>
      </w:pPr>
      <w:r>
        <w:rPr>
          <w:b/>
          <w:sz w:val="22"/>
        </w:rPr>
        <w:t xml:space="preserve">  </w:t>
      </w:r>
      <w:r>
        <w:rPr>
          <w:sz w:val="22"/>
        </w:rPr>
        <w:t>Full evaluation packets often exceed 50 pages. The app chunks the source and processes sections sequentially.</w:t>
      </w:r>
    </w:p>
    <w:p>
      <w:pPr>
        <w:pStyle w:val="ListBullet"/>
      </w:pPr>
      <w:r>
        <w:rPr>
          <w:b/>
          <w:sz w:val="22"/>
        </w:rPr>
        <w:t xml:space="preserve">  </w:t>
      </w:r>
      <w:r>
        <w:rPr>
          <w:sz w:val="22"/>
        </w:rPr>
        <w:t>A sliding context window retains the most recent 20k tokens of prior output for continuity.</w:t>
      </w:r>
    </w:p>
    <w:p>
      <w:pPr>
        <w:pStyle w:val="ListBullet"/>
      </w:pPr>
      <w:r>
        <w:rPr>
          <w:b/>
          <w:sz w:val="22"/>
        </w:rPr>
        <w:t xml:space="preserve">  </w:t>
      </w:r>
      <w:r>
        <w:rPr>
          <w:sz w:val="22"/>
        </w:rPr>
        <w:t>Section drafts are committed to IndexedDB before requesting the next section.</w:t>
      </w:r>
    </w:p>
    <w:p>
      <w:pPr>
        <w:pStyle w:val="ListBullet"/>
      </w:pPr>
      <w:r>
        <w:rPr>
          <w:b/>
          <w:sz w:val="22"/>
        </w:rPr>
        <w:t xml:space="preserve">  </w:t>
      </w:r>
      <w:r>
        <w:rPr>
          <w:sz w:val="22"/>
        </w:rPr>
        <w:t>The user can re-generate any individual section without reprocessing the full packet.</w:t>
      </w:r>
    </w:p>
    <w:p>
      <w:r>
        <w:rPr>
          <w:sz w:val="22"/>
        </w:rPr>
        <w:t>7. DSM-5-TR Database</w:t>
      </w:r>
    </w:p>
    <w:p>
      <w:r>
        <w:rPr>
          <w:sz w:val="22"/>
        </w:rPr>
        <w:t>Forensai ships with a local structured database of DSM-5-TR diagnostic criteria, ICD-10-CM codes, and score interpretation tables. The database is read-only in production and updated with each application release.</w:t>
      </w:r>
    </w:p>
    <w:p>
      <w:r>
        <w:rPr>
          <w:sz w:val="22"/>
        </w:rPr>
        <w:t>Storage</w:t>
      </w:r>
    </w:p>
    <w:p>
      <w:r>
        <w:rPr>
          <w:sz w:val="22"/>
        </w:rPr>
        <w:t>Schema</w:t>
      </w:r>
    </w:p>
    <w:p>
      <w:r>
        <w:rPr>
          <w:sz w:val="22"/>
        </w:rPr>
        <w:t>Diagnostic Mapping Rules Engine</w:t>
      </w:r>
    </w:p>
    <w:p>
      <w:r>
        <w:rPr>
          <w:sz w:val="22"/>
        </w:rPr>
        <w:t>A lightweight rules engine cross-references extracted clinical data against DSM-5-TR criteria sets. It produces a ranked list of candidate diagnoses with supporting evidence citations. The output is presented to the clinician as a review checklist, not an automated decision. The clinician selects, modifies, or overrides every suggested diagnosis before it enters the report.</w:t>
      </w:r>
    </w:p>
    <w:p>
      <w:r>
        <w:rPr>
          <w:sz w:val="22"/>
        </w:rPr>
        <w:t>8. Voice System</w:t>
      </w:r>
    </w:p>
    <w:p>
      <w:r>
        <w:rPr>
          <w:sz w:val="22"/>
        </w:rPr>
        <w:t>The voice system lets clinicians dictate notes and issue editor commands by voice. All transcription can run locally. The OpenAI Whisper API is an opt-in convenience for users who prefer higher accuracy and accept the associated cloud call (audio contains no PHI if the user is dictating commands rather than reading patient content).</w:t>
      </w:r>
    </w:p>
    <w:p>
      <w:r>
        <w:rPr>
          <w:sz w:val="22"/>
        </w:rPr>
        <w:t>Recording</w:t>
      </w:r>
    </w:p>
    <w:p>
      <w:r>
        <w:rPr>
          <w:sz w:val="22"/>
        </w:rPr>
        <w:t>Transcription Options</w:t>
      </w:r>
    </w:p>
    <w:p>
      <w:r>
        <w:rPr>
          <w:sz w:val="22"/>
        </w:rPr>
        <w:t>Command Parsing</w:t>
      </w:r>
    </w:p>
    <w:p>
      <w:r>
        <w:rPr>
          <w:sz w:val="22"/>
        </w:rPr>
        <w:t>After transcription, the text is passed to the LLM with a command-parsing system prompt. The LLM maps natural language commands to structured editor actions: insert text, move cursor, apply heading style, accept suggestion, regenerate section, and so on. The parsed action is executed in the TipTap editor via its command API.</w:t>
      </w:r>
    </w:p>
    <w:p>
      <w:r>
        <w:rPr>
          <w:sz w:val="22"/>
        </w:rPr>
        <w:t>Security is designed around a single rule: PHI never leaves the device. Every component is evaluated against this rule. Controls below enforce it at the code level, not just at the policy level.</w:t>
      </w:r>
    </w:p>
    <w:p>
      <w:r>
        <w:rPr>
          <w:sz w:val="22"/>
        </w:rPr>
        <w:t>Encryption</w:t>
      </w:r>
    </w:p>
    <w:p>
      <w:r>
        <w:rPr>
          <w:sz w:val="22"/>
        </w:rPr>
        <w:t>PHI Boundary Enforcement</w:t>
      </w:r>
    </w:p>
    <w:p>
      <w:r>
        <w:rPr>
          <w:sz w:val="22"/>
        </w:rPr>
        <w:t>The network layer includes a request interceptor that scans outbound payloads for known PHI patterns before dispatch. Any request containing a raw personal identifier is blocked and logged. This is a defense-in-depth measure; the primary control is the PII scrubber at Step 2 of the data flow.</w:t>
      </w:r>
    </w:p>
    <w:p>
      <w:r>
        <w:rPr>
          <w:sz w:val="22"/>
        </w:rPr>
        <w:t>Browser Security</w:t>
      </w:r>
    </w:p>
    <w:p>
      <w:pPr>
        <w:pStyle w:val="ListBullet"/>
      </w:pPr>
      <w:r>
        <w:rPr>
          <w:b/>
          <w:sz w:val="22"/>
        </w:rPr>
        <w:t xml:space="preserve">  </w:t>
      </w:r>
      <w:r>
        <w:rPr>
          <w:sz w:val="22"/>
        </w:rPr>
        <w:t>Content Security Policy (CSP): script-src restricted to self and known CDN hashes; no inline scripts.</w:t>
      </w:r>
    </w:p>
    <w:p>
      <w:pPr>
        <w:pStyle w:val="ListBullet"/>
      </w:pPr>
      <w:r>
        <w:rPr>
          <w:b/>
          <w:sz w:val="22"/>
        </w:rPr>
        <w:t xml:space="preserve">  </w:t>
      </w:r>
      <w:r>
        <w:rPr>
          <w:sz w:val="22"/>
        </w:rPr>
        <w:t>CORS: API calls restricted to known API origins (api.anthropic.com, api.openai.com).</w:t>
      </w:r>
    </w:p>
    <w:p>
      <w:pPr>
        <w:pStyle w:val="ListBullet"/>
      </w:pPr>
      <w:r>
        <w:rPr>
          <w:b/>
          <w:sz w:val="22"/>
        </w:rPr>
        <w:t xml:space="preserve">  </w:t>
      </w:r>
      <w:r>
        <w:rPr>
          <w:sz w:val="22"/>
        </w:rPr>
        <w:t>Subresource Integrity (SRI): CDN assets include integrity hashes.</w:t>
      </w:r>
    </w:p>
    <w:p>
      <w:pPr>
        <w:pStyle w:val="ListBullet"/>
      </w:pPr>
      <w:r>
        <w:rPr>
          <w:b/>
          <w:sz w:val="22"/>
        </w:rPr>
        <w:t xml:space="preserve">  </w:t>
      </w:r>
      <w:r>
        <w:rPr>
          <w:sz w:val="22"/>
        </w:rPr>
        <w:t>No third-party tracking scripts or analytics SDKs in the core application bundle.</w:t>
      </w:r>
    </w:p>
    <w:p>
      <w:r>
        <w:rPr>
          <w:sz w:val="22"/>
        </w:rPr>
        <w:t>Electron Security</w:t>
      </w:r>
    </w:p>
    <w:p>
      <w:pPr>
        <w:pStyle w:val="ListBullet"/>
      </w:pPr>
      <w:r>
        <w:rPr>
          <w:b/>
          <w:sz w:val="22"/>
        </w:rPr>
        <w:t xml:space="preserve">  </w:t>
      </w:r>
      <w:r>
        <w:rPr>
          <w:sz w:val="22"/>
        </w:rPr>
        <w:t>contextIsolation: true -- renderer process cannot access Node.js APIs directly.</w:t>
      </w:r>
    </w:p>
    <w:p>
      <w:pPr>
        <w:pStyle w:val="ListBullet"/>
      </w:pPr>
      <w:r>
        <w:rPr>
          <w:b/>
          <w:sz w:val="22"/>
        </w:rPr>
        <w:t xml:space="preserve">  </w:t>
      </w:r>
      <w:r>
        <w:rPr>
          <w:sz w:val="22"/>
        </w:rPr>
        <w:t>nodeIntegration: false -- no require() in renderer process.</w:t>
      </w:r>
    </w:p>
    <w:p>
      <w:pPr>
        <w:pStyle w:val="ListBullet"/>
      </w:pPr>
      <w:r>
        <w:rPr>
          <w:b/>
          <w:sz w:val="22"/>
        </w:rPr>
        <w:t xml:space="preserve">  </w:t>
      </w:r>
      <w:r>
        <w:rPr>
          <w:sz w:val="22"/>
        </w:rPr>
        <w:t>Preload scripts expose a minimal, typed IPC API via contextBridge.</w:t>
      </w:r>
    </w:p>
    <w:p>
      <w:pPr>
        <w:pStyle w:val="ListBullet"/>
      </w:pPr>
      <w:r>
        <w:rPr>
          <w:b/>
          <w:sz w:val="22"/>
        </w:rPr>
        <w:t xml:space="preserve">  </w:t>
      </w:r>
      <w:r>
        <w:rPr>
          <w:sz w:val="22"/>
        </w:rPr>
        <w:t>webSecurity: true -- same-origin policy enforced in renderer.</w:t>
      </w:r>
    </w:p>
    <w:p>
      <w:pPr>
        <w:pStyle w:val="ListBullet"/>
      </w:pPr>
      <w:r>
        <w:rPr>
          <w:b/>
          <w:sz w:val="22"/>
        </w:rPr>
        <w:t xml:space="preserve">  </w:t>
      </w:r>
      <w:r>
        <w:rPr>
          <w:sz w:val="22"/>
        </w:rPr>
        <w:t>Code signing: macOS Notarization and Windows Authenticode required for distribution.</w:t>
      </w:r>
    </w:p>
    <w:p>
      <w:r>
        <w:rPr>
          <w:sz w:val="22"/>
        </w:rPr>
        <w:t>HIPAA Compliance</w:t>
      </w:r>
    </w:p>
    <w:p>
      <w:pPr>
        <w:pStyle w:val="ListBullet"/>
      </w:pPr>
      <w:r>
        <w:rPr>
          <w:b/>
          <w:sz w:val="22"/>
        </w:rPr>
        <w:t xml:space="preserve">  </w:t>
      </w:r>
      <w:r>
        <w:rPr>
          <w:sz w:val="22"/>
        </w:rPr>
        <w:t>Business Associate Agreement (BAA) executed with Anthropic before any clinical use.</w:t>
      </w:r>
    </w:p>
    <w:p>
      <w:pPr>
        <w:pStyle w:val="ListBullet"/>
      </w:pPr>
      <w:r>
        <w:rPr>
          <w:b/>
          <w:sz w:val="22"/>
        </w:rPr>
        <w:t xml:space="preserve">  </w:t>
      </w:r>
      <w:r>
        <w:rPr>
          <w:sz w:val="22"/>
        </w:rPr>
        <w:t>BAA executed with any cloud provider handling user account data (Clerk/Auth0).</w:t>
      </w:r>
    </w:p>
    <w:p>
      <w:pPr>
        <w:pStyle w:val="ListBullet"/>
      </w:pPr>
      <w:r>
        <w:rPr>
          <w:b/>
          <w:sz w:val="22"/>
        </w:rPr>
        <w:t xml:space="preserve">  </w:t>
      </w:r>
      <w:r>
        <w:rPr>
          <w:sz w:val="22"/>
        </w:rPr>
        <w:t>Core workflow (PII scrub, RAG, report assembly) requires no BAA because no PHI reaches any third party.</w:t>
      </w:r>
    </w:p>
    <w:p>
      <w:pPr>
        <w:pStyle w:val="ListBullet"/>
      </w:pPr>
      <w:r>
        <w:rPr>
          <w:b/>
          <w:sz w:val="22"/>
        </w:rPr>
        <w:t xml:space="preserve">  </w:t>
      </w:r>
      <w:r>
        <w:rPr>
          <w:sz w:val="22"/>
        </w:rPr>
        <w:t>User agreement at onboarding confirms the user is a covered entity responsible for their own HIPAA obligations.</w:t>
      </w:r>
    </w:p>
    <w:p>
      <w:r>
        <w:rPr>
          <w:sz w:val="22"/>
        </w:rPr>
        <w:t>Audit Log</w:t>
      </w:r>
    </w:p>
    <w:p>
      <w:r>
        <w:rPr>
          <w:sz w:val="22"/>
        </w:rPr>
        <w:t>The audit log records every security-relevant event: document import, PII scrub runs, LLM API calls, export events, login and logout, and settings changes. Each entry includes a SHA-256 hash of the previous entry, forming a chain. Tampering with any entry invalidates all subsequent hashes. The log is exported to JSON on request for compliance review.</w:t>
      </w:r>
    </w:p>
    <w:p>
      <w:r>
        <w:rPr>
          <w:sz w:val="22"/>
        </w:rPr>
        <w:t>10. Cloud Services (Minimal)</w:t>
      </w:r>
    </w:p>
    <w:p>
      <w:r>
        <w:rPr>
          <w:sz w:val="22"/>
        </w:rPr>
        <w:t>Forensai uses cloud services only for functions that cannot reasonably run locally: identity verification and license management. Patient data is excluded from all cloud interactions.</w:t>
      </w:r>
    </w:p>
    <w:p>
      <w:r>
        <w:rPr>
          <w:sz w:val="22"/>
        </w:rPr>
        <w:t>11. Deployment</w:t>
      </w:r>
    </w:p>
    <w:p>
      <w:r>
        <w:rPr>
          <w:sz w:val="22"/>
        </w:rPr>
        <w:t>Web (PWA)</w:t>
      </w:r>
    </w:p>
    <w:p>
      <w:r>
        <w:rPr>
          <w:sz w:val="22"/>
        </w:rPr>
        <w:t>Desktop (Electron)</w:t>
      </w:r>
    </w:p>
    <w:p>
      <w:r>
        <w:rPr>
          <w:sz w:val="22"/>
        </w:rPr>
        <w:t>No Backend Required</w:t>
      </w:r>
    </w:p>
    <w:p>
      <w:r>
        <w:rPr>
          <w:sz w:val="22"/>
        </w:rPr>
        <w:t>The core workflow -- document import, PII scrub, embedding, RAG retrieval, LLM call, report assembly, and export -- requires no Forensai-operated server. The application calls third-party APIs (Anthropic, Clerk) directly from the client. This eliminates a class of backend security risks and simplifies the compliance surface.</w:t>
      </w:r>
    </w:p>
    <w:p>
      <w:r>
        <w:rPr>
          <w:sz w:val="22"/>
        </w:rPr>
        <w:t>12. Technology Decisions and Rationale</w:t>
      </w:r>
    </w:p>
    <w:p>
      <w:r>
        <w:rPr>
          <w:sz w:val="22"/>
        </w:rPr>
        <w:t>Each major technology decision is documented here with its rationale. This section is intended to prevent revisiting closed questions without new evidence.</w:t>
      </w:r>
    </w:p>
    <w:p>
      <w:pPr>
        <w:pStyle w:val="ListBullet"/>
      </w:pPr>
      <w:r>
        <w:rPr>
          <w:b/>
          <w:sz w:val="22"/>
        </w:rPr>
        <w:t xml:space="preserve">  </w:t>
      </w:r>
      <w:r>
        <w:rPr>
          <w:sz w:val="22"/>
        </w:rPr>
        <w:t>HIPAA liability: hosting a server that stores PHI requires a BAA with every cloud vendor in the chain, security audits, breach notification infrastructure, and ongoing compliance overhead.</w:t>
      </w:r>
    </w:p>
    <w:p>
      <w:pPr>
        <w:pStyle w:val="ListBullet"/>
      </w:pPr>
      <w:r>
        <w:rPr>
          <w:b/>
          <w:sz w:val="22"/>
        </w:rPr>
        <w:t xml:space="preserve">  </w:t>
      </w:r>
      <w:r>
        <w:rPr>
          <w:sz w:val="22"/>
        </w:rPr>
        <w:t>Trust: psychologists are legally responsible for patient data. A system that keeps data on their device is fundamentally easier to explain to patients, ethics boards, and regulators than one that sends data to a third-party cloud.</w:t>
      </w:r>
    </w:p>
    <w:p>
      <w:pPr>
        <w:pStyle w:val="ListBullet"/>
      </w:pPr>
      <w:r>
        <w:rPr>
          <w:b/>
          <w:sz w:val="22"/>
        </w:rPr>
        <w:t xml:space="preserve">  </w:t>
      </w:r>
      <w:r>
        <w:rPr>
          <w:sz w:val="22"/>
        </w:rPr>
        <w:t>No BAA required for core workflow: because PHI never reaches a Forensai-operated server, the BAA requirement applies only to the LLM vendor (Anthropic) and the auth vendor -- both of which offer BAAs and handle far smaller compliance surface areas.</w:t>
      </w:r>
    </w:p>
    <w:p>
      <w:r>
        <w:rPr>
          <w:sz w:val="22"/>
        </w:rPr>
        <w:t>Why WASM for PII Scrubbing</w:t>
      </w:r>
    </w:p>
    <w:p>
      <w:pPr>
        <w:pStyle w:val="ListBullet"/>
      </w:pPr>
      <w:r>
        <w:rPr>
          <w:b/>
          <w:sz w:val="22"/>
        </w:rPr>
        <w:t xml:space="preserve">  </w:t>
      </w:r>
      <w:r>
        <w:rPr>
          <w:sz w:val="22"/>
        </w:rPr>
        <w:t>No server roundtrip: sending documents to a scrubbing API would itself be a PHI transmission, requiring its own BAA and creating a network dependency.</w:t>
      </w:r>
    </w:p>
    <w:p>
      <w:pPr>
        <w:pStyle w:val="ListBullet"/>
      </w:pPr>
      <w:r>
        <w:rPr>
          <w:b/>
          <w:sz w:val="22"/>
        </w:rPr>
        <w:t xml:space="preserve">  </w:t>
      </w:r>
      <w:r>
        <w:rPr>
          <w:sz w:val="22"/>
        </w:rPr>
        <w:t>No data exposure: the scrubber runs in the same browser sandbox as the document; data never crosses a process boundary or a network interface.</w:t>
      </w:r>
    </w:p>
    <w:p>
      <w:pPr>
        <w:pStyle w:val="ListBullet"/>
      </w:pPr>
      <w:r>
        <w:rPr>
          <w:b/>
          <w:sz w:val="22"/>
        </w:rPr>
        <w:t xml:space="preserve">  </w:t>
      </w:r>
      <w:r>
        <w:rPr>
          <w:sz w:val="22"/>
        </w:rPr>
        <w:t>Offline operation: the scrubber works without internet, which is important for clinicians in facilities with restricted network access.</w:t>
      </w:r>
    </w:p>
    <w:p>
      <w:r>
        <w:rPr>
          <w:sz w:val="22"/>
        </w:rPr>
        <w:t>Why Local RAG</w:t>
      </w:r>
    </w:p>
    <w:p>
      <w:pPr>
        <w:pStyle w:val="ListBullet"/>
      </w:pPr>
      <w:r>
        <w:rPr>
          <w:b/>
          <w:sz w:val="22"/>
        </w:rPr>
        <w:t xml:space="preserve">  </w:t>
      </w:r>
      <w:r>
        <w:rPr>
          <w:sz w:val="22"/>
        </w:rPr>
        <w:t>Prior evaluations are PHI: a clinician's archive of completed reports contains patient names, diagnoses, and psychosocial history. Uploading this corpus to a cloud vector database is a PHI transmission.</w:t>
      </w:r>
    </w:p>
    <w:p>
      <w:pPr>
        <w:pStyle w:val="ListBullet"/>
      </w:pPr>
      <w:r>
        <w:rPr>
          <w:b/>
          <w:sz w:val="22"/>
        </w:rPr>
        <w:t xml:space="preserve">  </w:t>
      </w:r>
      <w:r>
        <w:rPr>
          <w:sz w:val="22"/>
        </w:rPr>
        <w:t>Indexing happens once locally: transformers.js embeds documents in the background; the index is reused across sessions.</w:t>
      </w:r>
    </w:p>
    <w:p>
      <w:pPr>
        <w:pStyle w:val="ListBullet"/>
      </w:pPr>
      <w:r>
        <w:rPr>
          <w:b/>
          <w:sz w:val="22"/>
        </w:rPr>
        <w:t xml:space="preserve">  </w:t>
      </w:r>
      <w:r>
        <w:rPr>
          <w:sz w:val="22"/>
        </w:rPr>
        <w:t>Query privacy: the questions the clinician asks the RAG system may themselves reveal clinical context. Local retrieval keeps these private.</w:t>
      </w:r>
    </w:p>
    <w:p>
      <w:r>
        <w:rPr>
          <w:sz w:val="22"/>
        </w:rPr>
        <w:t>Why Anthropic Claude</w:t>
      </w:r>
    </w:p>
    <w:p>
      <w:pPr>
        <w:pStyle w:val="ListBullet"/>
      </w:pPr>
      <w:r>
        <w:rPr>
          <w:b/>
          <w:sz w:val="22"/>
        </w:rPr>
        <w:t xml:space="preserve">  </w:t>
      </w:r>
      <w:r>
        <w:rPr>
          <w:sz w:val="22"/>
        </w:rPr>
        <w:t>Instruction-following quality: structured clinical writing requires precise adherence to formatting rules, heading structures, and citation styles. Claude Sonnet consistently outperforms alternatives on multi-constraint generation tasks.</w:t>
      </w:r>
    </w:p>
    <w:p>
      <w:pPr>
        <w:pStyle w:val="ListBullet"/>
      </w:pPr>
      <w:r>
        <w:rPr>
          <w:b/>
          <w:sz w:val="22"/>
        </w:rPr>
        <w:t xml:space="preserve">  </w:t>
      </w:r>
      <w:r>
        <w:rPr>
          <w:sz w:val="22"/>
        </w:rPr>
        <w:t>Long context: the 200k token context window accommodates full evaluation packets without chunking the source for the LLM.</w:t>
      </w:r>
    </w:p>
    <w:p>
      <w:pPr>
        <w:pStyle w:val="ListBullet"/>
      </w:pPr>
      <w:r>
        <w:rPr>
          <w:b/>
          <w:sz w:val="22"/>
        </w:rPr>
        <w:t xml:space="preserve">  </w:t>
      </w:r>
      <w:r>
        <w:rPr>
          <w:sz w:val="22"/>
        </w:rPr>
        <w:t>BAA availability: Anthropic offers a Business Associate Agreement for clinical use cases.</w:t>
      </w:r>
    </w:p>
    <w:p>
      <w:pPr>
        <w:pStyle w:val="ListBullet"/>
      </w:pPr>
      <w:r>
        <w:rPr>
          <w:b/>
          <w:sz w:val="22"/>
        </w:rPr>
        <w:t xml:space="preserve">  </w:t>
      </w:r>
      <w:r>
        <w:rPr>
          <w:sz w:val="22"/>
        </w:rPr>
        <w:t>GPT-4o retained as fallback: OpenAI provides equivalent BAA coverage and serves as a drop-in fallback if Anthropic experiences downtime.</w:t>
      </w:r>
    </w:p>
    <w:p>
      <w:r>
        <w:rPr>
          <w:sz w:val="22"/>
        </w:rPr>
        <w:t>Why React + Vite Over Next.js</w:t>
      </w:r>
    </w:p>
    <w:p>
      <w:pPr>
        <w:pStyle w:val="ListBullet"/>
      </w:pPr>
      <w:r>
        <w:rPr>
          <w:b/>
          <w:sz w:val="22"/>
        </w:rPr>
        <w:t xml:space="preserve">  </w:t>
      </w:r>
      <w:r>
        <w:rPr>
          <w:sz w:val="22"/>
        </w:rPr>
        <w:t>Static output: the app is a client-side SPA with no server-side rendering requirement. Vite produces a lean static bundle with no Node.js runtime dependency on the host.</w:t>
      </w:r>
    </w:p>
    <w:p>
      <w:pPr>
        <w:pStyle w:val="ListBullet"/>
      </w:pPr>
      <w:r>
        <w:rPr>
          <w:b/>
          <w:sz w:val="22"/>
        </w:rPr>
        <w:t xml:space="preserve">  </w:t>
      </w:r>
      <w:r>
        <w:rPr>
          <w:sz w:val="22"/>
        </w:rPr>
        <w:t>WASM compatibility: Vite's rollup-based build handles WASM imports cleanly. Next.js server components add complexity to WASM module loading in a browser-only context.</w:t>
      </w:r>
    </w:p>
    <w:p>
      <w:r>
        <w:rPr>
          <w:sz w:val="22"/>
        </w:rPr>
        <w:t>Why TipTap Over a Custom Editor</w:t>
      </w:r>
    </w:p>
    <w:p>
      <w:pPr>
        <w:pStyle w:val="ListBullet"/>
      </w:pPr>
      <w:r>
        <w:rPr>
          <w:b/>
          <w:sz w:val="22"/>
        </w:rPr>
        <w:t xml:space="preserve">  </w:t>
      </w:r>
      <w:r>
        <w:rPr>
          <w:sz w:val="22"/>
        </w:rPr>
        <w:t>Built on ProseMirror: industry-proven document model with rich extension ecosystem.</w:t>
      </w:r>
    </w:p>
    <w:p>
      <w:pPr>
        <w:pStyle w:val="ListBullet"/>
      </w:pPr>
      <w:r>
        <w:rPr>
          <w:b/>
          <w:sz w:val="22"/>
        </w:rPr>
        <w:t xml:space="preserve">  </w:t>
      </w:r>
      <w:r>
        <w:rPr>
          <w:sz w:val="22"/>
        </w:rPr>
        <w:t>Collaborative editing ready: if multi-user editing is added in a future version, TipTap's Hocuspocus integration provides it.</w:t>
      </w:r>
    </w:p>
    <w:p>
      <w:pPr>
        <w:pStyle w:val="ListBullet"/>
      </w:pPr>
      <w:r>
        <w:rPr>
          <w:b/>
          <w:sz w:val="22"/>
        </w:rPr>
        <w:t xml:space="preserve">  </w:t>
      </w:r>
      <w:r>
        <w:rPr>
          <w:sz w:val="22"/>
        </w:rPr>
        <w:t>Active maintenance and commercial support available.</w:t>
      </w:r>
    </w:p>
    <w:p>
      <w:r>
        <w:rPr>
          <w:sz w:val="22"/>
        </w:rPr>
        <w:t>Appendix A: Key Dependencies</w:t>
      </w:r>
    </w:p>
    <w:p>
      <w:r>
        <w:rPr>
          <w:sz w:val="22"/>
        </w:rPr>
        <w:t>Appendix B: Glossary</w:t>
      </w:r>
    </w:p>
    <w:p>
      <w:r>
        <w:rPr>
          <w:sz w:val="22"/>
        </w:rPr>
        <w:t>Forensai Architecture Specification  |  CONFIDENTIAL  |  Do not distribute outside the development team  |  All PHI handling governed by HIPAA and applicable state law</w:t>
      </w:r>
    </w:p>
    <w:p>
      <w:r>
        <w:rPr>
          <w:color w:val="CCCCCC"/>
          <w:sz w:val="16"/>
        </w:rPr>
        <w:t>________________________________________________________________________</w:t>
      </w:r>
    </w:p>
    <w:p>
      <w:r>
        <w:rPr>
          <w:color w:val="17A589"/>
          <w:sz w:val="18"/>
        </w:rPr>
        <w:t>forensai.com</w:t>
      </w:r>
    </w:p>
    <w:p>
      <w:pPr>
        <w:spacing w:before="400" w:after="0"/>
      </w:pPr>
    </w:p>
    <w:p>
      <w:pPr>
        <w:spacing w:before="0" w:after="40"/>
      </w:pPr>
      <w:r>
        <w:rPr>
          <w:b/>
          <w:color w:val="17A589"/>
          <w:sz w:val="18"/>
        </w:rPr>
        <w:t>SECTION A</w:t>
      </w:r>
    </w:p>
    <w:p>
      <w:pPr>
        <w:spacing w:before="0" w:after="120"/>
      </w:pPr>
      <w:r>
        <w:rPr>
          <w:b/>
          <w:color w:val="0D3B5C"/>
          <w:sz w:val="44"/>
        </w:rPr>
        <w:t>Legal Hardening Architecture</w:t>
      </w:r>
    </w:p>
    <w:p>
      <w:pPr>
        <w:spacing w:before="0" w:after="80"/>
      </w:pPr>
      <w:r>
        <w:rPr>
          <w:color w:val="CCCCCC"/>
          <w:sz w:val="16"/>
        </w:rPr>
        <w:t>________________________________________________________________________</w:t>
      </w:r>
    </w:p>
    <w:p>
      <w:pPr>
        <w:spacing w:before="0" w:after="100"/>
      </w:pPr>
      <w:r>
        <w:rPr>
          <w:sz w:val="22"/>
        </w:rPr>
        <w:t>Forensai reports are submitted to courts, licensing boards, and legal proceedings. Every sentence is subject to cross-examination. The system is designed from the ground up to produce reports that are defensible under adversarial scrutiny. Legal defensibility is not a review step added at the end. It is a property of the entire pipeline.</w:t>
      </w:r>
    </w:p>
    <w:p>
      <w:pPr>
        <w:spacing w:before="240" w:after="60"/>
      </w:pPr>
      <w:r>
        <w:rPr>
          <w:b/>
          <w:sz w:val="22"/>
        </w:rPr>
        <w:t>1. Source Traceability</w:t>
      </w:r>
    </w:p>
    <w:p>
      <w:pPr>
        <w:spacing w:before="0" w:after="100"/>
      </w:pPr>
      <w:r>
        <w:rPr>
          <w:sz w:val="22"/>
        </w:rPr>
        <w:t>Every clinical assertion in a final report links to a specific source data point. No statement enters the report without a traceable origin in the underlying data.</w:t>
      </w:r>
    </w:p>
    <w:p>
      <w:pPr>
        <w:pStyle w:val="ListBullet"/>
        <w:spacing w:before="0" w:after="60"/>
      </w:pPr>
      <w:r>
        <w:rPr>
          <w:sz w:val="22"/>
        </w:rPr>
        <w:t>The system maintains a citation graph mapping each claim to its source data point, to the test or instrument that produced it, and to the administrator notes recorded at the time.</w:t>
      </w:r>
    </w:p>
    <w:p>
      <w:pPr>
        <w:pStyle w:val="ListBullet"/>
        <w:spacing w:before="0" w:after="60"/>
      </w:pPr>
      <w:r>
        <w:rPr>
          <w:sz w:val="22"/>
        </w:rPr>
        <w:t>A statement such as 'the patient demonstrates impaired executive function' requires a linked T-score or documented behavioral observation. The link is stored in the report metadata and is auditable on demand.</w:t>
      </w:r>
    </w:p>
    <w:p>
      <w:pPr>
        <w:pStyle w:val="ListBullet"/>
        <w:spacing w:before="0" w:after="60"/>
      </w:pPr>
      <w:r>
        <w:rPr>
          <w:sz w:val="22"/>
        </w:rPr>
        <w:t>The Writer Agent cannot generate unsupported assertions. When the data packet contains no source that supports a claim, the agent flags the gap and holds the sentence for doctor resolution. It does not invent supporting evidence.</w:t>
      </w:r>
    </w:p>
    <w:p>
      <w:pPr>
        <w:spacing w:before="240" w:after="60"/>
      </w:pPr>
      <w:r>
        <w:rPr>
          <w:b/>
          <w:sz w:val="22"/>
        </w:rPr>
        <w:t>2. Diagnostic Citation Requirements</w:t>
      </w:r>
    </w:p>
    <w:p>
      <w:pPr>
        <w:spacing w:before="0" w:after="100"/>
      </w:pPr>
      <w:r>
        <w:rPr>
          <w:sz w:val="22"/>
        </w:rPr>
        <w:t>Every diagnosis in the report references the specific DSM-5-TR criteria met, cited inline with the criterion letter and number. Vague diagnostic language that cannot be traced to explicit criteria is blocked.</w:t>
      </w:r>
    </w:p>
    <w:p>
      <w:pPr>
        <w:pStyle w:val="ListBullet"/>
        <w:spacing w:before="0" w:after="60"/>
      </w:pPr>
      <w:r>
        <w:rPr>
          <w:sz w:val="22"/>
        </w:rPr>
        <w:t>Criterion citations appear inline within the diagnostic section, for example: 'Criterion A1, A3, and B2 of DSM-5-TR 296.89 are met based on the following data.'</w:t>
      </w:r>
    </w:p>
    <w:p>
      <w:pPr>
        <w:pStyle w:val="ListBullet"/>
        <w:spacing w:before="0" w:after="60"/>
      </w:pPr>
      <w:r>
        <w:rPr>
          <w:sz w:val="22"/>
        </w:rPr>
        <w:t>Differential diagnoses are documented with explicit written rationale for ruling each condition in or out. The rationale references the data, not the clinician's general impression.</w:t>
      </w:r>
    </w:p>
    <w:p>
      <w:pPr>
        <w:pStyle w:val="ListBullet"/>
        <w:spacing w:before="0" w:after="60"/>
      </w:pPr>
      <w:r>
        <w:rPr>
          <w:sz w:val="22"/>
        </w:rPr>
        <w:t>The system flags when the available data supports a diagnosis, a rule-out, or only a provisional diagnosis. These three categories carry distinct language requirements and different levels of certainty.</w:t>
      </w:r>
    </w:p>
    <w:p>
      <w:pPr>
        <w:pStyle w:val="ListBullet"/>
        <w:spacing w:before="0" w:after="60"/>
      </w:pPr>
      <w:r>
        <w:rPr>
          <w:sz w:val="22"/>
        </w:rPr>
        <w:t>ICD-10-CM codes are required fields. The export pipeline blocks finalization if any diagnosis is missing a corresponding ICD-10-CM code.</w:t>
      </w:r>
    </w:p>
    <w:p>
      <w:pPr>
        <w:spacing w:before="240" w:after="60"/>
      </w:pPr>
      <w:r>
        <w:rPr>
          <w:b/>
          <w:sz w:val="22"/>
        </w:rPr>
        <w:t>3. Language Defensibility Engine</w:t>
      </w:r>
    </w:p>
    <w:p>
      <w:pPr>
        <w:spacing w:before="0" w:after="100"/>
      </w:pPr>
      <w:r>
        <w:rPr>
          <w:sz w:val="22"/>
        </w:rPr>
        <w:t>The Legal Reviewer Agent reads every sentence of the draft report as a hostile attorney would. It identifies language patterns that create legal exposure and flags each one with a specific remediation option.</w:t>
      </w:r>
    </w:p>
    <w:p>
      <w:pPr>
        <w:spacing w:before="0" w:after="100"/>
      </w:pPr>
      <w:r>
        <w:rPr>
          <w:sz w:val="22"/>
        </w:rPr>
        <w:t>The following language categories are subject to automatic flagging:</w:t>
      </w:r>
    </w:p>
    <w:p>
      <w:pPr>
        <w:pStyle w:val="ListBullet"/>
        <w:spacing w:before="0" w:after="60"/>
      </w:pPr>
      <w:r>
        <w:rPr>
          <w:b/>
          <w:sz w:val="22"/>
        </w:rPr>
        <w:t xml:space="preserve">Unsupported hedging: </w:t>
      </w:r>
      <w:r>
        <w:rPr>
          <w:sz w:val="22"/>
        </w:rPr>
        <w:t>Hedge language that implies uncertainty without clinical justification -- phrases such as 'appears to,' 'may suggest,' and 'seems consistent with' -- is flagged unless the uncertainty is explicitly documented in the source data and the hedging is intentional.</w:t>
      </w:r>
    </w:p>
    <w:p>
      <w:pPr>
        <w:pStyle w:val="ListBullet"/>
        <w:spacing w:before="0" w:after="60"/>
      </w:pPr>
      <w:r>
        <w:rPr>
          <w:b/>
          <w:sz w:val="22"/>
        </w:rPr>
        <w:t xml:space="preserve">Overreach language: </w:t>
      </w:r>
      <w:r>
        <w:rPr>
          <w:sz w:val="22"/>
        </w:rPr>
        <w:t>Absolute language used without sufficient evidentiary support -- 'definitively,' 'certainly,' 'conclusively' -- is flagged for review.</w:t>
      </w:r>
    </w:p>
    <w:p>
      <w:pPr>
        <w:pStyle w:val="ListBullet"/>
        <w:spacing w:before="0" w:after="60"/>
      </w:pPr>
      <w:r>
        <w:rPr>
          <w:b/>
          <w:sz w:val="22"/>
        </w:rPr>
        <w:t xml:space="preserve">Unsupported causation: </w:t>
      </w:r>
      <w:r>
        <w:rPr>
          <w:sz w:val="22"/>
        </w:rPr>
        <w:t>Causal claims that lack supporting evidence in the data record, such as 'the abuse caused the symptom presentation,' are flagged as unsupported causal assertions.</w:t>
      </w:r>
    </w:p>
    <w:p>
      <w:pPr>
        <w:pStyle w:val="ListBullet"/>
        <w:spacing w:before="0" w:after="60"/>
      </w:pPr>
      <w:r>
        <w:rPr>
          <w:b/>
          <w:sz w:val="22"/>
        </w:rPr>
        <w:t xml:space="preserve">Actuarial predictions: </w:t>
      </w:r>
      <w:r>
        <w:rPr>
          <w:sz w:val="22"/>
        </w:rPr>
        <w:t>Speculative future predictions, such as 'will likely reoffend,' are flagged unless the statement is directly supported by a validated actuarial risk instrument with its score and normative sample cited.</w:t>
      </w:r>
    </w:p>
    <w:p>
      <w:pPr>
        <w:spacing w:before="0" w:after="100"/>
      </w:pPr>
      <w:r>
        <w:rPr>
          <w:sz w:val="22"/>
        </w:rPr>
        <w:t>Each flag produces a category label, the specific sentence or phrase at issue, and a suggested remediation. The agent does not rewrite the text. The doctor resolves each flag.</w:t>
      </w:r>
    </w:p>
    <w:p>
      <w:pPr>
        <w:spacing w:before="240" w:after="60"/>
      </w:pPr>
      <w:r>
        <w:rPr>
          <w:b/>
          <w:sz w:val="22"/>
        </w:rPr>
        <w:t>4. Immutable Audit Trail</w:t>
      </w:r>
    </w:p>
    <w:p>
      <w:pPr>
        <w:spacing w:before="0" w:after="100"/>
      </w:pPr>
      <w:r>
        <w:rPr>
          <w:sz w:val="22"/>
        </w:rPr>
        <w:t>The audit trail is the system's primary defense against the claim that the AI, rather than the licensed clinician, authored the report. Every action taken on every document is logged in an append-only record.</w:t>
      </w:r>
    </w:p>
    <w:p>
      <w:pPr>
        <w:pStyle w:val="ListBullet"/>
        <w:spacing w:before="0" w:after="60"/>
      </w:pPr>
      <w:r>
        <w:rPr>
          <w:sz w:val="22"/>
        </w:rPr>
        <w:t>Every document ingested into the system receives a SHA-256 hash recorded at intake. Chain of custody is logged from first import through final export.</w:t>
      </w:r>
    </w:p>
    <w:p>
      <w:pPr>
        <w:pStyle w:val="ListBullet"/>
        <w:spacing w:before="0" w:after="60"/>
      </w:pPr>
      <w:r>
        <w:rPr>
          <w:sz w:val="22"/>
        </w:rPr>
        <w:t>Every AI suggestion is logged with a timestamp, the agent ID, the model version used, and a hash of the prompt that produced the output.</w:t>
      </w:r>
    </w:p>
    <w:p>
      <w:pPr>
        <w:pStyle w:val="ListBullet"/>
        <w:spacing w:before="0" w:after="60"/>
      </w:pPr>
      <w:r>
        <w:rPr>
          <w:sz w:val="22"/>
        </w:rPr>
        <w:t>Every human edit is logged with a timestamp, the user ID of the clinician, and a record of what changed.</w:t>
      </w:r>
    </w:p>
    <w:p>
      <w:pPr>
        <w:pStyle w:val="ListBullet"/>
        <w:spacing w:before="0" w:after="60"/>
      </w:pPr>
      <w:r>
        <w:rPr>
          <w:sz w:val="22"/>
        </w:rPr>
        <w:t>Every approval gate is logged with the doctor's ID, a timestamp, and the full attestation text accepted at that gate.</w:t>
      </w:r>
    </w:p>
    <w:p>
      <w:pPr>
        <w:pStyle w:val="ListBullet"/>
        <w:spacing w:before="0" w:after="60"/>
      </w:pPr>
      <w:r>
        <w:rPr>
          <w:sz w:val="22"/>
        </w:rPr>
        <w:t>The audit log is append-only and tamper-evident. Each log entry includes a hash of the preceding entry, forming a chain that detects any retroactive modification.</w:t>
      </w:r>
    </w:p>
    <w:p>
      <w:pPr>
        <w:pStyle w:val="ListBullet"/>
        <w:spacing w:before="0" w:after="60"/>
      </w:pPr>
      <w:r>
        <w:rPr>
          <w:sz w:val="22"/>
        </w:rPr>
        <w:t>On export, a separate audit report is available that displays the complete chronological history of the document from intake to finalization.</w:t>
      </w:r>
    </w:p>
    <w:p>
      <w:pPr>
        <w:spacing w:before="240" w:after="60"/>
      </w:pPr>
      <w:r>
        <w:rPr>
          <w:b/>
          <w:sz w:val="22"/>
        </w:rPr>
        <w:t>5. Version Control and Diff Tracking</w:t>
      </w:r>
    </w:p>
    <w:p>
      <w:pPr>
        <w:spacing w:before="0" w:after="100"/>
      </w:pPr>
      <w:r>
        <w:rPr>
          <w:sz w:val="22"/>
        </w:rPr>
        <w:t>Every save operation creates a version snapshot. No prior state of the document is overwritten. Diffs between versions are stored and viewable within the application.</w:t>
      </w:r>
    </w:p>
    <w:p>
      <w:pPr>
        <w:pStyle w:val="ListBullet"/>
        <w:spacing w:before="0" w:after="60"/>
      </w:pPr>
      <w:r>
        <w:rPr>
          <w:sz w:val="22"/>
        </w:rPr>
        <w:t>The doctor can restore any prior version at any point before export.</w:t>
      </w:r>
    </w:p>
    <w:p>
      <w:pPr>
        <w:pStyle w:val="ListBullet"/>
        <w:spacing w:before="0" w:after="60"/>
      </w:pPr>
      <w:r>
        <w:rPr>
          <w:sz w:val="22"/>
        </w:rPr>
        <w:t>On export, the version number and finalization date are embedded in the document metadata.</w:t>
      </w:r>
    </w:p>
    <w:p>
      <w:pPr>
        <w:pStyle w:val="ListBullet"/>
        <w:spacing w:before="0" w:after="60"/>
      </w:pPr>
      <w:r>
        <w:rPr>
          <w:sz w:val="22"/>
        </w:rPr>
        <w:t>If the report is modified after a prior export, the version number increments and the change is logged in the audit trail.</w:t>
      </w:r>
    </w:p>
    <w:p>
      <w:pPr>
        <w:spacing w:before="240" w:after="60"/>
      </w:pPr>
      <w:r>
        <w:rPr>
          <w:b/>
          <w:sz w:val="22"/>
        </w:rPr>
        <w:t>6. Export Legal Standards</w:t>
      </w:r>
    </w:p>
    <w:p>
      <w:pPr>
        <w:spacing w:before="0" w:after="100"/>
      </w:pPr>
      <w:r>
        <w:rPr>
          <w:sz w:val="22"/>
        </w:rPr>
        <w:t>Reports leave the system only when they meet a defined set of legal and administrative standards. The export pipeline enforces these requirements automatically.</w:t>
      </w:r>
    </w:p>
    <w:p>
      <w:pPr>
        <w:pStyle w:val="ListBullet"/>
        <w:spacing w:before="0" w:after="60"/>
      </w:pPr>
      <w:r>
        <w:rPr>
          <w:sz w:val="22"/>
        </w:rPr>
        <w:t>Exported reports carry embedded metadata: author name, export date, document version, and Forensai version number.</w:t>
      </w:r>
    </w:p>
    <w:p>
      <w:pPr>
        <w:pStyle w:val="ListBullet"/>
        <w:spacing w:before="0" w:after="60"/>
      </w:pPr>
      <w:r>
        <w:rPr>
          <w:sz w:val="22"/>
        </w:rPr>
        <w:t>A digital signature block with the following attestation language is required at the bottom of every exported report: 'I attest that I have reviewed, edited, and approve the contents of this report. AI assistance was used in drafting under my direct supervision.'</w:t>
      </w:r>
    </w:p>
    <w:p>
      <w:pPr>
        <w:pStyle w:val="ListBullet"/>
        <w:spacing w:before="0" w:after="60"/>
      </w:pPr>
      <w:r>
        <w:rPr>
          <w:sz w:val="22"/>
        </w:rPr>
        <w:t>Export requires explicit doctor sign-off at the final approval gate. The system does not produce a finalized export without this confirmation.</w:t>
      </w:r>
    </w:p>
    <w:p>
      <w:pPr>
        <w:pStyle w:val="ListBullet"/>
        <w:spacing w:before="0" w:after="60"/>
      </w:pPr>
      <w:r>
        <w:rPr>
          <w:sz w:val="22"/>
        </w:rPr>
        <w:t>Unapproved drafts carry a watermark: 'DRAFT - NOT FOR DISTRIBUTION.' The watermark is removed only after the approval gate is cleared.</w:t>
      </w:r>
    </w:p>
    <w:p>
      <w:pPr>
        <w:spacing w:before="400" w:after="0"/>
      </w:pPr>
    </w:p>
    <w:p>
      <w:pPr>
        <w:spacing w:before="0" w:after="40"/>
      </w:pPr>
      <w:r>
        <w:rPr>
          <w:b/>
          <w:color w:val="17A589"/>
          <w:sz w:val="18"/>
        </w:rPr>
        <w:t>SECTION B</w:t>
      </w:r>
    </w:p>
    <w:p>
      <w:pPr>
        <w:spacing w:before="0" w:after="120"/>
      </w:pPr>
      <w:r>
        <w:rPr>
          <w:b/>
          <w:color w:val="0D3B5C"/>
          <w:sz w:val="44"/>
        </w:rPr>
        <w:t>Multi-Agent System Architecture</w:t>
      </w:r>
    </w:p>
    <w:p>
      <w:pPr>
        <w:spacing w:before="0" w:after="80"/>
      </w:pPr>
      <w:r>
        <w:rPr>
          <w:color w:val="CCCCCC"/>
          <w:sz w:val="16"/>
        </w:rPr>
        <w:t>________________________________________________________________________</w:t>
      </w:r>
    </w:p>
    <w:p>
      <w:pPr>
        <w:spacing w:before="0" w:after="100"/>
      </w:pPr>
      <w:r>
        <w:rPr>
          <w:sz w:val="22"/>
        </w:rPr>
        <w:t>Each major step in the evaluation workflow is handled by a dedicated AI agent. Agents do not share state directly. They communicate only through the Orchestrator. No agent can override another agent's output. Each agent has a defined identity, a bounded mandate, and hard guardrails that cannot be overridden by any other agent or by the Orchestrator.</w:t>
      </w:r>
    </w:p>
    <w:p>
      <w:pPr>
        <w:spacing w:before="0" w:after="100"/>
      </w:pPr>
      <w:r>
        <w:rPr>
          <w:sz w:val="22"/>
        </w:rPr>
        <w:t>Doctor approval gates are built into the workflow at four checkpoints. If any agent raises a hard stop flag, the workflow pauses and the doctor is notified before the process resumes.</w:t>
      </w:r>
    </w:p>
    <w:p>
      <w:pPr>
        <w:spacing w:before="240" w:after="60"/>
      </w:pPr>
      <w:r>
        <w:rPr>
          <w:b/>
          <w:sz w:val="22"/>
        </w:rPr>
        <w:t>Agent 1: The Orchestrator</w:t>
      </w:r>
    </w:p>
    <w:p>
      <w:r>
        <w:rPr>
          <w:b/>
          <w:sz w:val="22"/>
        </w:rPr>
        <w:t xml:space="preserve">Soul: </w:t>
      </w:r>
      <w:r>
        <w:rPr>
          <w:sz w:val="22"/>
        </w:rPr>
        <w:t>Workflow coordinator. Moves the evaluation through stages. Has no clinical opinions.</w:t>
      </w:r>
    </w:p>
    <w:p>
      <w:r>
        <w:rPr>
          <w:b/>
          <w:sz w:val="22"/>
        </w:rPr>
        <w:t xml:space="preserve">Mandate: </w:t>
      </w:r>
      <w:r>
        <w:rPr>
          <w:sz w:val="22"/>
        </w:rPr>
        <w:t>Manages stage transitions, routes work to domain agents, enforces approval gates, and maintains the master job state for the active evaluation.</w:t>
      </w:r>
    </w:p>
    <w:p>
      <w:r>
        <w:rPr>
          <w:b/>
          <w:sz w:val="22"/>
        </w:rPr>
        <w:t xml:space="preserve">Guardrails: </w:t>
      </w:r>
      <w:r>
        <w:rPr>
          <w:sz w:val="22"/>
        </w:rPr>
        <w:t>Cannot generate clinical content. Cannot approve or reject diagnostic conclusions. Cannot modify report text. Can only advance, pause, or return a stage.</w:t>
      </w:r>
    </w:p>
    <w:p>
      <w:r>
        <w:rPr>
          <w:b/>
          <w:sz w:val="22"/>
        </w:rPr>
        <w:t xml:space="preserve">Inputs: </w:t>
      </w:r>
      <w:r>
        <w:rPr>
          <w:sz w:val="22"/>
        </w:rPr>
        <w:t>Stage completion signals from domain agents, doctor approvals.</w:t>
      </w:r>
    </w:p>
    <w:p>
      <w:r>
        <w:rPr>
          <w:b/>
          <w:sz w:val="22"/>
        </w:rPr>
        <w:t xml:space="preserve">Outputs: </w:t>
      </w:r>
      <w:r>
        <w:rPr>
          <w:sz w:val="22"/>
        </w:rPr>
        <w:t>Stage transitions, status updates, alerts.</w:t>
      </w:r>
    </w:p>
    <w:p>
      <w:pPr>
        <w:spacing w:before="240" w:after="60"/>
      </w:pPr>
      <w:r>
        <w:rPr>
          <w:b/>
          <w:sz w:val="22"/>
        </w:rPr>
        <w:t>Agent 2: The Ingestor</w:t>
      </w:r>
    </w:p>
    <w:p>
      <w:r>
        <w:rPr>
          <w:b/>
          <w:sz w:val="22"/>
        </w:rPr>
        <w:t xml:space="preserve">Soul: </w:t>
      </w:r>
      <w:r>
        <w:rPr>
          <w:sz w:val="22"/>
        </w:rPr>
        <w:t>Data intake specialist. Precise, methodical, no interpretation.</w:t>
      </w:r>
    </w:p>
    <w:p>
      <w:r>
        <w:rPr>
          <w:b/>
          <w:sz w:val="22"/>
        </w:rPr>
        <w:t xml:space="preserve">Mandate: </w:t>
      </w:r>
      <w:r>
        <w:rPr>
          <w:sz w:val="22"/>
        </w:rPr>
        <w:t>Accepts raw documents including test results, records, referral letters, and Zoom transcripts. Runs PII detection. Normalizes and structures data. Outputs a clean, de-identified data packet.</w:t>
      </w:r>
    </w:p>
    <w:p>
      <w:r>
        <w:rPr>
          <w:b/>
          <w:sz w:val="22"/>
        </w:rPr>
        <w:t xml:space="preserve">Guardrails: </w:t>
      </w:r>
      <w:r>
        <w:rPr>
          <w:sz w:val="22"/>
        </w:rPr>
        <w:t>Cannot interpret data. Cannot make clinical inferences. Cannot generate prose. If PII detection confidence falls below the configured threshold, the agent flags the document for human review before proceeding. Must reject documents it cannot parse rather than guess at their contents.</w:t>
      </w:r>
    </w:p>
    <w:p>
      <w:r>
        <w:rPr>
          <w:b/>
          <w:sz w:val="22"/>
        </w:rPr>
        <w:t xml:space="preserve">Inputs: </w:t>
      </w:r>
      <w:r>
        <w:rPr>
          <w:sz w:val="22"/>
        </w:rPr>
        <w:t>Raw files from doctor.</w:t>
      </w:r>
    </w:p>
    <w:p>
      <w:r>
        <w:rPr>
          <w:b/>
          <w:sz w:val="22"/>
        </w:rPr>
        <w:t xml:space="preserve">Outputs: </w:t>
      </w:r>
      <w:r>
        <w:rPr>
          <w:sz w:val="22"/>
        </w:rPr>
        <w:t>Structured, de-identified data packet with field-level provenance.</w:t>
      </w:r>
    </w:p>
    <w:p>
      <w:pPr>
        <w:spacing w:before="240" w:after="60"/>
      </w:pPr>
      <w:r>
        <w:rPr>
          <w:b/>
          <w:sz w:val="22"/>
        </w:rPr>
        <w:t>Agent 3: The Test Data Analyst</w:t>
      </w:r>
    </w:p>
    <w:p>
      <w:r>
        <w:rPr>
          <w:b/>
          <w:sz w:val="22"/>
        </w:rPr>
        <w:t xml:space="preserve">Soul: </w:t>
      </w:r>
      <w:r>
        <w:rPr>
          <w:sz w:val="22"/>
        </w:rPr>
        <w:t>Psychometrician. Speaks in scores, percentiles, and confidence intervals. No clinical speculation.</w:t>
      </w:r>
    </w:p>
    <w:p>
      <w:r>
        <w:rPr>
          <w:b/>
          <w:sz w:val="22"/>
        </w:rPr>
        <w:t xml:space="preserve">Mandate: </w:t>
      </w:r>
      <w:r>
        <w:rPr>
          <w:sz w:val="22"/>
        </w:rPr>
        <w:t>Receives the structured data packet. Interprets all psychometric scores: converts raw scores, applies norms, calculates confidence intervals, identifies score patterns, and flags outliers and validity concerns such as elevated MMPI validity scales suggesting response distortion.</w:t>
      </w:r>
    </w:p>
    <w:p>
      <w:r>
        <w:rPr>
          <w:b/>
          <w:sz w:val="22"/>
        </w:rPr>
        <w:t xml:space="preserve">Guardrails: </w:t>
      </w:r>
      <w:r>
        <w:rPr>
          <w:sz w:val="22"/>
        </w:rPr>
        <w:t>Cannot make DSM diagnoses. Cannot recommend treatment. Cannot generate narrative prose beyond technical score descriptions. Must cite the specific normative sample used for every interpretation. Must flag any score that falls outside the validated age or demographic range for its normative sample.</w:t>
      </w:r>
    </w:p>
    <w:p>
      <w:r>
        <w:rPr>
          <w:b/>
          <w:sz w:val="22"/>
        </w:rPr>
        <w:t xml:space="preserve">Inputs: </w:t>
      </w:r>
      <w:r>
        <w:rPr>
          <w:sz w:val="22"/>
        </w:rPr>
        <w:t>Structured data packet from Ingestor.</w:t>
      </w:r>
    </w:p>
    <w:p>
      <w:r>
        <w:rPr>
          <w:b/>
          <w:sz w:val="22"/>
        </w:rPr>
        <w:t xml:space="preserve">Outputs: </w:t>
      </w:r>
      <w:r>
        <w:rPr>
          <w:sz w:val="22"/>
        </w:rPr>
        <w:t>Psychometric summary table, score interpretation notes, and validity flags.</w:t>
      </w:r>
    </w:p>
    <w:p>
      <w:pPr>
        <w:spacing w:before="240" w:after="60"/>
      </w:pPr>
      <w:r>
        <w:rPr>
          <w:b/>
          <w:sz w:val="22"/>
        </w:rPr>
        <w:t>Agent 4: The Diagnostician</w:t>
      </w:r>
    </w:p>
    <w:p>
      <w:r>
        <w:rPr>
          <w:b/>
          <w:sz w:val="22"/>
        </w:rPr>
        <w:t xml:space="preserve">Soul: </w:t>
      </w:r>
      <w:r>
        <w:rPr>
          <w:sz w:val="22"/>
        </w:rPr>
        <w:t>Careful, conservative clinician. Does not overreach. Never diagnoses on insufficient data.</w:t>
      </w:r>
    </w:p>
    <w:p>
      <w:r>
        <w:rPr>
          <w:b/>
          <w:sz w:val="22"/>
        </w:rPr>
        <w:t xml:space="preserve">Mandate: </w:t>
      </w:r>
      <w:r>
        <w:rPr>
          <w:sz w:val="22"/>
        </w:rPr>
        <w:t>Maps test analyst output and clinical observations to DSM-5-TR criteria. Formulates preliminary diagnostic impressions with explicit criterion-by-criterion analysis. Produces a differential diagnosis with documented rationale for each condition included or excluded.</w:t>
      </w:r>
    </w:p>
    <w:p>
      <w:r>
        <w:rPr>
          <w:b/>
          <w:sz w:val="22"/>
        </w:rPr>
        <w:t xml:space="preserve">Guardrails: </w:t>
      </w:r>
      <w:r>
        <w:rPr>
          <w:sz w:val="22"/>
        </w:rPr>
        <w:t>Cannot generate report prose. Cannot override a doctor's diagnosis. Must cite specific DSM-5-TR criteria for every diagnostic impression. Must document criteria that are NOT met as well as those that are. Must flag any diagnosis unsupported by two or more independent data sources. Cannot diagnose from a single test result alone.</w:t>
      </w:r>
    </w:p>
    <w:p>
      <w:r>
        <w:rPr>
          <w:b/>
          <w:sz w:val="22"/>
        </w:rPr>
        <w:t xml:space="preserve">Inputs: </w:t>
      </w:r>
      <w:r>
        <w:rPr>
          <w:sz w:val="22"/>
        </w:rPr>
        <w:t>Psychometric summary, clinical observations, and interview notes.</w:t>
      </w:r>
    </w:p>
    <w:p>
      <w:r>
        <w:rPr>
          <w:b/>
          <w:sz w:val="22"/>
        </w:rPr>
        <w:t xml:space="preserve">Outputs: </w:t>
      </w:r>
      <w:r>
        <w:rPr>
          <w:sz w:val="22"/>
        </w:rPr>
        <w:t>Diagnostic impression memo with full DSM-5-TR criterion mapping and differential diagnosis with rationale.</w:t>
      </w:r>
    </w:p>
    <w:p>
      <w:pPr>
        <w:spacing w:before="240" w:after="60"/>
      </w:pPr>
      <w:r>
        <w:rPr>
          <w:b/>
          <w:sz w:val="22"/>
        </w:rPr>
        <w:t>Agent 5: The Writer</w:t>
      </w:r>
    </w:p>
    <w:p>
      <w:r>
        <w:rPr>
          <w:b/>
          <w:sz w:val="22"/>
        </w:rPr>
        <w:t xml:space="preserve">Soul: </w:t>
      </w:r>
      <w:r>
        <w:rPr>
          <w:sz w:val="22"/>
        </w:rPr>
        <w:t>Precise, clear clinical writer. Serves the doctor's voice, not its own.</w:t>
      </w:r>
    </w:p>
    <w:p>
      <w:r>
        <w:rPr>
          <w:b/>
          <w:sz w:val="22"/>
        </w:rPr>
        <w:t xml:space="preserve">Mandate: </w:t>
      </w:r>
      <w:r>
        <w:rPr>
          <w:sz w:val="22"/>
        </w:rPr>
        <w:t>Assembles the evaluation report from structured inputs. Uses the doctor's RAG examples for voice matching. Enforces writing style guide rules. Generates section by section with streaming output. Every assertion links to source data in the citation graph.</w:t>
      </w:r>
    </w:p>
    <w:p>
      <w:r>
        <w:rPr>
          <w:b/>
          <w:sz w:val="22"/>
        </w:rPr>
        <w:t xml:space="preserve">Guardrails: </w:t>
      </w:r>
      <w:r>
        <w:rPr>
          <w:sz w:val="22"/>
        </w:rPr>
        <w:t>Cannot introduce clinical content not present in the inputs. Cannot modify diagnostic conclusions. Cannot soften or amplify findings beyond what the data supports. Must flag any sentence it generates that lacks a traceable source citation. Cannot trigger export. Produces drafts only.</w:t>
      </w:r>
    </w:p>
    <w:p>
      <w:r>
        <w:rPr>
          <w:b/>
          <w:sz w:val="22"/>
        </w:rPr>
        <w:t xml:space="preserve">Inputs: </w:t>
      </w:r>
      <w:r>
        <w:rPr>
          <w:sz w:val="22"/>
        </w:rPr>
        <w:t>Diagnostic memo, psychometric summary, clinical notes, doctor's RAG examples, and writing style guide.</w:t>
      </w:r>
    </w:p>
    <w:p>
      <w:r>
        <w:rPr>
          <w:b/>
          <w:sz w:val="22"/>
        </w:rPr>
        <w:t xml:space="preserve">Outputs: </w:t>
      </w:r>
      <w:r>
        <w:rPr>
          <w:sz w:val="22"/>
        </w:rPr>
        <w:t>Draft report sections with inline source citations.</w:t>
      </w:r>
    </w:p>
    <w:p>
      <w:pPr>
        <w:spacing w:before="240" w:after="60"/>
      </w:pPr>
      <w:r>
        <w:rPr>
          <w:b/>
          <w:sz w:val="22"/>
        </w:rPr>
        <w:t>Agent 6: The Legal Reviewer</w:t>
      </w:r>
    </w:p>
    <w:p>
      <w:r>
        <w:rPr>
          <w:b/>
          <w:sz w:val="22"/>
        </w:rPr>
        <w:t xml:space="preserve">Soul: </w:t>
      </w:r>
      <w:r>
        <w:rPr>
          <w:sz w:val="22"/>
        </w:rPr>
        <w:t>Adversarial reader. Reads every sentence as a hostile lawyer would.</w:t>
      </w:r>
    </w:p>
    <w:p>
      <w:r>
        <w:rPr>
          <w:b/>
          <w:sz w:val="22"/>
        </w:rPr>
        <w:t xml:space="preserve">Mandate: </w:t>
      </w:r>
      <w:r>
        <w:rPr>
          <w:sz w:val="22"/>
        </w:rPr>
        <w:t>Reviews the draft report for legally vulnerable language. Flags unsupported assertions, problematic hedge language, causal claims without basis, and speculative predictions. Produces a redline report with specific flagged items and remediation options.</w:t>
      </w:r>
    </w:p>
    <w:p>
      <w:r>
        <w:rPr>
          <w:b/>
          <w:sz w:val="22"/>
        </w:rPr>
        <w:t xml:space="preserve">Guardrails: </w:t>
      </w:r>
      <w:r>
        <w:rPr>
          <w:sz w:val="22"/>
        </w:rPr>
        <w:t>Cannot rewrite text. Can only flag and suggest. Cannot make clinical judgments. Cannot approve the report. The agent errs on the side of flagging. False positives are acceptable. False negatives are not.</w:t>
      </w:r>
    </w:p>
    <w:p>
      <w:r>
        <w:rPr>
          <w:b/>
          <w:sz w:val="22"/>
        </w:rPr>
        <w:t xml:space="preserve">Inputs: </w:t>
      </w:r>
      <w:r>
        <w:rPr>
          <w:sz w:val="22"/>
        </w:rPr>
        <w:t>Draft report from Writer.</w:t>
      </w:r>
    </w:p>
    <w:p>
      <w:r>
        <w:rPr>
          <w:b/>
          <w:sz w:val="22"/>
        </w:rPr>
        <w:t xml:space="preserve">Outputs: </w:t>
      </w:r>
      <w:r>
        <w:rPr>
          <w:sz w:val="22"/>
        </w:rPr>
        <w:t>Redline report with flagged items, flag categories, and suggested remediations.</w:t>
      </w:r>
    </w:p>
    <w:p>
      <w:pPr>
        <w:spacing w:before="240" w:after="60"/>
      </w:pPr>
      <w:r>
        <w:rPr>
          <w:b/>
          <w:sz w:val="22"/>
        </w:rPr>
        <w:t>Agent 7: The Editor</w:t>
      </w:r>
    </w:p>
    <w:p>
      <w:r>
        <w:rPr>
          <w:b/>
          <w:sz w:val="22"/>
        </w:rPr>
        <w:t xml:space="preserve">Soul: </w:t>
      </w:r>
      <w:r>
        <w:rPr>
          <w:sz w:val="22"/>
        </w:rPr>
        <w:t>Copy editor with clinical literacy. Serves clarity and the doctor's voice.</w:t>
      </w:r>
    </w:p>
    <w:p>
      <w:r>
        <w:rPr>
          <w:b/>
          <w:sz w:val="22"/>
        </w:rPr>
        <w:t xml:space="preserve">Mandate: </w:t>
      </w:r>
      <w:r>
        <w:rPr>
          <w:sz w:val="22"/>
        </w:rPr>
        <w:t>Applies writing style guide rules. Checks consistency, eliminates redundancy, and improves sentence structure. Does not alter clinical content -- only improves how it reads.</w:t>
      </w:r>
    </w:p>
    <w:p>
      <w:r>
        <w:rPr>
          <w:b/>
          <w:sz w:val="22"/>
        </w:rPr>
        <w:t xml:space="preserve">Guardrails: </w:t>
      </w:r>
      <w:r>
        <w:rPr>
          <w:sz w:val="22"/>
        </w:rPr>
        <w:t>Cannot change clinical conclusions. Cannot add or remove diagnostic content. Cannot override Legal Reviewer flags. Must preserve all source citations. All changes are tracked, not applied silently.</w:t>
      </w:r>
    </w:p>
    <w:p>
      <w:r>
        <w:rPr>
          <w:b/>
          <w:sz w:val="22"/>
        </w:rPr>
        <w:t xml:space="preserve">Inputs: </w:t>
      </w:r>
      <w:r>
        <w:rPr>
          <w:sz w:val="22"/>
        </w:rPr>
        <w:t>Draft report after Legal Reviewer pass.</w:t>
      </w:r>
    </w:p>
    <w:p>
      <w:r>
        <w:rPr>
          <w:b/>
          <w:sz w:val="22"/>
        </w:rPr>
        <w:t xml:space="preserve">Outputs: </w:t>
      </w:r>
      <w:r>
        <w:rPr>
          <w:sz w:val="22"/>
        </w:rPr>
        <w:t>Edited draft with tracked changes.</w:t>
      </w:r>
    </w:p>
    <w:p>
      <w:pPr>
        <w:spacing w:before="240" w:after="60"/>
      </w:pPr>
      <w:r>
        <w:rPr>
          <w:b/>
          <w:sz w:val="22"/>
        </w:rPr>
        <w:t>Agent 8: The Fact Checker</w:t>
      </w:r>
    </w:p>
    <w:p>
      <w:r>
        <w:rPr>
          <w:b/>
          <w:sz w:val="22"/>
        </w:rPr>
        <w:t xml:space="preserve">Soul: </w:t>
      </w:r>
      <w:r>
        <w:rPr>
          <w:sz w:val="22"/>
        </w:rPr>
        <w:t>Skeptic. Trusts nothing it cannot verify.</w:t>
      </w:r>
    </w:p>
    <w:p>
      <w:r>
        <w:rPr>
          <w:b/>
          <w:sz w:val="22"/>
        </w:rPr>
        <w:t xml:space="preserve">Mandate: </w:t>
      </w:r>
      <w:r>
        <w:rPr>
          <w:sz w:val="22"/>
        </w:rPr>
        <w:t>Verifies all factual claims in the report against the source data packet. Checks that every score cited matches the input data. Checks that every DSM-5-TR criterion citation is accurate. Checks that demographic details are internally consistent. Checks that dates are correct throughout the document.</w:t>
      </w:r>
    </w:p>
    <w:p>
      <w:r>
        <w:rPr>
          <w:b/>
          <w:sz w:val="22"/>
        </w:rPr>
        <w:t xml:space="preserve">Guardrails: </w:t>
      </w:r>
      <w:r>
        <w:rPr>
          <w:sz w:val="22"/>
        </w:rPr>
        <w:t>Cannot make editorial judgments. Cannot change text. Can only flag discrepancies. A discrepancy between the report and source data is a hard stop. The report cannot advance to final review until every discrepancy is resolved.</w:t>
      </w:r>
    </w:p>
    <w:p>
      <w:r>
        <w:rPr>
          <w:b/>
          <w:sz w:val="22"/>
        </w:rPr>
        <w:t xml:space="preserve">Inputs: </w:t>
      </w:r>
      <w:r>
        <w:rPr>
          <w:sz w:val="22"/>
        </w:rPr>
        <w:t>Final draft, original source data packet, and DSM-5-TR reference database.</w:t>
      </w:r>
    </w:p>
    <w:p>
      <w:r>
        <w:rPr>
          <w:b/>
          <w:sz w:val="22"/>
        </w:rPr>
        <w:t xml:space="preserve">Outputs: </w:t>
      </w:r>
      <w:r>
        <w:rPr>
          <w:sz w:val="22"/>
        </w:rPr>
        <w:t>Verification report with pass/fail status per section and a list of flagged discrepancies.</w:t>
      </w:r>
    </w:p>
    <w:p>
      <w:pPr>
        <w:spacing w:before="240" w:after="60"/>
      </w:pPr>
      <w:r>
        <w:rPr>
          <w:b/>
          <w:sz w:val="22"/>
        </w:rPr>
        <w:t>Agent Interaction Rules</w:t>
      </w:r>
    </w:p>
    <w:p>
      <w:pPr>
        <w:spacing w:before="0" w:after="100"/>
      </w:pPr>
      <w:r>
        <w:rPr>
          <w:sz w:val="22"/>
        </w:rPr>
        <w:t>The following rules govern all agent behavior and communication across the system:</w:t>
      </w:r>
    </w:p>
    <w:p>
      <w:pPr>
        <w:pStyle w:val="ListBullet"/>
        <w:spacing w:before="0" w:after="60"/>
      </w:pPr>
      <w:r>
        <w:rPr>
          <w:sz w:val="22"/>
        </w:rPr>
        <w:t>Agents communicate through the Orchestrator only. No direct agent-to-agent calls are permitted.</w:t>
      </w:r>
    </w:p>
    <w:p>
      <w:pPr>
        <w:pStyle w:val="ListBullet"/>
        <w:spacing w:before="0" w:after="60"/>
      </w:pPr>
      <w:r>
        <w:rPr>
          <w:sz w:val="22"/>
        </w:rPr>
        <w:t>Each agent receives only the data it needs for its specific task. Least-privilege data access is enforced at the Orchestrator level.</w:t>
      </w:r>
    </w:p>
    <w:p>
      <w:pPr>
        <w:pStyle w:val="ListBullet"/>
        <w:spacing w:before="0" w:after="60"/>
      </w:pPr>
      <w:r>
        <w:rPr>
          <w:sz w:val="22"/>
        </w:rPr>
        <w:t>Each agent logs its full reasoning chain, not just its final output. The reasoning log is part of the audit trail.</w:t>
      </w:r>
    </w:p>
    <w:p>
      <w:pPr>
        <w:pStyle w:val="ListBullet"/>
        <w:spacing w:before="0" w:after="60"/>
      </w:pPr>
      <w:r>
        <w:rPr>
          <w:sz w:val="22"/>
        </w:rPr>
        <w:t>No agent can modify another agent's output directly. An agent can flag another agent's output for review. Only the doctor resolves flags.</w:t>
      </w:r>
    </w:p>
    <w:p>
      <w:pPr>
        <w:pStyle w:val="ListBullet"/>
        <w:spacing w:before="0" w:after="60"/>
      </w:pPr>
      <w:r>
        <w:rPr>
          <w:sz w:val="22"/>
        </w:rPr>
        <w:t>Doctor approval is required at four points: after the Ingestor completes, after the Diagnostician completes, after the Legal Reviewer completes, and before export.</w:t>
      </w:r>
    </w:p>
    <w:p>
      <w:pPr>
        <w:pStyle w:val="ListBullet"/>
        <w:spacing w:before="0" w:after="60"/>
      </w:pPr>
      <w:r>
        <w:rPr>
          <w:sz w:val="22"/>
        </w:rPr>
        <w:t>If any agent raises a hard stop flag, the workflow pauses immediately and the doctor is notified. The workflow does not resume until the doctor takes explicit action.</w:t>
      </w:r>
    </w:p>
    <w:p>
      <w:pPr>
        <w:spacing w:before="0" w:after="80"/>
      </w:pPr>
      <w:r>
        <w:rPr>
          <w:color w:val="CCCCCC"/>
          <w:sz w:val="16"/>
        </w:rPr>
        <w:t>________________________________________________________________________</w:t>
      </w:r>
    </w:p>
    <w:sectPr w:rsidR="00FC693F" w:rsidRPr="0006063C" w:rsidSect="00034616">
      <w:headerReference w:type="default" r:id="rId9"/>
      <w:foot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