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D3B5C"/>
          <w:sz w:val="44"/>
        </w:rPr>
        <w:t>Forensai</w:t>
      </w:r>
    </w:p>
    <w:p>
      <w:pPr>
        <w:spacing w:before="0" w:after="40"/>
        <w:jc w:val="left"/>
      </w:pPr>
      <w:r>
        <w:rPr>
          <w:color w:val="555555"/>
          <w:sz w:val="26"/>
        </w:rPr>
        <w:t>AI Psychological Evaluation Platform</w:t>
      </w:r>
    </w:p>
    <w:p>
      <w:pPr>
        <w:spacing w:before="0" w:after="120"/>
        <w:jc w:val="left"/>
      </w:pPr>
      <w:r>
        <w:rPr>
          <w:color w:val="999999"/>
          <w:sz w:val="18"/>
        </w:rPr>
        <w:t>SBIR Grant Strategy   |   March 2026   |   Confidential</w:t>
      </w:r>
    </w:p>
    <w:p>
      <w:pPr>
        <w:spacing w:before="0" w:after="120"/>
      </w:pPr>
      <w:r>
        <w:rPr>
          <w:color w:val="CCCCCC"/>
          <w:sz w:val="16"/>
        </w:rPr>
        <w:t>________________________________________________________________________</w:t>
      </w:r>
    </w:p>
    <w:p>
      <w:pPr>
        <w:spacing w:before="360" w:after="120"/>
      </w:pPr>
      <w:r>
        <w:rPr>
          <w:b/>
          <w:color w:val="17A589"/>
          <w:sz w:val="18"/>
        </w:rPr>
        <w:t>SBIR PROGRAM OVERVIEW</w:t>
      </w:r>
    </w:p>
    <w:p>
      <w:pPr>
        <w:spacing w:before="0" w:after="200"/>
      </w:pPr>
      <w:r>
        <w:rPr>
          <w:sz w:val="22"/>
        </w:rPr>
        <w:t>SBIR (Small Business Innovation Research) is a federal grant program administered across 11 agencies. Awards are non-dilutive: no equity, no repayment, no revenue share. Phase I awards up to $300K for 6-12 months of feasibility work. Phase II awards up to $2M for 24 months of full development. Phase III provides no direct funding but authorizes sole-source federal contracts without competitive bidding.</w:t>
      </w:r>
    </w:p>
    <w:p>
      <w:pPr>
        <w:spacing w:before="0" w:after="200"/>
      </w:pPr>
      <w:r>
        <w:rPr>
          <w:sz w:val="22"/>
        </w:rPr>
        <w:t>Forensai qualifies as R&amp;D -- not pure software development -- because it develops novel methods for: (1) local NLP-based PII detection in clinical documents, (2) automated DSM-5-TR diagnostic criterion mapping from psychometric data, and (3) AI-generated legally defensible forensic evaluation reports. Each of these is a research problem, not a known engineering solution.</w:t>
      </w:r>
    </w:p>
    <w:p>
      <w:pPr>
        <w:spacing w:before="0" w:after="120"/>
      </w:pPr>
      <w:r>
        <w:rPr>
          <w:color w:val="CCCCCC"/>
          <w:sz w:val="16"/>
        </w:rPr>
        <w:t>________________________________________________________________________</w:t>
      </w:r>
    </w:p>
    <w:p>
      <w:pPr>
        <w:spacing w:before="360" w:after="120"/>
      </w:pPr>
      <w:r>
        <w:rPr>
          <w:b/>
          <w:color w:val="17A589"/>
          <w:sz w:val="18"/>
        </w:rPr>
        <w:t>TARGET GRANT PROGRAMS</w:t>
      </w:r>
    </w:p>
    <w:p>
      <w:pPr>
        <w:spacing w:before="0" w:after="120"/>
      </w:pPr>
      <w:r>
        <w:rPr>
          <w:sz w:val="22"/>
        </w:rPr>
        <w:t>The following programs represent the highest-probability funding opportunities for Forensai. Each entry documents the agency, program number, focus area, relevance, deadline cycle, and award amounts.</w:t>
      </w:r>
    </w:p>
    <w:p>
      <w:pPr>
        <w:spacing w:before="0" w:after="80"/>
      </w:pPr>
      <w:r>
        <w:rPr>
          <w:sz w:val="22"/>
        </w:rPr>
        <w:t>1. NIMH SBIR: PA-23-256</w:t>
      </w:r>
    </w:p>
    <w:p>
      <w:pPr>
        <w:pStyle w:val="ListBullet"/>
        <w:spacing w:before="0" w:after="120"/>
      </w:pPr>
      <w:r>
        <w:rPr>
          <w:b/>
          <w:sz w:val="22"/>
        </w:rPr>
        <w:t xml:space="preserve">Agency: </w:t>
      </w:r>
      <w:r>
        <w:rPr>
          <w:sz w:val="22"/>
        </w:rPr>
        <w:t>National Institute of Mental Health</w:t>
      </w:r>
    </w:p>
    <w:p>
      <w:pPr>
        <w:pStyle w:val="ListBullet"/>
        <w:spacing w:before="0" w:after="120"/>
      </w:pPr>
      <w:r>
        <w:rPr>
          <w:b/>
          <w:sz w:val="22"/>
        </w:rPr>
        <w:t xml:space="preserve">Focus: </w:t>
      </w:r>
      <w:r>
        <w:rPr>
          <w:sz w:val="22"/>
        </w:rPr>
        <w:t>AI tools for mental health assessment, diagnosis, and treatment</w:t>
      </w:r>
    </w:p>
    <w:p>
      <w:pPr>
        <w:pStyle w:val="ListBullet"/>
        <w:spacing w:before="0" w:after="120"/>
      </w:pPr>
      <w:r>
        <w:rPr>
          <w:b/>
          <w:sz w:val="22"/>
        </w:rPr>
        <w:t xml:space="preserve">Relevance: </w:t>
      </w:r>
      <w:r>
        <w:rPr>
          <w:sz w:val="22"/>
        </w:rPr>
        <w:t>DSM-5-TR diagnostic mapping, AI-assisted psychological evaluation, forensic mental health</w:t>
      </w:r>
    </w:p>
    <w:p>
      <w:pPr>
        <w:pStyle w:val="ListBullet"/>
        <w:spacing w:before="0" w:after="120"/>
      </w:pPr>
      <w:r>
        <w:rPr>
          <w:b/>
          <w:sz w:val="22"/>
        </w:rPr>
        <w:t xml:space="preserve">Award: </w:t>
      </w:r>
      <w:r>
        <w:rPr>
          <w:sz w:val="22"/>
        </w:rPr>
        <w:t>Phase I up to $300K; Phase II up to $2M</w:t>
      </w:r>
    </w:p>
    <w:p>
      <w:pPr>
        <w:pStyle w:val="ListBullet"/>
        <w:spacing w:before="0" w:after="120"/>
      </w:pPr>
      <w:r>
        <w:rPr>
          <w:b/>
          <w:sz w:val="22"/>
        </w:rPr>
        <w:t xml:space="preserve">Deadlines: </w:t>
      </w:r>
      <w:r>
        <w:rPr>
          <w:sz w:val="22"/>
        </w:rPr>
        <w:t>Three cycles per year (typically January, April, September)</w:t>
      </w:r>
    </w:p>
    <w:p>
      <w:pPr>
        <w:pStyle w:val="ListBullet"/>
        <w:spacing w:before="0" w:after="120"/>
      </w:pPr>
      <w:r>
        <w:rPr>
          <w:b/>
          <w:sz w:val="22"/>
        </w:rPr>
        <w:t xml:space="preserve">Key angle: </w:t>
      </w:r>
      <w:r>
        <w:rPr>
          <w:sz w:val="22"/>
        </w:rPr>
        <w:t>Developing and validating AI tools that improve the accuracy and efficiency of psychological assessment in forensic and clinical contexts</w:t>
      </w:r>
    </w:p>
    <w:p>
      <w:pPr>
        <w:spacing w:before="0" w:after="80"/>
      </w:pPr>
      <w:r>
        <w:rPr>
          <w:sz w:val="22"/>
        </w:rPr>
        <w:t>2. AHRQ SBIR: PA-21-261</w:t>
      </w:r>
    </w:p>
    <w:p>
      <w:pPr>
        <w:pStyle w:val="ListBullet"/>
        <w:spacing w:before="0" w:after="120"/>
      </w:pPr>
      <w:r>
        <w:rPr>
          <w:b/>
          <w:sz w:val="22"/>
        </w:rPr>
        <w:t xml:space="preserve">Agency: </w:t>
      </w:r>
      <w:r>
        <w:rPr>
          <w:sz w:val="22"/>
        </w:rPr>
        <w:t>Agency for Healthcare Research and Quality</w:t>
      </w:r>
    </w:p>
    <w:p>
      <w:pPr>
        <w:pStyle w:val="ListBullet"/>
        <w:spacing w:before="0" w:after="120"/>
      </w:pPr>
      <w:r>
        <w:rPr>
          <w:b/>
          <w:sz w:val="22"/>
        </w:rPr>
        <w:t xml:space="preserve">Focus: </w:t>
      </w:r>
      <w:r>
        <w:rPr>
          <w:sz w:val="22"/>
        </w:rPr>
        <w:t>Healthcare quality, patient safety, clinical decision support</w:t>
      </w:r>
    </w:p>
    <w:p>
      <w:pPr>
        <w:pStyle w:val="ListBullet"/>
        <w:spacing w:before="0" w:after="120"/>
      </w:pPr>
      <w:r>
        <w:rPr>
          <w:b/>
          <w:sz w:val="22"/>
        </w:rPr>
        <w:t xml:space="preserve">Relevance: </w:t>
      </w:r>
      <w:r>
        <w:rPr>
          <w:sz w:val="22"/>
        </w:rPr>
        <w:t>AI-assisted clinical documentation, reducing documentation burden, improving report quality</w:t>
      </w:r>
    </w:p>
    <w:p>
      <w:pPr>
        <w:pStyle w:val="ListBullet"/>
        <w:spacing w:before="0" w:after="120"/>
      </w:pPr>
      <w:r>
        <w:rPr>
          <w:b/>
          <w:sz w:val="22"/>
        </w:rPr>
        <w:t xml:space="preserve">Award: </w:t>
      </w:r>
      <w:r>
        <w:rPr>
          <w:sz w:val="22"/>
        </w:rPr>
        <w:t>Phase I up to $300K; Phase II up to $2M</w:t>
      </w:r>
    </w:p>
    <w:p>
      <w:pPr>
        <w:pStyle w:val="ListBullet"/>
        <w:spacing w:before="0" w:after="120"/>
      </w:pPr>
      <w:r>
        <w:rPr>
          <w:b/>
          <w:sz w:val="22"/>
        </w:rPr>
        <w:t xml:space="preserve">Key angle: </w:t>
      </w:r>
      <w:r>
        <w:rPr>
          <w:sz w:val="22"/>
        </w:rPr>
        <w:t>AI-powered clinical documentation tools that reduce practitioner burden while maintaining quality and legal defensibility</w:t>
      </w:r>
    </w:p>
    <w:p>
      <w:pPr>
        <w:spacing w:before="0" w:after="80"/>
      </w:pPr>
      <w:r>
        <w:rPr>
          <w:sz w:val="22"/>
        </w:rPr>
        <w:t>3. SAMHSA SBIR (via NIH umbrella)</w:t>
      </w:r>
    </w:p>
    <w:p>
      <w:pPr>
        <w:pStyle w:val="ListBullet"/>
        <w:spacing w:before="0" w:after="120"/>
      </w:pPr>
      <w:r>
        <w:rPr>
          <w:b/>
          <w:sz w:val="22"/>
        </w:rPr>
        <w:t xml:space="preserve">Agency: </w:t>
      </w:r>
      <w:r>
        <w:rPr>
          <w:sz w:val="22"/>
        </w:rPr>
        <w:t>Substance Abuse and Mental Health Services Administration</w:t>
      </w:r>
    </w:p>
    <w:p>
      <w:pPr>
        <w:pStyle w:val="ListBullet"/>
        <w:spacing w:before="0" w:after="120"/>
      </w:pPr>
      <w:r>
        <w:rPr>
          <w:b/>
          <w:sz w:val="22"/>
        </w:rPr>
        <w:t xml:space="preserve">Focus: </w:t>
      </w:r>
      <w:r>
        <w:rPr>
          <w:sz w:val="22"/>
        </w:rPr>
        <w:t>Mental health services in correctional and forensic settings</w:t>
      </w:r>
    </w:p>
    <w:p>
      <w:pPr>
        <w:pStyle w:val="ListBullet"/>
        <w:spacing w:before="0" w:after="120"/>
      </w:pPr>
      <w:r>
        <w:rPr>
          <w:b/>
          <w:sz w:val="22"/>
        </w:rPr>
        <w:t xml:space="preserve">Relevance: </w:t>
      </w:r>
      <w:r>
        <w:rPr>
          <w:sz w:val="22"/>
        </w:rPr>
        <w:t>Forensic psychological evaluation in correctional facilities (BOP, state hospitals)</w:t>
      </w:r>
    </w:p>
    <w:p>
      <w:pPr>
        <w:pStyle w:val="ListBullet"/>
        <w:spacing w:before="0" w:after="120"/>
      </w:pPr>
      <w:r>
        <w:rPr>
          <w:b/>
          <w:sz w:val="22"/>
        </w:rPr>
        <w:t xml:space="preserve">Key angle: </w:t>
      </w:r>
      <w:r>
        <w:rPr>
          <w:sz w:val="22"/>
        </w:rPr>
        <w:t>Technology solutions for forensic mental health evaluation in correctional and institutional settings</w:t>
      </w:r>
    </w:p>
    <w:p>
      <w:pPr>
        <w:spacing w:before="0" w:after="80"/>
      </w:pPr>
      <w:r>
        <w:rPr>
          <w:sz w:val="22"/>
        </w:rPr>
        <w:t>4. NIH NCI SBIR (stretch opportunity)</w:t>
      </w:r>
    </w:p>
    <w:p>
      <w:pPr>
        <w:pStyle w:val="ListBullet"/>
        <w:spacing w:before="0" w:after="120"/>
      </w:pPr>
      <w:r>
        <w:rPr>
          <w:b/>
          <w:sz w:val="22"/>
        </w:rPr>
        <w:t xml:space="preserve">Note: </w:t>
      </w:r>
      <w:r>
        <w:rPr>
          <w:sz w:val="22"/>
        </w:rPr>
        <w:t>Cancer-adjacent neuropsychological assessment tools are sometimes funded here for cognitive impairment evaluation. Less direct, but worth monitoring.</w:t>
      </w:r>
    </w:p>
    <w:p>
      <w:pPr>
        <w:spacing w:before="0" w:after="80"/>
      </w:pPr>
      <w:r>
        <w:rPr>
          <w:sz w:val="22"/>
        </w:rPr>
        <w:t>5. DOJ Bureau of Justice Assistance (BJA) -- non-SBIR, but relevant</w:t>
      </w:r>
    </w:p>
    <w:p>
      <w:pPr>
        <w:pStyle w:val="ListBullet"/>
        <w:spacing w:before="0" w:after="120"/>
      </w:pPr>
      <w:r>
        <w:rPr>
          <w:b/>
          <w:sz w:val="22"/>
        </w:rPr>
        <w:t xml:space="preserve">Programs: </w:t>
      </w:r>
      <w:r>
        <w:rPr>
          <w:sz w:val="22"/>
        </w:rPr>
        <w:t>Smart Prosecution and Forensic Science grant programs</w:t>
      </w:r>
    </w:p>
    <w:p>
      <w:pPr>
        <w:pStyle w:val="ListBullet"/>
        <w:spacing w:before="0" w:after="120"/>
      </w:pPr>
      <w:r>
        <w:rPr>
          <w:b/>
          <w:sz w:val="22"/>
        </w:rPr>
        <w:t xml:space="preserve">Relevance: </w:t>
      </w:r>
      <w:r>
        <w:rPr>
          <w:sz w:val="22"/>
        </w:rPr>
        <w:t>Forensai's court-admissible output and full audit trail align directly with tools improving forensic evidence quality in criminal proceedings</w:t>
      </w:r>
    </w:p>
    <w:p>
      <w:pPr>
        <w:spacing w:before="0" w:after="80"/>
      </w:pPr>
      <w:r>
        <w:rPr>
          <w:sz w:val="22"/>
        </w:rPr>
        <w:t>6. NSF SBIR: Human-Centered Computing Directorate</w:t>
      </w:r>
    </w:p>
    <w:p>
      <w:pPr>
        <w:pStyle w:val="ListBullet"/>
        <w:spacing w:before="0" w:after="120"/>
      </w:pPr>
      <w:r>
        <w:rPr>
          <w:b/>
          <w:sz w:val="22"/>
        </w:rPr>
        <w:t xml:space="preserve">Focus: </w:t>
      </w:r>
      <w:r>
        <w:rPr>
          <w:sz w:val="22"/>
        </w:rPr>
        <w:t>AI systems that augment human decision-making</w:t>
      </w:r>
    </w:p>
    <w:p>
      <w:pPr>
        <w:pStyle w:val="ListBullet"/>
        <w:spacing w:before="0" w:after="120"/>
      </w:pPr>
      <w:r>
        <w:rPr>
          <w:b/>
          <w:sz w:val="22"/>
        </w:rPr>
        <w:t xml:space="preserve">Relevance: </w:t>
      </w:r>
      <w:r>
        <w:rPr>
          <w:sz w:val="22"/>
        </w:rPr>
        <w:t>The human-in-the-loop design (four approval gates, doctor always in control) aligns directly with NSF's human-centered AI priorities</w:t>
      </w:r>
    </w:p>
    <w:p>
      <w:pPr>
        <w:pStyle w:val="ListBullet"/>
        <w:spacing w:before="0" w:after="120"/>
      </w:pPr>
      <w:r>
        <w:rPr>
          <w:b/>
          <w:sz w:val="22"/>
        </w:rPr>
        <w:t xml:space="preserve">Award: </w:t>
      </w:r>
      <w:r>
        <w:rPr>
          <w:sz w:val="22"/>
        </w:rPr>
        <w:t>Phase I up to $275K; Phase II up to $1M (smaller than NIH programs)</w:t>
      </w:r>
    </w:p>
    <w:p>
      <w:pPr>
        <w:spacing w:before="0" w:after="120"/>
      </w:pPr>
      <w:r>
        <w:rPr>
          <w:color w:val="CCCCCC"/>
          <w:sz w:val="16"/>
        </w:rPr>
        <w:t>________________________________________________________________________</w:t>
      </w:r>
    </w:p>
    <w:p>
      <w:pPr>
        <w:spacing w:before="360" w:after="120"/>
      </w:pPr>
      <w:r>
        <w:rPr>
          <w:b/>
          <w:color w:val="17A589"/>
          <w:sz w:val="18"/>
        </w:rPr>
        <w:t>PHASE I APPLICATION STRATEGY</w:t>
      </w:r>
    </w:p>
    <w:p>
      <w:pPr>
        <w:spacing w:before="0" w:after="120"/>
      </w:pPr>
      <w:r>
        <w:rPr>
          <w:sz w:val="22"/>
        </w:rPr>
        <w:t>A Phase I application requires the following components. The framing below is specific to Forensai.</w:t>
      </w:r>
    </w:p>
    <w:p>
      <w:pPr>
        <w:spacing w:before="0" w:after="80"/>
      </w:pPr>
      <w:r>
        <w:rPr>
          <w:sz w:val="22"/>
        </w:rPr>
        <w:t>Specific Aims (1 page -- the most important page in the application):</w:t>
      </w:r>
    </w:p>
    <w:p>
      <w:pPr>
        <w:pStyle w:val="ListBullet"/>
        <w:spacing w:before="0" w:after="120"/>
      </w:pPr>
      <w:r>
        <w:rPr>
          <w:b/>
          <w:sz w:val="22"/>
        </w:rPr>
        <w:t xml:space="preserve">Aim 1: </w:t>
      </w:r>
      <w:r>
        <w:rPr>
          <w:sz w:val="22"/>
        </w:rPr>
        <w:t>Develop and validate a local WASM-based PII detection engine for forensic psychological evaluation documents (sensitivity &gt;98%, specificity &gt;95%)</w:t>
      </w:r>
    </w:p>
    <w:p>
      <w:pPr>
        <w:pStyle w:val="ListBullet"/>
        <w:spacing w:before="0" w:after="120"/>
      </w:pPr>
      <w:r>
        <w:rPr>
          <w:b/>
          <w:sz w:val="22"/>
        </w:rPr>
        <w:t xml:space="preserve">Aim 2: </w:t>
      </w:r>
      <w:r>
        <w:rPr>
          <w:sz w:val="22"/>
        </w:rPr>
        <w:t>Develop and validate an automated DSM-5-TR criterion mapping system that achieves agreement with ABPP-certified forensic psychologist review on &gt;85% of diagnostic impressions</w:t>
      </w:r>
    </w:p>
    <w:p>
      <w:pPr>
        <w:pStyle w:val="ListBullet"/>
        <w:spacing w:before="0" w:after="120"/>
      </w:pPr>
      <w:r>
        <w:rPr>
          <w:b/>
          <w:sz w:val="22"/>
        </w:rPr>
        <w:t xml:space="preserve">Aim 3: </w:t>
      </w:r>
      <w:r>
        <w:rPr>
          <w:sz w:val="22"/>
        </w:rPr>
        <w:t>Conduct a pilot study with 10 ABPP-certified forensic psychologists measuring time savings, report quality, and legal defensibility ratings</w:t>
      </w:r>
    </w:p>
    <w:p>
      <w:pPr>
        <w:spacing w:before="0" w:after="80"/>
      </w:pPr>
      <w:r>
        <w:rPr>
          <w:sz w:val="22"/>
        </w:rPr>
        <w:t>Research Strategy (6 pages for Phase I):</w:t>
      </w:r>
    </w:p>
    <w:p>
      <w:pPr>
        <w:pStyle w:val="ListBullet"/>
        <w:spacing w:before="0" w:after="120"/>
      </w:pPr>
      <w:r>
        <w:rPr>
          <w:b/>
          <w:sz w:val="22"/>
        </w:rPr>
        <w:t xml:space="preserve">Significance: </w:t>
      </w:r>
      <w:r>
        <w:rPr>
          <w:sz w:val="22"/>
        </w:rPr>
        <w:t>Documentation burden on forensic psychologists, legal risk in current workflows, and market gap in forensic-specific AI tooling</w:t>
      </w:r>
    </w:p>
    <w:p>
      <w:pPr>
        <w:pStyle w:val="ListBullet"/>
        <w:spacing w:before="0" w:after="120"/>
      </w:pPr>
      <w:r>
        <w:rPr>
          <w:b/>
          <w:sz w:val="22"/>
        </w:rPr>
        <w:t xml:space="preserve">Innovation: </w:t>
      </w:r>
      <w:r>
        <w:rPr>
          <w:sz w:val="22"/>
        </w:rPr>
        <w:t>Local-first PII architecture, multi-agent legal hardening pipeline, first forensic-specific psychological evaluation platform</w:t>
      </w:r>
    </w:p>
    <w:p>
      <w:pPr>
        <w:pStyle w:val="ListBullet"/>
        <w:spacing w:before="0" w:after="120"/>
      </w:pPr>
      <w:r>
        <w:rPr>
          <w:b/>
          <w:sz w:val="22"/>
        </w:rPr>
        <w:t xml:space="preserve">Approach: </w:t>
      </w:r>
      <w:r>
        <w:rPr>
          <w:sz w:val="22"/>
        </w:rPr>
        <w:t>Development methodology, validation protocol, and pilot study design with power analysis</w:t>
      </w:r>
    </w:p>
    <w:p>
      <w:pPr>
        <w:spacing w:before="0" w:after="200"/>
      </w:pPr>
      <w:r>
        <w:rPr>
          <w:sz w:val="22"/>
        </w:rPr>
        <w:t>Human Subjects: Forensai processes de-identified data only. This is a key differentiator in the application and substantially reduces IRB burden -- a factor that strengthens the feasibility argument for reviewers.</w:t>
      </w:r>
    </w:p>
    <w:p>
      <w:pPr>
        <w:spacing w:before="0" w:after="120"/>
      </w:pPr>
      <w:r>
        <w:rPr>
          <w:color w:val="CCCCCC"/>
          <w:sz w:val="16"/>
        </w:rPr>
        <w:t>________________________________________________________________________</w:t>
      </w:r>
    </w:p>
    <w:p>
      <w:pPr>
        <w:spacing w:before="360" w:after="120"/>
      </w:pPr>
      <w:r>
        <w:rPr>
          <w:b/>
          <w:color w:val="17A589"/>
          <w:sz w:val="18"/>
        </w:rPr>
        <w:t>PHASE I TIMELINE AND MILESTONES</w:t>
      </w:r>
    </w:p>
    <w:p>
      <w:pPr>
        <w:spacing w:before="0" w:after="120"/>
      </w:pPr>
      <w:r>
        <w:rPr>
          <w:sz w:val="22"/>
        </w:rPr>
        <w:t>The following 12-month milestone schedule supports a Phase I NIMH or AHRQ application.</w:t>
      </w:r>
    </w:p>
    <w:p>
      <w:pPr>
        <w:pStyle w:val="ListBullet"/>
        <w:spacing w:before="0" w:after="120"/>
      </w:pPr>
      <w:r>
        <w:rPr>
          <w:b/>
          <w:sz w:val="22"/>
        </w:rPr>
        <w:t xml:space="preserve">Months 1-2: </w:t>
      </w:r>
      <w:r>
        <w:rPr>
          <w:sz w:val="22"/>
        </w:rPr>
        <w:t>Hire clinical research coordinator; establish ABPP advisory panel (minimum 3 board-certified forensic psychologists); finalize PII detection validation protocol</w:t>
      </w:r>
    </w:p>
    <w:p>
      <w:pPr>
        <w:pStyle w:val="ListBullet"/>
        <w:spacing w:before="0" w:after="120"/>
      </w:pPr>
      <w:r>
        <w:rPr>
          <w:b/>
          <w:sz w:val="22"/>
        </w:rPr>
        <w:t xml:space="preserve">Months 3-4: </w:t>
      </w:r>
      <w:r>
        <w:rPr>
          <w:sz w:val="22"/>
        </w:rPr>
        <w:t>PII detection engine development and initial validation testing</w:t>
      </w:r>
    </w:p>
    <w:p>
      <w:pPr>
        <w:pStyle w:val="ListBullet"/>
        <w:spacing w:before="0" w:after="120"/>
      </w:pPr>
      <w:r>
        <w:rPr>
          <w:b/>
          <w:sz w:val="22"/>
        </w:rPr>
        <w:t xml:space="preserve">Months 5-6: </w:t>
      </w:r>
      <w:r>
        <w:rPr>
          <w:sz w:val="22"/>
        </w:rPr>
        <w:t>DSM-5-TR mapping system development and inter-rater reliability testing against ABPP panel</w:t>
      </w:r>
    </w:p>
    <w:p>
      <w:pPr>
        <w:pStyle w:val="ListBullet"/>
        <w:spacing w:before="0" w:after="120"/>
      </w:pPr>
      <w:r>
        <w:rPr>
          <w:b/>
          <w:sz w:val="22"/>
        </w:rPr>
        <w:t xml:space="preserve">Months 7-9: </w:t>
      </w:r>
      <w:r>
        <w:rPr>
          <w:sz w:val="22"/>
        </w:rPr>
        <w:t>Full platform integration; beta deployment to pilot cohort</w:t>
      </w:r>
    </w:p>
    <w:p>
      <w:pPr>
        <w:pStyle w:val="ListBullet"/>
        <w:spacing w:before="0" w:after="120"/>
      </w:pPr>
      <w:r>
        <w:rPr>
          <w:b/>
          <w:sz w:val="22"/>
        </w:rPr>
        <w:t xml:space="preserve">Months 10-11: </w:t>
      </w:r>
      <w:r>
        <w:rPr>
          <w:sz w:val="22"/>
        </w:rPr>
        <w:t>Pilot study with 10 forensic psychologists; data collection</w:t>
      </w:r>
    </w:p>
    <w:p>
      <w:pPr>
        <w:pStyle w:val="ListBullet"/>
        <w:spacing w:before="0" w:after="120"/>
      </w:pPr>
      <w:r>
        <w:rPr>
          <w:b/>
          <w:sz w:val="22"/>
        </w:rPr>
        <w:t xml:space="preserve">Month 12: </w:t>
      </w:r>
      <w:r>
        <w:rPr>
          <w:sz w:val="22"/>
        </w:rPr>
        <w:t>Analysis, manuscript preparation, and Phase II application development</w:t>
      </w:r>
    </w:p>
    <w:p>
      <w:pPr>
        <w:spacing w:before="0" w:after="120"/>
      </w:pPr>
      <w:r>
        <w:rPr>
          <w:color w:val="CCCCCC"/>
          <w:sz w:val="16"/>
        </w:rPr>
        <w:t>________________________________________________________________________</w:t>
      </w:r>
    </w:p>
    <w:p>
      <w:pPr>
        <w:spacing w:before="360" w:after="120"/>
      </w:pPr>
      <w:r>
        <w:rPr>
          <w:b/>
          <w:color w:val="17A589"/>
          <w:sz w:val="18"/>
        </w:rPr>
        <w:t>PHASE II APPLICATION STRATEGY</w:t>
      </w:r>
    </w:p>
    <w:p>
      <w:pPr>
        <w:spacing w:before="0" w:after="120"/>
      </w:pPr>
      <w:r>
        <w:rPr>
          <w:sz w:val="22"/>
        </w:rPr>
        <w:t>Phase II requires demonstrated Phase I feasibility, a commercialization plan, letters of support from potential customers, and evidence of private sector investment interest. Actual investment is not required -- letters of intent count toward this criterion.</w:t>
      </w:r>
    </w:p>
    <w:p>
      <w:pPr>
        <w:spacing w:before="0" w:after="80"/>
      </w:pPr>
      <w:r>
        <w:rPr>
          <w:sz w:val="22"/>
        </w:rPr>
        <w:t>Phase II scope:</w:t>
      </w:r>
    </w:p>
    <w:p>
      <w:pPr>
        <w:pStyle w:val="ListBullet"/>
        <w:spacing w:before="0" w:after="120"/>
      </w:pPr>
      <w:r>
        <w:rPr>
          <w:b/>
          <w:sz w:val="22"/>
        </w:rPr>
        <w:t xml:space="preserve">Full 8-agent system: </w:t>
      </w:r>
      <w:r>
        <w:rPr>
          <w:sz w:val="22"/>
        </w:rPr>
        <w:t>Complete development and validation of the multi-agent evaluation pipeline</w:t>
      </w:r>
    </w:p>
    <w:p>
      <w:pPr>
        <w:pStyle w:val="ListBullet"/>
        <w:spacing w:before="0" w:after="120"/>
      </w:pPr>
      <w:r>
        <w:rPr>
          <w:b/>
          <w:sz w:val="22"/>
        </w:rPr>
        <w:t xml:space="preserve">Multi-site clinical study: </w:t>
      </w:r>
      <w:r>
        <w:rPr>
          <w:sz w:val="22"/>
        </w:rPr>
        <w:t>50+ forensic psychologists, 500+ evaluations across multiple sites</w:t>
      </w:r>
    </w:p>
    <w:p>
      <w:pPr>
        <w:pStyle w:val="ListBullet"/>
        <w:spacing w:before="0" w:after="120"/>
      </w:pPr>
      <w:r>
        <w:rPr>
          <w:b/>
          <w:sz w:val="22"/>
        </w:rPr>
        <w:t xml:space="preserve">SOC 2 Type II preparation: </w:t>
      </w:r>
      <w:r>
        <w:rPr>
          <w:sz w:val="22"/>
        </w:rPr>
        <w:t>Security certification to support enterprise and government contracts</w:t>
      </w:r>
    </w:p>
    <w:p>
      <w:pPr>
        <w:pStyle w:val="ListBullet"/>
        <w:spacing w:before="0" w:after="120"/>
      </w:pPr>
      <w:r>
        <w:rPr>
          <w:b/>
          <w:sz w:val="22"/>
        </w:rPr>
        <w:t xml:space="preserve">EHR integration pilot: </w:t>
      </w:r>
      <w:r>
        <w:rPr>
          <w:sz w:val="22"/>
        </w:rPr>
        <w:t>Proof-of-concept integration with at least one major EHR platform</w:t>
      </w:r>
    </w:p>
    <w:p>
      <w:pPr>
        <w:pStyle w:val="ListBullet"/>
        <w:spacing w:before="0" w:after="120"/>
      </w:pPr>
      <w:r>
        <w:rPr>
          <w:b/>
          <w:sz w:val="22"/>
        </w:rPr>
        <w:t xml:space="preserve">Commercialization milestone: </w:t>
      </w:r>
      <w:r>
        <w:rPr>
          <w:sz w:val="22"/>
        </w:rPr>
        <w:t>First 50 paying customers by end of Phase II</w:t>
      </w:r>
    </w:p>
    <w:p>
      <w:pPr>
        <w:spacing w:before="0" w:after="120"/>
      </w:pPr>
      <w:r>
        <w:rPr>
          <w:color w:val="CCCCCC"/>
          <w:sz w:val="16"/>
        </w:rPr>
        <w:t>________________________________________________________________________</w:t>
      </w:r>
    </w:p>
    <w:p>
      <w:pPr>
        <w:spacing w:before="360" w:after="120"/>
      </w:pPr>
      <w:r>
        <w:rPr>
          <w:b/>
          <w:color w:val="17A589"/>
          <w:sz w:val="18"/>
        </w:rPr>
        <w:t>COMPETITIVE ADVANTAGE IN THE APPLICATION</w:t>
      </w:r>
    </w:p>
    <w:p>
      <w:pPr>
        <w:spacing w:before="0" w:after="120"/>
      </w:pPr>
      <w:r>
        <w:rPr>
          <w:sz w:val="22"/>
        </w:rPr>
        <w:t>Three differentiators make Forensai's application stronger than generic AI health tools competing for the same funding:</w:t>
      </w:r>
    </w:p>
    <w:p>
      <w:pPr>
        <w:pStyle w:val="ListBullet"/>
        <w:spacing w:before="0" w:after="120"/>
      </w:pPr>
      <w:r>
        <w:rPr>
          <w:b/>
          <w:sz w:val="22"/>
        </w:rPr>
        <w:t xml:space="preserve">Local-first PII architecture: </w:t>
      </w:r>
      <w:r>
        <w:rPr>
          <w:sz w:val="22"/>
        </w:rPr>
        <w:t>Eliminates the most common HIPAA objection reviewers raise against cloud-based health AI. No PHI leaves the practitioner's machine.</w:t>
      </w:r>
    </w:p>
    <w:p>
      <w:pPr>
        <w:pStyle w:val="ListBullet"/>
        <w:spacing w:before="0" w:after="120"/>
      </w:pPr>
      <w:r>
        <w:rPr>
          <w:b/>
          <w:sz w:val="22"/>
        </w:rPr>
        <w:t xml:space="preserve">ABPP advisory panel: </w:t>
      </w:r>
      <w:r>
        <w:rPr>
          <w:sz w:val="22"/>
        </w:rPr>
        <w:t>Board-certified forensic psychologists on the team signal clinical credibility and domain expertise that generalist AI companies cannot demonstrate.</w:t>
      </w:r>
    </w:p>
    <w:p>
      <w:pPr>
        <w:pStyle w:val="ListBullet"/>
        <w:spacing w:before="0" w:after="120"/>
      </w:pPr>
      <w:r>
        <w:rPr>
          <w:b/>
          <w:sz w:val="22"/>
        </w:rPr>
        <w:t xml:space="preserve">Clear commercialization pathway: </w:t>
      </w:r>
      <w:r>
        <w:rPr>
          <w:sz w:val="22"/>
        </w:rPr>
        <w:t>200,000 licensed psychologists in the US, a defined ICP, and existing willingness to pay demonstrated by PsychReport.AI and Mentalyc validate the market.</w:t>
      </w:r>
    </w:p>
    <w:p>
      <w:pPr>
        <w:spacing w:before="0" w:after="120"/>
      </w:pPr>
      <w:r>
        <w:rPr>
          <w:color w:val="CCCCCC"/>
          <w:sz w:val="16"/>
        </w:rPr>
        <w:t>________________________________________________________________________</w:t>
      </w:r>
    </w:p>
    <w:p>
      <w:pPr>
        <w:spacing w:before="360" w:after="120"/>
      </w:pPr>
      <w:r>
        <w:rPr>
          <w:b/>
          <w:color w:val="17A589"/>
          <w:sz w:val="18"/>
        </w:rPr>
        <w:t>WHO TO HIRE FOR GRANT WRITING</w:t>
      </w:r>
    </w:p>
    <w:p>
      <w:pPr>
        <w:spacing w:before="0" w:after="120"/>
      </w:pPr>
      <w:r>
        <w:rPr>
          <w:sz w:val="22"/>
        </w:rPr>
        <w:t>Do not write the application yourself. Hire a professional SBIR grant writer with NIH health technology experience. Cost ranges from $15,000 to $40,000 per application. The ROI on a $300K Phase I award makes this decision straightforward.</w:t>
      </w:r>
    </w:p>
    <w:p>
      <w:pPr>
        <w:spacing w:before="0" w:after="80"/>
      </w:pPr>
      <w:r>
        <w:rPr>
          <w:sz w:val="22"/>
        </w:rPr>
        <w:t>Firms to consider:</w:t>
      </w:r>
    </w:p>
    <w:p>
      <w:pPr>
        <w:pStyle w:val="ListBullet"/>
        <w:spacing w:before="0" w:after="120"/>
      </w:pPr>
      <w:r>
        <w:rPr>
          <w:b/>
          <w:sz w:val="22"/>
        </w:rPr>
        <w:t xml:space="preserve">Ripple Effect: </w:t>
      </w:r>
      <w:r>
        <w:rPr>
          <w:sz w:val="22"/>
        </w:rPr>
        <w:t>Rockville, MD -- strong NIH SBIR track record in health technology</w:t>
      </w:r>
    </w:p>
    <w:p>
      <w:pPr>
        <w:pStyle w:val="ListBullet"/>
        <w:spacing w:before="0" w:after="120"/>
      </w:pPr>
      <w:r>
        <w:rPr>
          <w:b/>
          <w:sz w:val="22"/>
        </w:rPr>
        <w:t xml:space="preserve">Magnolia Innovation: </w:t>
      </w:r>
      <w:r>
        <w:rPr>
          <w:sz w:val="22"/>
        </w:rPr>
        <w:t>Boutique SBIR firm with health IT and digital health focus</w:t>
      </w:r>
    </w:p>
    <w:p>
      <w:pPr>
        <w:pStyle w:val="ListBullet"/>
        <w:spacing w:before="0" w:after="120"/>
      </w:pPr>
      <w:r>
        <w:rPr>
          <w:b/>
          <w:sz w:val="22"/>
        </w:rPr>
        <w:t xml:space="preserve">Guidehouse Health: </w:t>
      </w:r>
      <w:r>
        <w:rPr>
          <w:sz w:val="22"/>
        </w:rPr>
        <w:t>Large firm with federal health grant practice</w:t>
      </w:r>
    </w:p>
    <w:p>
      <w:pPr>
        <w:spacing w:before="0" w:after="200"/>
      </w:pPr>
      <w:r>
        <w:rPr>
          <w:sz w:val="22"/>
        </w:rPr>
        <w:t>Alternatively, post on GrantForward or partner with a university technology transfer office. The STTR pathway (Small Business Technology Transfer) requires a university research partner and opens additional funding pools not available under standard SBIR.</w:t>
      </w:r>
    </w:p>
    <w:p>
      <w:pPr>
        <w:spacing w:before="0" w:after="120"/>
      </w:pPr>
      <w:r>
        <w:rPr>
          <w:color w:val="CCCCCC"/>
          <w:sz w:val="16"/>
        </w:rPr>
        <w:t>________________________________________________________________________</w:t>
      </w:r>
    </w:p>
    <w:p>
      <w:pPr>
        <w:spacing w:before="360" w:after="120"/>
      </w:pPr>
      <w:r>
        <w:rPr>
          <w:b/>
          <w:color w:val="17A589"/>
          <w:sz w:val="18"/>
        </w:rPr>
        <w:t>STTR PATHWAY</w:t>
      </w:r>
    </w:p>
    <w:p>
      <w:pPr>
        <w:spacing w:before="0" w:after="120"/>
      </w:pPr>
      <w:r>
        <w:rPr>
          <w:sz w:val="22"/>
        </w:rPr>
        <w:t>STTR differs from SBIR in one critical way: it requires a formal partnership with a university research institution. The university must perform at least 30% of the funded work. In exchange, Forensai gains access to university clinical psychology departments as research partners, enhanced credibility with reviewers, existing IRB infrastructure, and access to patient populations for validation studies.</w:t>
      </w:r>
    </w:p>
    <w:p>
      <w:pPr>
        <w:spacing w:before="0" w:after="80"/>
      </w:pPr>
      <w:r>
        <w:rPr>
          <w:sz w:val="22"/>
        </w:rPr>
        <w:t>Target universities with strong forensic psychology programs:</w:t>
      </w:r>
    </w:p>
    <w:p>
      <w:pPr>
        <w:pStyle w:val="ListBullet"/>
        <w:spacing w:before="0" w:after="120"/>
      </w:pPr>
      <w:r>
        <w:rPr>
          <w:b/>
          <w:sz w:val="22"/>
        </w:rPr>
        <w:t xml:space="preserve">John Jay College of Criminal Justice (CUNY): </w:t>
      </w:r>
      <w:r>
        <w:rPr>
          <w:sz w:val="22"/>
        </w:rPr>
        <w:t>Dedicated forensic psychology department with strong research output and correctional system relationships</w:t>
      </w:r>
    </w:p>
    <w:p>
      <w:pPr>
        <w:pStyle w:val="ListBullet"/>
        <w:spacing w:before="0" w:after="120"/>
      </w:pPr>
      <w:r>
        <w:rPr>
          <w:b/>
          <w:sz w:val="22"/>
        </w:rPr>
        <w:t xml:space="preserve">Sam Houston State University: </w:t>
      </w:r>
      <w:r>
        <w:rPr>
          <w:sz w:val="22"/>
        </w:rPr>
        <w:t>Nationally recognized criminal justice and forensic psychology program</w:t>
      </w:r>
    </w:p>
    <w:p>
      <w:pPr>
        <w:pStyle w:val="ListBullet"/>
        <w:spacing w:before="0" w:after="120"/>
      </w:pPr>
      <w:r>
        <w:rPr>
          <w:b/>
          <w:sz w:val="22"/>
        </w:rPr>
        <w:t xml:space="preserve">Florida International University: </w:t>
      </w:r>
      <w:r>
        <w:rPr>
          <w:sz w:val="22"/>
        </w:rPr>
        <w:t>Active forensic psychology research program with federal grant history</w:t>
      </w:r>
    </w:p>
    <w:p>
      <w:pPr>
        <w:pStyle w:val="ListBullet"/>
        <w:spacing w:before="0" w:after="120"/>
      </w:pPr>
      <w:r>
        <w:rPr>
          <w:b/>
          <w:sz w:val="22"/>
        </w:rPr>
        <w:t xml:space="preserve">University of Nevada Las Vegas: </w:t>
      </w:r>
      <w:r>
        <w:rPr>
          <w:sz w:val="22"/>
        </w:rPr>
        <w:t>Growing forensic psychology program with regional correctional system access</w:t>
      </w:r>
    </w:p>
    <w:p>
      <w:pPr>
        <w:spacing w:before="0" w:after="120"/>
      </w:pPr>
      <w:r>
        <w:rPr>
          <w:color w:val="CCCCCC"/>
          <w:sz w:val="16"/>
        </w:rPr>
        <w:t>________________________________________________________________________</w:t>
      </w:r>
    </w:p>
    <w:p>
      <w:pPr>
        <w:spacing w:before="360" w:after="120"/>
      </w:pPr>
      <w:r>
        <w:rPr>
          <w:b/>
          <w:color w:val="17A589"/>
          <w:sz w:val="18"/>
        </w:rPr>
        <w:t>PARALLEL NON-DILUTIVE FUNDING</w:t>
      </w:r>
    </w:p>
    <w:p>
      <w:pPr>
        <w:spacing w:before="0" w:after="120"/>
      </w:pPr>
      <w:r>
        <w:rPr>
          <w:sz w:val="22"/>
        </w:rPr>
        <w:t>Pursue the following sources simultaneously with SBIR applications. These have shorter cycles, lower competition, and can fund proof-of-concept work that strengthens the Phase I application.</w:t>
      </w:r>
    </w:p>
    <w:p>
      <w:pPr>
        <w:pStyle w:val="ListBullet"/>
        <w:spacing w:before="0" w:after="120"/>
      </w:pPr>
      <w:r>
        <w:rPr>
          <w:b/>
          <w:sz w:val="22"/>
        </w:rPr>
        <w:t xml:space="preserve">American Psychological Foundation (APF): </w:t>
      </w:r>
      <w:r>
        <w:rPr>
          <w:sz w:val="22"/>
        </w:rPr>
        <w:t>Grants up to $50K for psychology-related technology development -- low competition, high relevance</w:t>
      </w:r>
    </w:p>
    <w:p>
      <w:pPr>
        <w:pStyle w:val="ListBullet"/>
        <w:spacing w:before="0" w:after="120"/>
      </w:pPr>
      <w:r>
        <w:rPr>
          <w:b/>
          <w:sz w:val="22"/>
        </w:rPr>
        <w:t xml:space="preserve">Robert Wood Johnson Foundation: </w:t>
      </w:r>
      <w:r>
        <w:rPr>
          <w:sz w:val="22"/>
        </w:rPr>
        <w:t>Health technology grants up to $500K; focus on underserved populations makes forensic and correctional mental health directly relevant</w:t>
      </w:r>
    </w:p>
    <w:p>
      <w:pPr>
        <w:pStyle w:val="ListBullet"/>
        <w:spacing w:before="0" w:after="120"/>
      </w:pPr>
      <w:r>
        <w:rPr>
          <w:b/>
          <w:sz w:val="22"/>
        </w:rPr>
        <w:t xml:space="preserve">Wellcome Trust (US operations): </w:t>
      </w:r>
      <w:r>
        <w:rPr>
          <w:sz w:val="22"/>
        </w:rPr>
        <w:t>Digital health tools for mental health; international credibility for a future commercialization story</w:t>
      </w:r>
    </w:p>
    <w:p>
      <w:pPr>
        <w:pStyle w:val="ListBullet"/>
        <w:spacing w:before="0" w:after="120"/>
      </w:pPr>
      <w:r>
        <w:rPr>
          <w:b/>
          <w:sz w:val="22"/>
        </w:rPr>
        <w:t xml:space="preserve">Arnold Ventures: </w:t>
      </w:r>
      <w:r>
        <w:rPr>
          <w:sz w:val="22"/>
        </w:rPr>
        <w:t>Criminal justice reform technology -- forensic evaluation tools are directly relevant to their portfolio and mission</w:t>
      </w:r>
    </w:p>
    <w:p>
      <w:pPr>
        <w:pStyle w:val="ListBullet"/>
        <w:spacing w:before="0" w:after="120"/>
      </w:pPr>
      <w:r>
        <w:rPr>
          <w:b/>
          <w:sz w:val="22"/>
        </w:rPr>
        <w:t xml:space="preserve">MacArthur Foundation: </w:t>
      </w:r>
      <w:r>
        <w:rPr>
          <w:sz w:val="22"/>
        </w:rPr>
        <w:t>Safety and Justice Challenge -- forensic mental health is a core focus area with active grant cycles</w:t>
      </w:r>
    </w:p>
    <w:p>
      <w:pPr>
        <w:spacing w:before="0" w:after="120"/>
      </w:pPr>
      <w:r>
        <w:rPr>
          <w:color w:val="CCCCCC"/>
          <w:sz w:val="16"/>
        </w:rPr>
        <w:t>________________________________________________________________________</w:t>
      </w:r>
    </w:p>
    <w:p>
      <w:pPr>
        <w:spacing w:before="360" w:after="120"/>
      </w:pPr>
      <w:r>
        <w:rPr>
          <w:b/>
          <w:color w:val="17A589"/>
          <w:sz w:val="18"/>
        </w:rPr>
        <w:t>APPLICATION CALENDAR</w:t>
      </w:r>
    </w:p>
    <w:p>
      <w:pPr>
        <w:spacing w:before="0" w:after="120"/>
      </w:pPr>
      <w:r>
        <w:rPr>
          <w:sz w:val="22"/>
        </w:rPr>
        <w:t>Recommended 12-month action plan starting from grant strategy adoption:</w:t>
      </w:r>
    </w:p>
    <w:p>
      <w:pPr>
        <w:pStyle w:val="ListBullet"/>
        <w:spacing w:before="0" w:after="120"/>
      </w:pPr>
      <w:r>
        <w:rPr>
          <w:b/>
          <w:sz w:val="22"/>
        </w:rPr>
        <w:t xml:space="preserve">Month 1: </w:t>
      </w:r>
      <w:r>
        <w:rPr>
          <w:sz w:val="22"/>
        </w:rPr>
        <w:t>Register on SAM.gov (required for all federal grants), obtain UEI number, and register on SBIR.gov</w:t>
      </w:r>
    </w:p>
    <w:p>
      <w:pPr>
        <w:pStyle w:val="ListBullet"/>
        <w:spacing w:before="0" w:after="120"/>
      </w:pPr>
      <w:r>
        <w:rPr>
          <w:b/>
          <w:sz w:val="22"/>
        </w:rPr>
        <w:t xml:space="preserve">Months 1-2: </w:t>
      </w:r>
      <w:r>
        <w:rPr>
          <w:sz w:val="22"/>
        </w:rPr>
        <w:t>Hire grant writer; identify ABPP advisory panel members; draft Specific Aims page</w:t>
      </w:r>
    </w:p>
    <w:p>
      <w:pPr>
        <w:pStyle w:val="ListBullet"/>
        <w:spacing w:before="0" w:after="120"/>
      </w:pPr>
      <w:r>
        <w:rPr>
          <w:b/>
          <w:sz w:val="22"/>
        </w:rPr>
        <w:t xml:space="preserve">Months 2-3: </w:t>
      </w:r>
      <w:r>
        <w:rPr>
          <w:sz w:val="22"/>
        </w:rPr>
        <w:t>Submit Phase I application to NIMH (next available cycle)</w:t>
      </w:r>
    </w:p>
    <w:p>
      <w:pPr>
        <w:pStyle w:val="ListBullet"/>
        <w:spacing w:before="0" w:after="120"/>
      </w:pPr>
      <w:r>
        <w:rPr>
          <w:b/>
          <w:sz w:val="22"/>
        </w:rPr>
        <w:t xml:space="preserve">Month 3: </w:t>
      </w:r>
      <w:r>
        <w:rPr>
          <w:sz w:val="22"/>
        </w:rPr>
        <w:t>Simultaneously submit to AHRQ cycle</w:t>
      </w:r>
    </w:p>
    <w:p>
      <w:pPr>
        <w:pStyle w:val="ListBullet"/>
        <w:spacing w:before="0" w:after="120"/>
      </w:pPr>
      <w:r>
        <w:rPr>
          <w:b/>
          <w:sz w:val="22"/>
        </w:rPr>
        <w:t xml:space="preserve">Months 4-6: </w:t>
      </w:r>
      <w:r>
        <w:rPr>
          <w:sz w:val="22"/>
        </w:rPr>
        <w:t>If NIMH initial submission is not funded, revise and prepare resubmission. Begin NSF SBIR application in parallel.</w:t>
      </w:r>
    </w:p>
    <w:p>
      <w:pPr>
        <w:pStyle w:val="ListBullet"/>
        <w:spacing w:before="0" w:after="120"/>
      </w:pPr>
      <w:r>
        <w:rPr>
          <w:b/>
          <w:sz w:val="22"/>
        </w:rPr>
        <w:t xml:space="preserve">Month 6: </w:t>
      </w:r>
      <w:r>
        <w:rPr>
          <w:sz w:val="22"/>
        </w:rPr>
        <w:t>Apply to APF and Arnold Ventures (non-federal, shorter review cycles)</w:t>
      </w:r>
    </w:p>
    <w:p>
      <w:pPr>
        <w:pStyle w:val="ListBullet"/>
        <w:spacing w:before="0" w:after="120"/>
      </w:pPr>
      <w:r>
        <w:rPr>
          <w:b/>
          <w:sz w:val="22"/>
        </w:rPr>
        <w:t xml:space="preserve">Month 9: </w:t>
      </w:r>
      <w:r>
        <w:rPr>
          <w:sz w:val="22"/>
        </w:rPr>
        <w:t>NIMH review scores received (study section meets approximately 3 months after submission)</w:t>
      </w:r>
    </w:p>
    <w:p>
      <w:pPr>
        <w:pStyle w:val="ListBullet"/>
        <w:spacing w:before="0" w:after="120"/>
      </w:pPr>
      <w:r>
        <w:rPr>
          <w:b/>
          <w:sz w:val="22"/>
        </w:rPr>
        <w:t xml:space="preserve">Months 10-12: </w:t>
      </w:r>
      <w:r>
        <w:rPr>
          <w:sz w:val="22"/>
        </w:rPr>
        <w:t>If funded, begin Phase I work. If not funded, resubmit with reviewer feedback incorporated. Note: resubmission is allowed once and typically improves score significantly.</w:t>
      </w:r>
    </w:p>
    <w:p>
      <w:pPr>
        <w:spacing w:before="0" w:after="120"/>
      </w:pPr>
      <w:r>
        <w:rPr>
          <w:color w:val="CCCCCC"/>
          <w:sz w:val="16"/>
        </w:rPr>
        <w:t>________________________________________________________________________</w:t>
      </w:r>
    </w:p>
    <w:sectPr w:rsidR="00FC693F" w:rsidRPr="0006063C" w:rsidSect="00034616">
      <w:footerReference w:type="default" r:id="rId9"/>
      <w:head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