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D3B5C"/>
          <w:sz w:val="44"/>
        </w:rPr>
        <w:t>Forensai</w:t>
      </w:r>
    </w:p>
    <w:p>
      <w:pPr>
        <w:spacing w:after="80"/>
      </w:pPr>
      <w:r>
        <w:rPr>
          <w:color w:val="555555"/>
          <w:sz w:val="26"/>
        </w:rPr>
        <w:t>AI Psychological Evaluation Platform</w:t>
      </w:r>
    </w:p>
    <w:p>
      <w:pPr>
        <w:spacing w:after="120"/>
      </w:pPr>
      <w:r>
        <w:rPr>
          <w:color w:val="999999"/>
          <w:sz w:val="18"/>
        </w:rPr>
        <w:t>Project Management Plan   |   March 2026   |   Confidential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PROJECT OVERVIEW</w:t>
      </w:r>
    </w:p>
    <w:p>
      <w:pPr>
        <w:spacing w:after="200"/>
      </w:pPr>
      <w:r>
        <w:rPr>
          <w:sz w:val="22"/>
        </w:rPr>
        <w:t>Forensai is organized into six parallel workstreams: Product Development, Grant and Funding, Business Development, Compliance and Legal, Clinical Advisory, and Marketing and Community. Each workstream has a lead, defined milestones, and a set of active tasks. All workstreams feed into the master Kanban board.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1: PRODUCT DEVELOPMENT</w:t>
      </w:r>
    </w:p>
    <w:p>
      <w:pPr>
        <w:spacing w:before="160" w:after="80"/>
      </w:pPr>
      <w:r>
        <w:rPr>
          <w:b/>
          <w:color w:val="0D3B5C"/>
          <w:sz w:val="22"/>
        </w:rPr>
        <w:t>Phase 0 (Now - Month 2): Foundation</w:t>
      </w:r>
    </w:p>
    <w:p>
      <w:pPr>
        <w:pStyle w:val="ListBullet"/>
        <w:spacing w:after="80"/>
      </w:pPr>
      <w:r>
        <w:rPr>
          <w:b/>
          <w:sz w:val="22"/>
        </w:rPr>
        <w:t xml:space="preserve">Tasks: </w:t>
      </w:r>
      <w:r>
        <w:rPr>
          <w:sz w:val="22"/>
        </w:rPr>
        <w:t>Monorepo setup (Turborepo), core architecture, local PII engine prototype, basic document import, React UI scaffold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CTO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Working PII detection demo</w:t>
      </w:r>
    </w:p>
    <w:p>
      <w:pPr>
        <w:spacing w:before="160" w:after="80"/>
      </w:pPr>
      <w:r>
        <w:rPr>
          <w:b/>
          <w:color w:val="0D3B5C"/>
          <w:sz w:val="22"/>
        </w:rPr>
        <w:t>Phase 1 (Month 2-4): MVP Core Agents</w:t>
      </w:r>
    </w:p>
    <w:p>
      <w:pPr>
        <w:pStyle w:val="ListBullet"/>
        <w:spacing w:after="80"/>
      </w:pPr>
      <w:r>
        <w:rPr>
          <w:b/>
          <w:sz w:val="22"/>
        </w:rPr>
        <w:t xml:space="preserve">Tasks: </w:t>
      </w:r>
      <w:r>
        <w:rPr>
          <w:sz w:val="22"/>
        </w:rPr>
        <w:t>Ingestor agent, Test Data Analyst agent, Writer agent (basic), DSM-5-TR local database, document viewer, export to DOCX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CTO + 1 Senior Engineer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End-to-end evaluation draft from test data input</w:t>
      </w:r>
    </w:p>
    <w:p>
      <w:pPr>
        <w:spacing w:before="160" w:after="80"/>
      </w:pPr>
      <w:r>
        <w:rPr>
          <w:b/>
          <w:color w:val="0D3B5C"/>
          <w:sz w:val="22"/>
        </w:rPr>
        <w:t>Phase 2 (Month 4-6): Full Agent System</w:t>
      </w:r>
    </w:p>
    <w:p>
      <w:pPr>
        <w:pStyle w:val="ListBullet"/>
        <w:spacing w:after="80"/>
      </w:pPr>
      <w:r>
        <w:rPr>
          <w:b/>
          <w:sz w:val="22"/>
        </w:rPr>
        <w:t xml:space="preserve">Tasks: </w:t>
      </w:r>
      <w:r>
        <w:rPr>
          <w:sz w:val="22"/>
        </w:rPr>
        <w:t>Diagnostician agent, Legal Reviewer agent, Editor agent, Fact Checker agent, Orchestrator, approval gates UI, voice notes (Whisper)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Engineering team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Complete 8-agent pipeline, beta-ready</w:t>
      </w:r>
    </w:p>
    <w:p>
      <w:pPr>
        <w:spacing w:before="160" w:after="80"/>
      </w:pPr>
      <w:r>
        <w:rPr>
          <w:b/>
          <w:color w:val="0D3B5C"/>
          <w:sz w:val="22"/>
        </w:rPr>
        <w:t>Phase 3 (Month 6-9): Beta and Hardening</w:t>
      </w:r>
    </w:p>
    <w:p>
      <w:pPr>
        <w:pStyle w:val="ListBullet"/>
        <w:spacing w:after="80"/>
      </w:pPr>
      <w:r>
        <w:rPr>
          <w:b/>
          <w:sz w:val="22"/>
        </w:rPr>
        <w:t xml:space="preserve">Tasks: </w:t>
      </w:r>
      <w:r>
        <w:rPr>
          <w:sz w:val="22"/>
        </w:rPr>
        <w:t>Beta deployment to Founding Forensic Cohort (10-15 psychologists), feedback integration, kanban case management, audit trail, DOCX/PDF export polish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Engineering + Customer Success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10 paying beta customers</w:t>
      </w:r>
    </w:p>
    <w:p>
      <w:pPr>
        <w:spacing w:before="160" w:after="80"/>
      </w:pPr>
      <w:r>
        <w:rPr>
          <w:b/>
          <w:color w:val="0D3B5C"/>
          <w:sz w:val="22"/>
        </w:rPr>
        <w:t>Phase 4 (Month 9-12): Group Practice and Compliance</w:t>
      </w:r>
    </w:p>
    <w:p>
      <w:pPr>
        <w:pStyle w:val="ListBullet"/>
        <w:spacing w:after="80"/>
      </w:pPr>
      <w:r>
        <w:rPr>
          <w:b/>
          <w:sz w:val="22"/>
        </w:rPr>
        <w:t xml:space="preserve">Tasks: </w:t>
      </w:r>
      <w:r>
        <w:rPr>
          <w:sz w:val="22"/>
        </w:rPr>
        <w:t>Multi-user support, group practice tier, SOC 2 Type II audit prep, EHR integration research, RAG system for style matching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Engineering + Compliance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SOC 2 audit initiated, first group practice customer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2: GRANT AND FUNDING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Register SAM.gov, obtain UEI, register SBIR.gov</w:t>
      </w:r>
    </w:p>
    <w:p>
      <w:pPr>
        <w:pStyle w:val="ListBullet"/>
        <w:spacing w:after="80"/>
      </w:pPr>
      <w:r>
        <w:rPr>
          <w:b/>
          <w:sz w:val="22"/>
        </w:rPr>
        <w:t xml:space="preserve">Month 1-2: </w:t>
      </w:r>
      <w:r>
        <w:rPr>
          <w:sz w:val="22"/>
        </w:rPr>
        <w:t>Hire SBIR grant writer, draft Specific Aims page</w:t>
      </w:r>
    </w:p>
    <w:p>
      <w:pPr>
        <w:pStyle w:val="ListBullet"/>
        <w:spacing w:after="80"/>
      </w:pPr>
      <w:r>
        <w:rPr>
          <w:b/>
          <w:sz w:val="22"/>
        </w:rPr>
        <w:t xml:space="preserve">Month 2-3: </w:t>
      </w:r>
      <w:r>
        <w:rPr>
          <w:sz w:val="22"/>
        </w:rPr>
        <w:t>Submit NIMH SBIR Phase I application</w:t>
      </w:r>
    </w:p>
    <w:p>
      <w:pPr>
        <w:pStyle w:val="ListBullet"/>
        <w:spacing w:after="80"/>
      </w:pPr>
      <w:r>
        <w:rPr>
          <w:b/>
          <w:sz w:val="22"/>
        </w:rPr>
        <w:t xml:space="preserve">Month 3: </w:t>
      </w:r>
      <w:r>
        <w:rPr>
          <w:sz w:val="22"/>
        </w:rPr>
        <w:t>Submit AHRQ SBIR application</w:t>
      </w:r>
    </w:p>
    <w:p>
      <w:pPr>
        <w:pStyle w:val="ListBullet"/>
        <w:spacing w:after="80"/>
      </w:pPr>
      <w:r>
        <w:rPr>
          <w:b/>
          <w:sz w:val="22"/>
        </w:rPr>
        <w:t xml:space="preserve">Month 4-6: </w:t>
      </w:r>
      <w:r>
        <w:rPr>
          <w:sz w:val="22"/>
        </w:rPr>
        <w:t>Apply to Arnold Ventures and APF non-federal grants</w:t>
      </w:r>
    </w:p>
    <w:p>
      <w:pPr>
        <w:pStyle w:val="ListBullet"/>
        <w:spacing w:after="80"/>
      </w:pPr>
      <w:r>
        <w:rPr>
          <w:b/>
          <w:sz w:val="22"/>
        </w:rPr>
        <w:t xml:space="preserve">Month 6: </w:t>
      </w:r>
      <w:r>
        <w:rPr>
          <w:sz w:val="22"/>
        </w:rPr>
        <w:t>Apply to NSF SBIR (Human-Centered Computing)</w:t>
      </w:r>
    </w:p>
    <w:p>
      <w:pPr>
        <w:pStyle w:val="ListBullet"/>
        <w:spacing w:after="80"/>
      </w:pPr>
      <w:r>
        <w:rPr>
          <w:b/>
          <w:sz w:val="22"/>
        </w:rPr>
        <w:t xml:space="preserve">Month 9: </w:t>
      </w:r>
      <w:r>
        <w:rPr>
          <w:sz w:val="22"/>
        </w:rPr>
        <w:t>NIMH review scores received, revise and resubmit if needed</w:t>
      </w:r>
    </w:p>
    <w:p>
      <w:pPr>
        <w:pStyle w:val="ListBullet"/>
        <w:spacing w:after="80"/>
      </w:pPr>
      <w:r>
        <w:rPr>
          <w:b/>
          <w:sz w:val="22"/>
        </w:rPr>
        <w:t xml:space="preserve">Month 9-12: </w:t>
      </w:r>
      <w:r>
        <w:rPr>
          <w:sz w:val="22"/>
        </w:rPr>
        <w:t>If funded, begin Phase I research activities</w:t>
      </w:r>
    </w:p>
    <w:p>
      <w:pPr>
        <w:pStyle w:val="ListBullet"/>
        <w:spacing w:after="80"/>
      </w:pPr>
      <w:r>
        <w:rPr>
          <w:b/>
          <w:sz w:val="22"/>
        </w:rPr>
        <w:t xml:space="preserve">Month 18: </w:t>
      </w:r>
      <w:r>
        <w:rPr>
          <w:sz w:val="22"/>
        </w:rPr>
        <w:t>Begin Phase II application development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CEO + Grant Writer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Phase I application submitted, at least one non-federal grant secured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3: BUSINESS DEVELOPMENT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Build Founding Forensic Cohort list (target: 50 ABPP-certified forensic psychologists)</w:t>
      </w:r>
    </w:p>
    <w:p>
      <w:pPr>
        <w:pStyle w:val="ListBullet"/>
        <w:spacing w:after="80"/>
      </w:pPr>
      <w:r>
        <w:rPr>
          <w:b/>
          <w:sz w:val="22"/>
        </w:rPr>
        <w:t xml:space="preserve">Month 1-2: </w:t>
      </w:r>
      <w:r>
        <w:rPr>
          <w:sz w:val="22"/>
        </w:rPr>
        <w:t>Launch outreach via FORENSIC-PSYCH listserv and LinkedIn</w:t>
      </w:r>
    </w:p>
    <w:p>
      <w:pPr>
        <w:pStyle w:val="ListBullet"/>
        <w:spacing w:after="80"/>
      </w:pPr>
      <w:r>
        <w:rPr>
          <w:b/>
          <w:sz w:val="22"/>
        </w:rPr>
        <w:t xml:space="preserve">Month 2-3: </w:t>
      </w:r>
      <w:r>
        <w:rPr>
          <w:sz w:val="22"/>
        </w:rPr>
        <w:t>First 5 beta customers signed</w:t>
      </w:r>
    </w:p>
    <w:p>
      <w:pPr>
        <w:pStyle w:val="ListBullet"/>
        <w:spacing w:after="80"/>
      </w:pPr>
      <w:r>
        <w:rPr>
          <w:b/>
          <w:sz w:val="22"/>
        </w:rPr>
        <w:t xml:space="preserve">Month 3-6: </w:t>
      </w:r>
      <w:r>
        <w:rPr>
          <w:sz w:val="22"/>
        </w:rPr>
        <w:t>Grow to 15 beta customers, begin converting to paid</w:t>
      </w:r>
    </w:p>
    <w:p>
      <w:pPr>
        <w:pStyle w:val="ListBullet"/>
        <w:spacing w:after="80"/>
      </w:pPr>
      <w:r>
        <w:rPr>
          <w:b/>
          <w:sz w:val="22"/>
        </w:rPr>
        <w:t xml:space="preserve">Month 6: </w:t>
      </w:r>
      <w:r>
        <w:rPr>
          <w:sz w:val="22"/>
        </w:rPr>
        <w:t>First paid revenue milestone ($5K MRR)</w:t>
      </w:r>
    </w:p>
    <w:p>
      <w:pPr>
        <w:pStyle w:val="ListBullet"/>
        <w:spacing w:after="80"/>
      </w:pPr>
      <w:r>
        <w:rPr>
          <w:b/>
          <w:sz w:val="22"/>
        </w:rPr>
        <w:t xml:space="preserve">Month 9: </w:t>
      </w:r>
      <w:r>
        <w:rPr>
          <w:sz w:val="22"/>
        </w:rPr>
        <w:t>20-30 paying customers, referral program launched</w:t>
      </w:r>
    </w:p>
    <w:p>
      <w:pPr>
        <w:pStyle w:val="ListBullet"/>
        <w:spacing w:after="80"/>
      </w:pPr>
      <w:r>
        <w:rPr>
          <w:b/>
          <w:sz w:val="22"/>
        </w:rPr>
        <w:t xml:space="preserve">Month 12: </w:t>
      </w:r>
      <w:r>
        <w:rPr>
          <w:sz w:val="22"/>
        </w:rPr>
        <w:t>$25K+ MRR, group practice outreach begins</w:t>
      </w:r>
    </w:p>
    <w:p>
      <w:pPr>
        <w:pStyle w:val="ListBullet"/>
        <w:spacing w:after="80"/>
      </w:pPr>
      <w:r>
        <w:rPr>
          <w:b/>
          <w:sz w:val="22"/>
        </w:rPr>
        <w:t xml:space="preserve">Conference calendar: </w:t>
      </w:r>
      <w:r>
        <w:rPr>
          <w:sz w:val="22"/>
        </w:rPr>
        <w:t>AP-LS Annual Conference (March), APA Annual (August), NAN Annual (October), AFCC Annual (May)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CEO + CRO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10 paying customers by Month 6, $15K MRR by Month 9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4: COMPLIANCE AND LEGAL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Entity formation (Delaware C-Corp recommended for VC path), EIN, bank account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HIPAA risk assessment (45 CFR 164.308), privacy policy, BAA template</w:t>
      </w:r>
    </w:p>
    <w:p>
      <w:pPr>
        <w:pStyle w:val="ListBullet"/>
        <w:spacing w:after="80"/>
      </w:pPr>
      <w:r>
        <w:rPr>
          <w:b/>
          <w:sz w:val="22"/>
        </w:rPr>
        <w:t xml:space="preserve">Month 2: </w:t>
      </w:r>
      <w:r>
        <w:rPr>
          <w:sz w:val="22"/>
        </w:rPr>
        <w:t>Terms of service, data processing agreement</w:t>
      </w:r>
    </w:p>
    <w:p>
      <w:pPr>
        <w:pStyle w:val="ListBullet"/>
        <w:spacing w:after="80"/>
      </w:pPr>
      <w:r>
        <w:rPr>
          <w:b/>
          <w:sz w:val="22"/>
        </w:rPr>
        <w:t xml:space="preserve">Month 3: </w:t>
      </w:r>
      <w:r>
        <w:rPr>
          <w:sz w:val="22"/>
        </w:rPr>
        <w:t>First BAA executed with a customer</w:t>
      </w:r>
    </w:p>
    <w:p>
      <w:pPr>
        <w:pStyle w:val="ListBullet"/>
        <w:spacing w:after="80"/>
      </w:pPr>
      <w:r>
        <w:rPr>
          <w:b/>
          <w:sz w:val="22"/>
        </w:rPr>
        <w:t xml:space="preserve">Month 6: </w:t>
      </w:r>
      <w:r>
        <w:rPr>
          <w:sz w:val="22"/>
        </w:rPr>
        <w:t>SOC 2 Type II readiness assessment</w:t>
      </w:r>
    </w:p>
    <w:p>
      <w:pPr>
        <w:pStyle w:val="ListBullet"/>
        <w:spacing w:after="80"/>
      </w:pPr>
      <w:r>
        <w:rPr>
          <w:b/>
          <w:sz w:val="22"/>
        </w:rPr>
        <w:t xml:space="preserve">Month 9: </w:t>
      </w:r>
      <w:r>
        <w:rPr>
          <w:sz w:val="22"/>
        </w:rPr>
        <w:t>SOC 2 audit firm engaged</w:t>
      </w:r>
    </w:p>
    <w:p>
      <w:pPr>
        <w:pStyle w:val="ListBullet"/>
        <w:spacing w:after="80"/>
      </w:pPr>
      <w:r>
        <w:rPr>
          <w:b/>
          <w:sz w:val="22"/>
        </w:rPr>
        <w:t xml:space="preserve">Month 15-18: </w:t>
      </w:r>
      <w:r>
        <w:rPr>
          <w:sz w:val="22"/>
        </w:rPr>
        <w:t>SOC 2 Type II report issued</w:t>
      </w:r>
    </w:p>
    <w:p>
      <w:pPr>
        <w:pStyle w:val="ListBullet"/>
        <w:spacing w:after="80"/>
      </w:pPr>
      <w:r>
        <w:rPr>
          <w:b/>
          <w:sz w:val="22"/>
        </w:rPr>
        <w:t xml:space="preserve">Month 18+: </w:t>
      </w:r>
      <w:r>
        <w:rPr>
          <w:sz w:val="22"/>
        </w:rPr>
        <w:t>HITRUST CSF gap assessment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COO + Compliance Counsel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HIPAA compliant at launch, SOC 2 Type II by Month 18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5: CLINICAL ADVISORY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Identify and recruit 3 ABPP-certified forensic psychologists as advisors</w:t>
      </w:r>
    </w:p>
    <w:p>
      <w:pPr>
        <w:pStyle w:val="ListBullet"/>
        <w:spacing w:after="80"/>
      </w:pPr>
      <w:r>
        <w:rPr>
          <w:b/>
          <w:sz w:val="22"/>
        </w:rPr>
        <w:t xml:space="preserve">Month 2: </w:t>
      </w:r>
      <w:r>
        <w:rPr>
          <w:sz w:val="22"/>
        </w:rPr>
        <w:t>First advisory board meeting, review product requirements</w:t>
      </w:r>
    </w:p>
    <w:p>
      <w:pPr>
        <w:pStyle w:val="ListBullet"/>
        <w:spacing w:after="80"/>
      </w:pPr>
      <w:r>
        <w:rPr>
          <w:b/>
          <w:sz w:val="22"/>
        </w:rPr>
        <w:t xml:space="preserve">Month 3-4: </w:t>
      </w:r>
      <w:r>
        <w:rPr>
          <w:sz w:val="22"/>
        </w:rPr>
        <w:t>Advisors participate in PII detection validation protocol design</w:t>
      </w:r>
    </w:p>
    <w:p>
      <w:pPr>
        <w:pStyle w:val="ListBullet"/>
        <w:spacing w:after="80"/>
      </w:pPr>
      <w:r>
        <w:rPr>
          <w:b/>
          <w:sz w:val="22"/>
        </w:rPr>
        <w:t xml:space="preserve">Month 5-6: </w:t>
      </w:r>
      <w:r>
        <w:rPr>
          <w:sz w:val="22"/>
        </w:rPr>
        <w:t>Advisors review DSM-5-TR mapping accuracy</w:t>
      </w:r>
    </w:p>
    <w:p>
      <w:pPr>
        <w:pStyle w:val="ListBullet"/>
        <w:spacing w:after="80"/>
      </w:pPr>
      <w:r>
        <w:rPr>
          <w:b/>
          <w:sz w:val="22"/>
        </w:rPr>
        <w:t xml:space="preserve">Month 7-9: </w:t>
      </w:r>
      <w:r>
        <w:rPr>
          <w:sz w:val="22"/>
        </w:rPr>
        <w:t>Advisors lead beta evaluation review</w:t>
      </w:r>
    </w:p>
    <w:p>
      <w:pPr>
        <w:pStyle w:val="ListBullet"/>
        <w:spacing w:after="80"/>
      </w:pPr>
      <w:r>
        <w:rPr>
          <w:b/>
          <w:sz w:val="22"/>
        </w:rPr>
        <w:t xml:space="preserve">Month 12: </w:t>
      </w:r>
      <w:r>
        <w:rPr>
          <w:sz w:val="22"/>
        </w:rPr>
        <w:t>First peer-reviewed manuscript submitted (target: Law and Human Behavior or Psychological Assessment)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Chief Clinical Officer / CEO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Advisory board formed by Month 2, manuscript submitted by Month 12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WORKSTREAM 6: MARKETING AND COMMUNITY</w:t>
      </w:r>
    </w:p>
    <w:p>
      <w:pPr>
        <w:pStyle w:val="ListBullet"/>
        <w:spacing w:after="80"/>
      </w:pPr>
      <w:r>
        <w:rPr>
          <w:b/>
          <w:sz w:val="22"/>
        </w:rPr>
        <w:t xml:space="preserve">Month 1: </w:t>
      </w:r>
      <w:r>
        <w:rPr>
          <w:sz w:val="22"/>
        </w:rPr>
        <w:t>Website live (forensai.com), waitlist capture</w:t>
      </w:r>
    </w:p>
    <w:p>
      <w:pPr>
        <w:pStyle w:val="ListBullet"/>
        <w:spacing w:after="80"/>
      </w:pPr>
      <w:r>
        <w:rPr>
          <w:b/>
          <w:sz w:val="22"/>
        </w:rPr>
        <w:t xml:space="preserve">Month 1-2: </w:t>
      </w:r>
      <w:r>
        <w:rPr>
          <w:sz w:val="22"/>
        </w:rPr>
        <w:t>LinkedIn presence, FORENSIC-PSYCH listserv introduction post</w:t>
      </w:r>
    </w:p>
    <w:p>
      <w:pPr>
        <w:pStyle w:val="ListBullet"/>
        <w:spacing w:after="80"/>
      </w:pPr>
      <w:r>
        <w:rPr>
          <w:b/>
          <w:sz w:val="22"/>
        </w:rPr>
        <w:t xml:space="preserve">Month 2-3: </w:t>
      </w:r>
      <w:r>
        <w:rPr>
          <w:sz w:val="22"/>
        </w:rPr>
        <w:t>Time Audit Calculator tool launched (how many unbillable hours do you spend on reports?)</w:t>
      </w:r>
    </w:p>
    <w:p>
      <w:pPr>
        <w:pStyle w:val="ListBullet"/>
        <w:spacing w:after="80"/>
      </w:pPr>
      <w:r>
        <w:rPr>
          <w:b/>
          <w:sz w:val="22"/>
        </w:rPr>
        <w:t xml:space="preserve">Month 3-6: </w:t>
      </w:r>
      <w:r>
        <w:rPr>
          <w:sz w:val="22"/>
        </w:rPr>
        <w:t>Beta cohort case study content</w:t>
      </w:r>
    </w:p>
    <w:p>
      <w:pPr>
        <w:pStyle w:val="ListBullet"/>
        <w:spacing w:after="80"/>
      </w:pPr>
      <w:r>
        <w:rPr>
          <w:b/>
          <w:sz w:val="22"/>
        </w:rPr>
        <w:t xml:space="preserve">Month 6: </w:t>
      </w:r>
      <w:r>
        <w:rPr>
          <w:sz w:val="22"/>
        </w:rPr>
        <w:t>Conference presence strategy confirmed (AP-LS and NAN)</w:t>
      </w:r>
    </w:p>
    <w:p>
      <w:pPr>
        <w:pStyle w:val="ListBullet"/>
        <w:spacing w:after="80"/>
      </w:pPr>
      <w:r>
        <w:rPr>
          <w:b/>
          <w:sz w:val="22"/>
        </w:rPr>
        <w:t xml:space="preserve">Month 9: </w:t>
      </w:r>
      <w:r>
        <w:rPr>
          <w:sz w:val="22"/>
        </w:rPr>
        <w:t>First customer case study published</w:t>
      </w:r>
    </w:p>
    <w:p>
      <w:pPr>
        <w:pStyle w:val="ListBullet"/>
        <w:spacing w:after="80"/>
      </w:pPr>
      <w:r>
        <w:rPr>
          <w:b/>
          <w:sz w:val="22"/>
        </w:rPr>
        <w:t xml:space="preserve">Month 12: </w:t>
      </w:r>
      <w:r>
        <w:rPr>
          <w:sz w:val="22"/>
        </w:rPr>
        <w:t>Speaking submission for AP-LS Annual Conference 2027</w:t>
      </w:r>
    </w:p>
    <w:p>
      <w:pPr>
        <w:pStyle w:val="ListBullet"/>
        <w:spacing w:after="80"/>
      </w:pPr>
      <w:r>
        <w:rPr>
          <w:b/>
          <w:sz w:val="22"/>
        </w:rPr>
        <w:t xml:space="preserve">Owner: </w:t>
      </w:r>
      <w:r>
        <w:rPr>
          <w:sz w:val="22"/>
        </w:rPr>
        <w:t>CRO + Marketing</w:t>
      </w:r>
    </w:p>
    <w:p>
      <w:pPr>
        <w:pStyle w:val="ListBullet"/>
        <w:spacing w:after="80"/>
      </w:pPr>
      <w:r>
        <w:rPr>
          <w:b/>
          <w:sz w:val="22"/>
        </w:rPr>
        <w:t xml:space="preserve">Milestone: </w:t>
      </w:r>
      <w:r>
        <w:rPr>
          <w:sz w:val="22"/>
        </w:rPr>
        <w:t>500 waitlist signups by Month 3, first case study published by Month 9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MASTER MILESTONE TABLE</w:t>
      </w:r>
    </w:p>
    <w:p>
      <w:pPr>
        <w:spacing w:after="200"/>
      </w:pPr>
      <w:r>
        <w:rPr>
          <w:sz w:val="22"/>
        </w:rPr>
        <w:t>Key milestones by period across all workstreams:</w:t>
      </w:r>
    </w:p>
    <w:p>
      <w:pPr>
        <w:spacing w:after="120"/>
      </w:pPr>
      <w:r>
        <w:rPr>
          <w:b/>
          <w:sz w:val="22"/>
        </w:rPr>
        <w:t xml:space="preserve">Quarter 1 (Months 1-3): </w:t>
      </w:r>
      <w:r>
        <w:rPr>
          <w:sz w:val="22"/>
        </w:rPr>
        <w:t>Foundation complete, PII engine prototype live, SAM.gov registered, SBIR Phase I application submitted, 5 beta users signed</w:t>
      </w:r>
    </w:p>
    <w:p>
      <w:pPr>
        <w:spacing w:after="120"/>
      </w:pPr>
      <w:r>
        <w:rPr>
          <w:b/>
          <w:sz w:val="22"/>
        </w:rPr>
        <w:t xml:space="preserve">Quarter 2 (Months 4-6): </w:t>
      </w:r>
      <w:r>
        <w:rPr>
          <w:sz w:val="22"/>
        </w:rPr>
        <w:t>MVP complete with full agent system, 15 beta users active, first paid revenue ($5K MRR), HIPAA compliant at customer launch</w:t>
      </w:r>
    </w:p>
    <w:p>
      <w:pPr>
        <w:spacing w:after="120"/>
      </w:pPr>
      <w:r>
        <w:rPr>
          <w:b/>
          <w:sz w:val="22"/>
        </w:rPr>
        <w:t xml:space="preserve">Quarter 3 (Months 7-9): </w:t>
      </w:r>
      <w:r>
        <w:rPr>
          <w:sz w:val="22"/>
        </w:rPr>
        <w:t>Full 8-agent pipeline deployed, 25 paying customers, SOC 2 readiness initiated, first NIMH grant score received</w:t>
      </w:r>
    </w:p>
    <w:p>
      <w:pPr>
        <w:spacing w:after="120"/>
      </w:pPr>
      <w:r>
        <w:rPr>
          <w:b/>
          <w:sz w:val="22"/>
        </w:rPr>
        <w:t xml:space="preserve">Quarter 4 (Months 10-12): </w:t>
      </w:r>
      <w:r>
        <w:rPr>
          <w:sz w:val="22"/>
        </w:rPr>
        <w:t>Group practice tier launched, SOC 2 audit firm engaged, 50 customers, $15K MRR, first peer-reviewed manuscript submitted</w:t>
      </w:r>
    </w:p>
    <w:p>
      <w:pPr>
        <w:spacing w:after="120"/>
      </w:pPr>
      <w:r>
        <w:rPr>
          <w:b/>
          <w:sz w:val="22"/>
        </w:rPr>
        <w:t xml:space="preserve">Year 2: </w:t>
      </w:r>
      <w:r>
        <w:rPr>
          <w:sz w:val="22"/>
        </w:rPr>
        <w:t>SOC 2 Type II report issued, $1M ARR pipeline established, seed raise closed, state hospital pilot launched</w:t>
      </w:r>
    </w:p>
    <w:p>
      <w:pPr>
        <w:spacing w:after="120"/>
      </w:pPr>
      <w:r>
        <w:rPr>
          <w:b/>
          <w:sz w:val="22"/>
        </w:rPr>
        <w:t xml:space="preserve">Year 3: </w:t>
      </w:r>
      <w:r>
        <w:rPr>
          <w:sz w:val="22"/>
        </w:rPr>
        <w:t>Series A or strategic raise completed, $3M+ ARR, HITRUST CSF gap assessment initiated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DECISION GATES</w:t>
      </w:r>
    </w:p>
    <w:p>
      <w:pPr>
        <w:spacing w:after="200"/>
      </w:pPr>
      <w:r>
        <w:rPr>
          <w:sz w:val="22"/>
        </w:rPr>
        <w:t>Four explicit go/no-go decisions the leadership team must make at defined checkpoints:</w:t>
      </w:r>
    </w:p>
    <w:p>
      <w:pPr>
        <w:pStyle w:val="ListBullet"/>
        <w:spacing w:after="120"/>
      </w:pPr>
      <w:r>
        <w:rPr>
          <w:b/>
          <w:sz w:val="22"/>
        </w:rPr>
        <w:t xml:space="preserve">Gate 1 (Month 3): </w:t>
      </w:r>
      <w:r>
        <w:rPr>
          <w:sz w:val="22"/>
        </w:rPr>
        <w:t>Is the PII detection engine accurate enough for clinical use? If not, extend Phase 0 before moving to MVP agent development.</w:t>
      </w:r>
    </w:p>
    <w:p>
      <w:pPr>
        <w:pStyle w:val="ListBullet"/>
        <w:spacing w:after="120"/>
      </w:pPr>
      <w:r>
        <w:rPr>
          <w:b/>
          <w:sz w:val="22"/>
        </w:rPr>
        <w:t xml:space="preserve">Gate 2 (Month 6): </w:t>
      </w:r>
      <w:r>
        <w:rPr>
          <w:sz w:val="22"/>
        </w:rPr>
        <w:t>Are beta customers using the product daily? If NPS falls below 40 or DAU drops below 60%, pause new customer acquisition and fix retention before scaling.</w:t>
      </w:r>
    </w:p>
    <w:p>
      <w:pPr>
        <w:pStyle w:val="ListBullet"/>
        <w:spacing w:after="120"/>
      </w:pPr>
      <w:r>
        <w:rPr>
          <w:b/>
          <w:sz w:val="22"/>
        </w:rPr>
        <w:t xml:space="preserve">Gate 3 (Month 9): </w:t>
      </w:r>
      <w:r>
        <w:rPr>
          <w:sz w:val="22"/>
        </w:rPr>
        <w:t>Did we receive a fundable SBIR score (below 30th percentile)? If yes, prioritize resubmission. If no, pivot to angel or strategic raise.</w:t>
      </w:r>
    </w:p>
    <w:p>
      <w:pPr>
        <w:pStyle w:val="ListBullet"/>
        <w:spacing w:after="120"/>
      </w:pPr>
      <w:r>
        <w:rPr>
          <w:b/>
          <w:sz w:val="22"/>
        </w:rPr>
        <w:t xml:space="preserve">Gate 4 (Month 12): </w:t>
      </w:r>
      <w:r>
        <w:rPr>
          <w:sz w:val="22"/>
        </w:rPr>
        <w:t>Is the business on track for $500K ARR in Year 2? If yes, begin Series A preparation. If no, extend runway and focus on unit economics.</w:t>
      </w:r>
    </w:p>
    <w:p>
      <w:pPr>
        <w:spacing w:after="120" w:before="40"/>
      </w:pPr>
      <w:r>
        <w:rPr>
          <w:color w:val="CCCCCC"/>
          <w:sz w:val="16"/>
        </w:rPr>
        <w:t>________________________________________________________________________</w:t>
      </w:r>
    </w:p>
    <w:p>
      <w:pPr>
        <w:spacing w:before="360" w:after="80"/>
      </w:pPr>
      <w:r>
        <w:rPr>
          <w:b/>
          <w:color w:val="17A589"/>
          <w:sz w:val="18"/>
        </w:rPr>
        <w:t>AGENT-ASSISTED DEVELOPMENT MODEL</w:t>
      </w:r>
    </w:p>
    <w:p>
      <w:pPr>
        <w:spacing w:after="200"/>
      </w:pPr>
      <w:r>
        <w:rPr>
          <w:sz w:val="22"/>
        </w:rPr>
        <w:t>Forensai uses AI coding agents to accelerate product development while keeping human engineers in control of quality, security, and clinical accuracy.</w:t>
      </w:r>
    </w:p>
    <w:p>
      <w:pPr>
        <w:pStyle w:val="ListBullet"/>
        <w:spacing w:after="80"/>
      </w:pPr>
      <w:r>
        <w:rPr>
          <w:b/>
          <w:sz w:val="22"/>
        </w:rPr>
        <w:t xml:space="preserve">Implementation: </w:t>
      </w:r>
      <w:r>
        <w:rPr>
          <w:sz w:val="22"/>
        </w:rPr>
        <w:t>Claude Code and Codex handle feature implementation from detailed, human-written specifications</w:t>
      </w:r>
    </w:p>
    <w:p>
      <w:pPr>
        <w:pStyle w:val="ListBullet"/>
        <w:spacing w:after="80"/>
      </w:pPr>
      <w:r>
        <w:rPr>
          <w:b/>
          <w:sz w:val="22"/>
        </w:rPr>
        <w:t xml:space="preserve">Human ownership: </w:t>
      </w:r>
      <w:r>
        <w:rPr>
          <w:sz w:val="22"/>
        </w:rPr>
        <w:t>Engineers own architecture decisions, security-critical code, and clinical logic review</w:t>
      </w:r>
    </w:p>
    <w:p>
      <w:pPr>
        <w:pStyle w:val="ListBullet"/>
        <w:spacing w:after="80"/>
      </w:pPr>
      <w:r>
        <w:rPr>
          <w:b/>
          <w:sz w:val="22"/>
        </w:rPr>
        <w:t xml:space="preserve">Automation: </w:t>
      </w:r>
      <w:r>
        <w:rPr>
          <w:sz w:val="22"/>
        </w:rPr>
        <w:t>Agents run CI/CD checks, write tests, and generate documentation</w:t>
      </w:r>
    </w:p>
    <w:p>
      <w:pPr>
        <w:pStyle w:val="ListBullet"/>
        <w:spacing w:after="80"/>
      </w:pPr>
      <w:r>
        <w:rPr>
          <w:b/>
          <w:sz w:val="22"/>
        </w:rPr>
        <w:t xml:space="preserve">Task queue: </w:t>
      </w:r>
      <w:r>
        <w:rPr>
          <w:sz w:val="22"/>
        </w:rPr>
        <w:t>The development team maintains an agent task queue -- a prioritized backlog of well-specified tasks formatted for agent execution</w:t>
      </w:r>
    </w:p>
    <w:p>
      <w:pPr>
        <w:pStyle w:val="ListBullet"/>
        <w:spacing w:after="80"/>
      </w:pPr>
      <w:r>
        <w:rPr>
          <w:b/>
          <w:sz w:val="22"/>
        </w:rPr>
        <w:t xml:space="preserve">Review gate: </w:t>
      </w:r>
      <w:r>
        <w:rPr>
          <w:sz w:val="22"/>
        </w:rPr>
        <w:t>Every agent-generated code change requires human review before merge</w:t>
      </w:r>
    </w:p>
    <w:p>
      <w:pPr>
        <w:pStyle w:val="ListBullet"/>
        <w:spacing w:after="80"/>
      </w:pPr>
      <w:r>
        <w:rPr>
          <w:b/>
          <w:sz w:val="22"/>
        </w:rPr>
        <w:t xml:space="preserve">Target: </w:t>
      </w:r>
      <w:r>
        <w:rPr>
          <w:sz w:val="22"/>
        </w:rPr>
        <w:t>60-70% of feature code generated by agents, 100% human-reviewed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7A589"/>
        <w:sz w:val="18"/>
      </w:rPr>
      <w:t>psygnosi.com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