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D3B5C"/>
          <w:sz w:val="44"/>
        </w:rPr>
        <w:t>Forensai</w:t>
      </w:r>
    </w:p>
    <w:p>
      <w:pPr>
        <w:jc w:val="left"/>
      </w:pPr>
      <w:r>
        <w:rPr>
          <w:b w:val="0"/>
          <w:color w:val="555555"/>
          <w:sz w:val="26"/>
        </w:rPr>
        <w:t>AI Psychological Evaluation Platform — Foundry SMB</w:t>
      </w:r>
    </w:p>
    <w:p>
      <w:pPr>
        <w:jc w:val="left"/>
      </w:pPr>
      <w:r>
        <w:rPr>
          <w:color w:val="999999"/>
          <w:sz w:val="18"/>
        </w:rPr>
        <w:t>Technical Build Plan + AI Spend Model   |   March 2026   |   Confidential</w:t>
      </w:r>
    </w:p>
    <w:p>
      <w:pPr>
        <w:spacing w:before="80" w:after="80"/>
      </w:pPr>
      <w:r>
        <w:rPr>
          <w:color w:val="CCCCCC"/>
          <w:sz w:val="16"/>
        </w:rPr>
        <w:t>________________________________________________________________________</w:t>
      </w:r>
    </w:p>
    <w:p>
      <w:pPr>
        <w:spacing w:before="360" w:after="40"/>
      </w:pPr>
      <w:r>
        <w:rPr>
          <w:b/>
          <w:color w:val="17A589"/>
          <w:sz w:val="18"/>
        </w:rPr>
        <w:t>DEVELOPMENT MODEL</w:t>
      </w:r>
    </w:p>
    <w:p>
      <w:pPr>
        <w:spacing w:after="160"/>
      </w:pPr>
      <w:r>
        <w:rPr>
          <w:sz w:val="22"/>
        </w:rPr>
        <w:t>Forensai is built by an agent-driven development team under human CEO oversight. Seventeen specialized AI agents handle all engineering, design, security, product, and business functions. One human senior engineer provides architecture oversight, code review, and production deployment authority. The development model runs continuously -- agents work 24/7 on assigned tasks, with the human engineer reviewing and merging output daily. This model compresses a 12-18 month traditional build timeline to 6-9 months at significantly lower human capital cost.</w:t>
      </w:r>
    </w:p>
    <w:p>
      <w:pPr>
        <w:spacing w:before="240" w:after="80"/>
      </w:pPr>
      <w:r>
        <w:rPr>
          <w:b/>
          <w:sz w:val="22"/>
        </w:rPr>
        <w:t>Agent-Driven Development Advantages</w:t>
      </w:r>
    </w:p>
    <w:p>
      <w:pPr>
        <w:pStyle w:val="ListBullet"/>
        <w:spacing w:after="80"/>
      </w:pPr>
      <w:r>
        <w:rPr>
          <w:b/>
          <w:sz w:val="22"/>
        </w:rPr>
        <w:t>Speed:</w:t>
      </w:r>
      <w:r>
        <w:rPr>
          <w:b w:val="0"/>
          <w:sz w:val="22"/>
        </w:rPr>
        <w:t xml:space="preserve"> Five coding agents working in parallel on separate modules compress serial development timelines by 70-80%. Tasks that take a single engineer 2 weeks complete in 2-3 days.</w:t>
      </w:r>
    </w:p>
    <w:p>
      <w:pPr>
        <w:pStyle w:val="ListBullet"/>
        <w:spacing w:after="80"/>
      </w:pPr>
      <w:r>
        <w:rPr>
          <w:b/>
          <w:sz w:val="22"/>
        </w:rPr>
        <w:t>Cost:</w:t>
      </w:r>
      <w:r>
        <w:rPr>
          <w:b w:val="0"/>
          <w:sz w:val="22"/>
        </w:rPr>
        <w:t xml:space="preserve"> AI agent development cost is compute-based, not salary-based. The marginal cost of running an additional coding agent for a sprint is $200-500 in API costs, not $15,000-20,000 in monthly salary.</w:t>
      </w:r>
    </w:p>
    <w:p>
      <w:pPr>
        <w:pStyle w:val="ListBullet"/>
        <w:spacing w:after="80"/>
      </w:pPr>
      <w:r>
        <w:rPr>
          <w:b/>
          <w:sz w:val="22"/>
        </w:rPr>
        <w:t>Continuity:</w:t>
      </w:r>
      <w:r>
        <w:rPr>
          <w:b w:val="0"/>
          <w:sz w:val="22"/>
        </w:rPr>
        <w:t xml:space="preserve"> Agents do not take vacations, lose context, or get distracted. A well-prompted agent with the full codebase context maintains consistent output quality across weeks of continuous work.</w:t>
      </w:r>
    </w:p>
    <w:p>
      <w:pPr>
        <w:pStyle w:val="ListBullet"/>
        <w:spacing w:after="80"/>
      </w:pPr>
      <w:r>
        <w:rPr>
          <w:b/>
          <w:sz w:val="22"/>
        </w:rPr>
        <w:t>Risk:</w:t>
      </w:r>
      <w:r>
        <w:rPr>
          <w:b w:val="0"/>
          <w:sz w:val="22"/>
        </w:rPr>
        <w:t xml:space="preserve"> Agent output requires human review. The human engineer is the quality gate, not the production unit. This is the correct division of labor: agents generate, humans verify.</w:t>
      </w:r>
    </w:p>
    <w:p>
      <w:pPr>
        <w:spacing w:before="80" w:after="80"/>
      </w:pPr>
      <w:r>
        <w:rPr>
          <w:color w:val="CCCCCC"/>
          <w:sz w:val="16"/>
        </w:rPr>
        <w:t>________________________________________________________________________</w:t>
      </w:r>
    </w:p>
    <w:p>
      <w:pPr>
        <w:spacing w:before="360" w:after="40"/>
      </w:pPr>
      <w:r>
        <w:rPr>
          <w:b/>
          <w:color w:val="17A589"/>
          <w:sz w:val="18"/>
        </w:rPr>
        <w:t>MVP DEFINITION AND SCOPE</w:t>
      </w:r>
    </w:p>
    <w:p>
      <w:pPr>
        <w:spacing w:after="160"/>
      </w:pPr>
      <w:r>
        <w:rPr>
          <w:sz w:val="22"/>
        </w:rPr>
        <w:t>The MVP is the minimum product that a forensic psychologist can use to complete a real evaluation and produce a defensible report. It is not a demo. It is not a prototype. It is a working clinical tool with three operating agents, a review interface, and professional-grade DOCX/PDF export. Target: 90 days from kickoff.</w:t>
      </w:r>
    </w:p>
    <w:p>
      <w:pPr>
        <w:spacing w:before="240" w:after="80"/>
      </w:pPr>
      <w:r>
        <w:rPr>
          <w:b/>
          <w:sz w:val="22"/>
        </w:rPr>
        <w:t>MVP Feature Set</w:t>
      </w:r>
    </w:p>
    <w:p>
      <w:pPr>
        <w:pStyle w:val="ListBullet"/>
        <w:spacing w:after="80"/>
      </w:pPr>
      <w:r>
        <w:rPr>
          <w:b/>
          <w:sz w:val="22"/>
        </w:rPr>
        <w:t>Case Card intake:</w:t>
      </w:r>
      <w:r>
        <w:rPr>
          <w:b w:val="0"/>
          <w:sz w:val="22"/>
        </w:rPr>
        <w:t xml:space="preserve"> Structured intake form capturing referral question, evaluation type, assessment batteries administered, collateral records received. PII captured and stored locally via IndexedDB with AES-256-GCM encryption.</w:t>
      </w:r>
    </w:p>
    <w:p>
      <w:pPr>
        <w:pStyle w:val="ListBullet"/>
        <w:spacing w:after="80"/>
      </w:pPr>
      <w:r>
        <w:rPr>
          <w:b/>
          <w:sz w:val="22"/>
        </w:rPr>
        <w:t>Ingestor Agent (Agent 1):</w:t>
      </w:r>
      <w:r>
        <w:rPr>
          <w:b w:val="0"/>
          <w:sz w:val="22"/>
        </w:rPr>
        <w:t xml:space="preserve"> Ingests uploaded documents (PDFs, DOCX, scanned records) using mammoth.js and PDF.js. Extracts text, identifies document types, organizes into structured case record. Runs local Presidio-based WASM PII detector before any content is sent to LLM.</w:t>
      </w:r>
    </w:p>
    <w:p>
      <w:pPr>
        <w:pStyle w:val="ListBullet"/>
        <w:spacing w:after="80"/>
      </w:pPr>
      <w:r>
        <w:rPr>
          <w:b/>
          <w:sz w:val="22"/>
        </w:rPr>
        <w:t>Diagnostician Agent (Agent 2):</w:t>
      </w:r>
      <w:r>
        <w:rPr>
          <w:b w:val="0"/>
          <w:sz w:val="22"/>
        </w:rPr>
        <w:t xml:space="preserve"> Receives PII-scrubbed case content. Maps presenting symptoms and behavioral observations to DSM-5-TR criteria. Generates structured diagnostic hypotheses with supporting evidence citations. Flags ambiguous presentations for doctor review. Does not render diagnoses -- generates hypotheses for doctor evaluation.</w:t>
      </w:r>
    </w:p>
    <w:p>
      <w:pPr>
        <w:pStyle w:val="ListBullet"/>
        <w:spacing w:after="80"/>
      </w:pPr>
      <w:r>
        <w:rPr>
          <w:b/>
          <w:sz w:val="22"/>
        </w:rPr>
        <w:t>Writer Agent (Agent 3):</w:t>
      </w:r>
      <w:r>
        <w:rPr>
          <w:b w:val="0"/>
          <w:sz w:val="22"/>
        </w:rPr>
        <w:t xml:space="preserve"> Receives approved diagnostic hypotheses and structured case data. Generates full evaluation report draft in standard forensic psychology format: reason for referral, background history, behavioral observations, test results, integrated findings, diagnostic impressions, clinical opinions, recommendations. Adapts to practitioner's writing style through accept/edit/reject training signal.</w:t>
      </w:r>
    </w:p>
    <w:p>
      <w:pPr>
        <w:pStyle w:val="ListBullet"/>
        <w:spacing w:after="80"/>
      </w:pPr>
      <w:r>
        <w:rPr>
          <w:b/>
          <w:sz w:val="22"/>
        </w:rPr>
        <w:t>Review Interface:</w:t>
      </w:r>
      <w:r>
        <w:rPr>
          <w:b w:val="0"/>
          <w:sz w:val="22"/>
        </w:rPr>
        <w:t xml:space="preserve"> TipTap/ProseMirror-based editor. Side-by-side view: agent draft left, editable document right. Inline agent citations visible on hover. Four approval gates enforced by UI -- doctor must explicitly approve diagnostic hypotheses, integrated findings, diagnostic impressions, and final report before export is enabled.</w:t>
      </w:r>
    </w:p>
    <w:p>
      <w:pPr>
        <w:pStyle w:val="ListBullet"/>
        <w:spacing w:after="80"/>
      </w:pPr>
      <w:r>
        <w:rPr>
          <w:b/>
          <w:sz w:val="22"/>
        </w:rPr>
        <w:t>Export:</w:t>
      </w:r>
      <w:r>
        <w:rPr>
          <w:b w:val="0"/>
          <w:sz w:val="22"/>
        </w:rPr>
        <w:t xml:space="preserve"> DOCX export via docx.js, PDF via print-to-PDF. Report formatted to professional forensic psychology standards. Audit trail embedded as metadata: agent version, doctor approval timestamps, edit log.</w:t>
      </w:r>
    </w:p>
    <w:p>
      <w:pPr>
        <w:spacing w:before="240" w:after="80"/>
      </w:pPr>
      <w:r>
        <w:rPr>
          <w:b/>
          <w:sz w:val="22"/>
        </w:rPr>
        <w:t>MVP Technical Stack</w:t>
      </w:r>
    </w:p>
    <w:p>
      <w:pPr>
        <w:pStyle w:val="ListBullet"/>
        <w:spacing w:after="80"/>
      </w:pPr>
      <w:r>
        <w:rPr>
          <w:b/>
          <w:sz w:val="22"/>
        </w:rPr>
        <w:t>Frontend:</w:t>
      </w:r>
      <w:r>
        <w:rPr>
          <w:b w:val="0"/>
          <w:sz w:val="22"/>
        </w:rPr>
        <w:t xml:space="preserve"> React 18, TypeScript strict mode, Vite, TailwindCSS. VS Code/Cursor visual design standard throughout.</w:t>
      </w:r>
    </w:p>
    <w:p>
      <w:pPr>
        <w:pStyle w:val="ListBullet"/>
        <w:spacing w:after="80"/>
      </w:pPr>
      <w:r>
        <w:rPr>
          <w:b/>
          <w:sz w:val="22"/>
        </w:rPr>
        <w:t>Local storage:</w:t>
      </w:r>
      <w:r>
        <w:rPr>
          <w:b w:val="0"/>
          <w:sz w:val="22"/>
        </w:rPr>
        <w:t xml:space="preserve"> IndexedDB with AES-256-GCM encryption via SubtleCrypto API. PHI never leaves the browser.</w:t>
      </w:r>
    </w:p>
    <w:p>
      <w:pPr>
        <w:pStyle w:val="ListBullet"/>
        <w:spacing w:after="80"/>
      </w:pPr>
      <w:r>
        <w:rPr>
          <w:b/>
          <w:sz w:val="22"/>
        </w:rPr>
        <w:t>PII detection:</w:t>
      </w:r>
      <w:r>
        <w:rPr>
          <w:b w:val="0"/>
          <w:sz w:val="22"/>
        </w:rPr>
        <w:t xml:space="preserve"> Presidio-based WASM engine (Python compiled to WASM). Runs entirely in-browser. Sensitivity target: &gt;98%, specificity target: &gt;95%.</w:t>
      </w:r>
    </w:p>
    <w:p>
      <w:pPr>
        <w:pStyle w:val="ListBullet"/>
        <w:spacing w:after="80"/>
      </w:pPr>
      <w:r>
        <w:rPr>
          <w:b/>
          <w:sz w:val="22"/>
        </w:rPr>
        <w:t>LLM integration:</w:t>
      </w:r>
      <w:r>
        <w:rPr>
          <w:b w:val="0"/>
          <w:sz w:val="22"/>
        </w:rPr>
        <w:t xml:space="preserve"> LLMGateway abstraction over Anthropic Claude Sonnet (primary), OpenAI GPT-4o (fallback). All calls PII-scrubbed before transmission.</w:t>
      </w:r>
    </w:p>
    <w:p>
      <w:pPr>
        <w:pStyle w:val="ListBullet"/>
        <w:spacing w:after="80"/>
      </w:pPr>
      <w:r>
        <w:rPr>
          <w:b/>
          <w:sz w:val="22"/>
        </w:rPr>
        <w:t>Local embeddings:</w:t>
      </w:r>
      <w:r>
        <w:rPr>
          <w:b w:val="0"/>
          <w:sz w:val="22"/>
        </w:rPr>
        <w:t xml:space="preserve"> transformers.js with all-MiniLM-L6-v2. Runs in-browser Web Worker. Powers local RAG for case record search.</w:t>
      </w:r>
    </w:p>
    <w:p>
      <w:pPr>
        <w:pStyle w:val="ListBullet"/>
        <w:spacing w:after="80"/>
      </w:pPr>
      <w:r>
        <w:rPr>
          <w:b/>
          <w:sz w:val="22"/>
        </w:rPr>
        <w:t>Vector store:</w:t>
      </w:r>
      <w:r>
        <w:rPr>
          <w:b w:val="0"/>
          <w:sz w:val="22"/>
        </w:rPr>
        <w:t xml:space="preserve"> LanceDB WASM for local semantic search across case records.</w:t>
      </w:r>
    </w:p>
    <w:p>
      <w:pPr>
        <w:pStyle w:val="ListBullet"/>
        <w:spacing w:after="80"/>
      </w:pPr>
      <w:r>
        <w:rPr>
          <w:b/>
          <w:sz w:val="22"/>
        </w:rPr>
        <w:t>DSM-5-TR knowledge base:</w:t>
      </w:r>
      <w:r>
        <w:rPr>
          <w:b w:val="0"/>
          <w:sz w:val="22"/>
        </w:rPr>
        <w:t xml:space="preserve"> sql.js WASM SQLite database with full DSM-5-TR criterion mappings. Loaded once on first launch, stored in IndexedDB.</w:t>
      </w:r>
    </w:p>
    <w:p>
      <w:pPr>
        <w:pStyle w:val="ListBullet"/>
        <w:spacing w:after="80"/>
      </w:pPr>
      <w:r>
        <w:rPr>
          <w:b/>
          <w:sz w:val="22"/>
        </w:rPr>
        <w:t>Desktop wrapper:</w:t>
      </w:r>
      <w:r>
        <w:rPr>
          <w:b w:val="0"/>
          <w:sz w:val="22"/>
        </w:rPr>
        <w:t xml:space="preserve"> Optional Electron wrapper for offline-first desktop deployment. Same codebase as web app.</w:t>
      </w:r>
    </w:p>
    <w:p>
      <w:pPr>
        <w:spacing w:before="80" w:after="80"/>
      </w:pPr>
      <w:r>
        <w:rPr>
          <w:color w:val="CCCCCC"/>
          <w:sz w:val="16"/>
        </w:rPr>
        <w:t>________________________________________________________________________</w:t>
      </w:r>
    </w:p>
    <w:p>
      <w:pPr>
        <w:spacing w:before="360" w:after="40"/>
      </w:pPr>
      <w:r>
        <w:rPr>
          <w:b/>
          <w:color w:val="17A589"/>
          <w:sz w:val="18"/>
        </w:rPr>
        <w:t>BETA DEFINITION AND SCOPE</w:t>
      </w:r>
    </w:p>
    <w:p>
      <w:pPr>
        <w:spacing w:after="160"/>
      </w:pPr>
      <w:r>
        <w:rPr>
          <w:sz w:val="22"/>
        </w:rPr>
        <w:t>Beta adds five additional agents, closes the billing loop, integrates standardized assessment score ingestion, and ships the group practice multi-seat model. Beta is the product that early adopters pay for and that generates the first meaningful revenue signal. Target: 90 days post-MVP (Day 91-180 from kickoff).</w:t>
      </w:r>
    </w:p>
    <w:p>
      <w:pPr>
        <w:spacing w:before="240" w:after="80"/>
      </w:pPr>
      <w:r>
        <w:rPr>
          <w:b/>
          <w:sz w:val="22"/>
        </w:rPr>
        <w:t>Beta Additions Beyond MVP</w:t>
      </w:r>
    </w:p>
    <w:p>
      <w:pPr>
        <w:pStyle w:val="ListBullet"/>
        <w:spacing w:after="80"/>
      </w:pPr>
      <w:r>
        <w:rPr>
          <w:b/>
          <w:sz w:val="22"/>
        </w:rPr>
        <w:t>Test Data Analyst Agent (Agent 4):</w:t>
      </w:r>
      <w:r>
        <w:rPr>
          <w:b w:val="0"/>
          <w:sz w:val="22"/>
        </w:rPr>
        <w:t xml:space="preserve"> Ingests structured score data from major assessment batteries -- WAIS-IV, MMPI-3, PAI, Beck scales, Millon MCMI, Conners. Parses normative data, flags clinically significant elevations, generates integrated test findings narrative with elevation interpretations and cross-battery pattern analysis.</w:t>
      </w:r>
    </w:p>
    <w:p>
      <w:pPr>
        <w:pStyle w:val="ListBullet"/>
        <w:spacing w:after="80"/>
      </w:pPr>
      <w:r>
        <w:rPr>
          <w:b/>
          <w:sz w:val="22"/>
        </w:rPr>
        <w:t>Legal Reviewer Agent (Agent 5):</w:t>
      </w:r>
      <w:r>
        <w:rPr>
          <w:b w:val="0"/>
          <w:sz w:val="22"/>
        </w:rPr>
        <w:t xml:space="preserve"> Reviews report draft for legal defensibility. Flags speculative language, unsupported conclusions, scope-of-practice boundary issues, and language patterns that create liability exposure. Suggests compliant alternative phrasing. Specialized knowledge of Daubert standard, Federal Rules of Evidence 702, and state-specific forensic evaluation standards.</w:t>
      </w:r>
    </w:p>
    <w:p>
      <w:pPr>
        <w:pStyle w:val="ListBullet"/>
        <w:spacing w:after="80"/>
      </w:pPr>
      <w:r>
        <w:rPr>
          <w:b/>
          <w:sz w:val="22"/>
        </w:rPr>
        <w:t>Editor Agent (Agent 6):</w:t>
      </w:r>
      <w:r>
        <w:rPr>
          <w:b w:val="0"/>
          <w:sz w:val="22"/>
        </w:rPr>
        <w:t xml:space="preserve"> Applies practitioner's established writing style. Enforces consistent terminology, eliminates redundancy, ensures appropriate hedging language in clinical opinion sections. Learns style preferences through DSPy-based optimization using accept/edit/reject decisions.</w:t>
      </w:r>
    </w:p>
    <w:p>
      <w:pPr>
        <w:pStyle w:val="ListBullet"/>
        <w:spacing w:after="80"/>
      </w:pPr>
      <w:r>
        <w:rPr>
          <w:b/>
          <w:sz w:val="22"/>
        </w:rPr>
        <w:t>Fact Checker Agent (Agent 7):</w:t>
      </w:r>
      <w:r>
        <w:rPr>
          <w:b w:val="0"/>
          <w:sz w:val="22"/>
        </w:rPr>
        <w:t xml:space="preserve"> Cross-references all factual claims against source documents. Flags any statement in the report not supported by uploaded records or test data. Produces citation map linking every report claim to its source. Eliminates hallucination risk in final output.</w:t>
      </w:r>
    </w:p>
    <w:p>
      <w:pPr>
        <w:pStyle w:val="ListBullet"/>
        <w:spacing w:after="80"/>
      </w:pPr>
      <w:r>
        <w:rPr>
          <w:b/>
          <w:sz w:val="22"/>
        </w:rPr>
        <w:t>Orchestrator Agent (Agent 8):</w:t>
      </w:r>
      <w:r>
        <w:rPr>
          <w:b w:val="0"/>
          <w:sz w:val="22"/>
        </w:rPr>
        <w:t xml:space="preserve"> Manages agent pipeline sequencing, error handling, retry logic, and approval gate enforcement. Routes output between agents. Maintains case state machine. Logs all agent actions to immutable audit trail.</w:t>
      </w:r>
    </w:p>
    <w:p>
      <w:pPr>
        <w:pStyle w:val="ListBullet"/>
        <w:spacing w:after="80"/>
      </w:pPr>
      <w:r>
        <w:rPr>
          <w:b/>
          <w:sz w:val="22"/>
        </w:rPr>
        <w:t>Billing loop:</w:t>
      </w:r>
      <w:r>
        <w:rPr>
          <w:b w:val="0"/>
          <w:sz w:val="22"/>
        </w:rPr>
        <w:t xml:space="preserve"> Automatic CPT code generation from time-tracked evaluation phases. DSM-5-TR to ICD-10-CM crosswalk. Superbill generation. SimplePractice, TherapyNotes, and Jane App API integration.</w:t>
      </w:r>
    </w:p>
    <w:p>
      <w:pPr>
        <w:pStyle w:val="ListBullet"/>
        <w:spacing w:after="80"/>
      </w:pPr>
      <w:r>
        <w:rPr>
          <w:b/>
          <w:sz w:val="22"/>
        </w:rPr>
        <w:t>Group practice multi-seat:</w:t>
      </w:r>
      <w:r>
        <w:rPr>
          <w:b w:val="0"/>
          <w:sz w:val="22"/>
        </w:rPr>
        <w:t xml:space="preserve"> Practice admin dashboard, seat management, shared template library, individual practitioner accounts with separate PHI stores. Usage reporting for practice administrators.</w:t>
      </w:r>
    </w:p>
    <w:p>
      <w:pPr>
        <w:pStyle w:val="ListBullet"/>
        <w:spacing w:after="80"/>
      </w:pPr>
      <w:r>
        <w:rPr>
          <w:b/>
          <w:sz w:val="22"/>
        </w:rPr>
        <w:t>Voice input:</w:t>
      </w:r>
      <w:r>
        <w:rPr>
          <w:b w:val="0"/>
          <w:sz w:val="22"/>
        </w:rPr>
        <w:t xml:space="preserve"> Whisper WASM for local speech-to-text. Practitioner dictates behavioral observations and clinical impressions. Transcription runs locally, never transmitted.</w:t>
      </w:r>
    </w:p>
    <w:p>
      <w:pPr>
        <w:spacing w:before="80" w:after="80"/>
      </w:pPr>
      <w:r>
        <w:rPr>
          <w:color w:val="CCCCCC"/>
          <w:sz w:val="16"/>
        </w:rPr>
        <w:t>________________________________________________________________________</w:t>
      </w:r>
    </w:p>
    <w:p>
      <w:pPr>
        <w:spacing w:before="360" w:after="40"/>
      </w:pPr>
      <w:r>
        <w:rPr>
          <w:b/>
          <w:color w:val="17A589"/>
          <w:sz w:val="18"/>
        </w:rPr>
        <w:t>GENERAL AVAILABILITY DEFINITION AND SCOPE</w:t>
      </w:r>
    </w:p>
    <w:p>
      <w:pPr>
        <w:spacing w:after="160"/>
      </w:pPr>
      <w:r>
        <w:rPr>
          <w:sz w:val="22"/>
        </w:rPr>
        <w:t>GA is the production-ready platform with enterprise security certification, full compliance posture, and the feature set required to sell to group practices and hospital systems. GA represents the end of the startup phase and the beginning of the growth phase. Target: 180 days post-Beta (Day 181-360 from kickoff).</w:t>
      </w:r>
    </w:p>
    <w:p>
      <w:pPr>
        <w:spacing w:before="240" w:after="80"/>
      </w:pPr>
      <w:r>
        <w:rPr>
          <w:b/>
          <w:sz w:val="22"/>
        </w:rPr>
        <w:t>GA Additions Beyond Beta</w:t>
      </w:r>
    </w:p>
    <w:p>
      <w:pPr>
        <w:pStyle w:val="ListBullet"/>
        <w:spacing w:after="80"/>
      </w:pPr>
      <w:r>
        <w:rPr>
          <w:b/>
          <w:sz w:val="22"/>
        </w:rPr>
        <w:t>SOC 2 Type II certification:</w:t>
      </w:r>
      <w:r>
        <w:rPr>
          <w:b w:val="0"/>
          <w:sz w:val="22"/>
        </w:rPr>
        <w:t xml:space="preserve"> 12-month audit period begins at Beta launch. SOC 2 report available at GA. Required for enterprise procurement. Cost: $50,000-150,000 for audit firm plus internal compliance preparation.</w:t>
      </w:r>
    </w:p>
    <w:p>
      <w:pPr>
        <w:pStyle w:val="ListBullet"/>
        <w:spacing w:after="80"/>
      </w:pPr>
      <w:r>
        <w:rPr>
          <w:b/>
          <w:sz w:val="22"/>
        </w:rPr>
        <w:t>HIPAA Business Associate Agreement infrastructure:</w:t>
      </w:r>
      <w:r>
        <w:rPr>
          <w:b w:val="0"/>
          <w:sz w:val="22"/>
        </w:rPr>
        <w:t xml:space="preserve"> Automated BAA generation and management. Required for any covered entity customer. Legal review and template finalization.</w:t>
      </w:r>
    </w:p>
    <w:p>
      <w:pPr>
        <w:pStyle w:val="ListBullet"/>
        <w:spacing w:after="80"/>
      </w:pPr>
      <w:r>
        <w:rPr>
          <w:b/>
          <w:sz w:val="22"/>
        </w:rPr>
        <w:t>Enterprise admin console:</w:t>
      </w:r>
      <w:r>
        <w:rPr>
          <w:b w:val="0"/>
          <w:sz w:val="22"/>
        </w:rPr>
        <w:t xml:space="preserve"> IT admin controls, SSO integration (SAML 2.0), audit log export, user provisioning and deprovisioning, role-based access control.</w:t>
      </w:r>
    </w:p>
    <w:p>
      <w:pPr>
        <w:pStyle w:val="ListBullet"/>
        <w:spacing w:after="80"/>
      </w:pPr>
      <w:r>
        <w:rPr>
          <w:b/>
          <w:sz w:val="22"/>
        </w:rPr>
        <w:t>EHR integrations:</w:t>
      </w:r>
      <w:r>
        <w:rPr>
          <w:b w:val="0"/>
          <w:sz w:val="22"/>
        </w:rPr>
        <w:t xml:space="preserve"> Epic FHIR API, Athenahealth, Epic MyChart integration for patient demographic pre-population (with local PHI handling). Reduces intake data entry time by 60%.</w:t>
      </w:r>
    </w:p>
    <w:p>
      <w:pPr>
        <w:pStyle w:val="ListBullet"/>
        <w:spacing w:after="80"/>
      </w:pPr>
      <w:r>
        <w:rPr>
          <w:b/>
          <w:sz w:val="22"/>
        </w:rPr>
        <w:t>Electron desktop app signed distribution:</w:t>
      </w:r>
      <w:r>
        <w:rPr>
          <w:b w:val="0"/>
          <w:sz w:val="22"/>
        </w:rPr>
        <w:t xml:space="preserve"> Code-signed Mac and Windows installers. Auto-update via electron-updater. Offline-first capability for practitioners in secure facilities without internet access.</w:t>
      </w:r>
    </w:p>
    <w:p>
      <w:pPr>
        <w:pStyle w:val="ListBullet"/>
        <w:spacing w:after="80"/>
      </w:pPr>
      <w:r>
        <w:rPr>
          <w:b/>
          <w:sz w:val="22"/>
        </w:rPr>
        <w:t>Assessment publisher integrations:</w:t>
      </w:r>
      <w:r>
        <w:rPr>
          <w:b w:val="0"/>
          <w:sz w:val="22"/>
        </w:rPr>
        <w:t xml:space="preserve"> Q-global (Pearson), PARiConnect (PAR Inc.) API integrations for direct score import. Eliminates manual score entry entirely.</w:t>
      </w:r>
    </w:p>
    <w:p>
      <w:pPr>
        <w:pStyle w:val="ListBullet"/>
        <w:spacing w:after="80"/>
      </w:pPr>
      <w:r>
        <w:rPr>
          <w:b/>
          <w:sz w:val="22"/>
        </w:rPr>
        <w:t>Reporting analytics dashboard:</w:t>
      </w:r>
      <w:r>
        <w:rPr>
          <w:b w:val="0"/>
          <w:sz w:val="22"/>
        </w:rPr>
        <w:t xml:space="preserve"> Practice-level productivity metrics, evaluation completion rates, turnaround time, billing capture rate. No PHI in analytics -- aggregate metrics only.</w:t>
      </w:r>
    </w:p>
    <w:p>
      <w:pPr>
        <w:pStyle w:val="ListBullet"/>
        <w:spacing w:after="80"/>
      </w:pPr>
      <w:r>
        <w:rPr>
          <w:b/>
          <w:sz w:val="22"/>
        </w:rPr>
        <w:t>Style training system (GA):</w:t>
      </w:r>
      <w:r>
        <w:rPr>
          <w:b w:val="0"/>
          <w:sz w:val="22"/>
        </w:rPr>
        <w:t xml:space="preserve"> Full DSPy-based prompt optimization pipeline. Requires minimum 50 accepted/edited/rejected evaluation cycles to initialize. Produces practitioner-specific model fine-tuned on their writing patterns.</w:t>
      </w:r>
    </w:p>
    <w:p>
      <w:pPr>
        <w:spacing w:before="80" w:after="80"/>
      </w:pPr>
      <w:r>
        <w:rPr>
          <w:color w:val="CCCCCC"/>
          <w:sz w:val="16"/>
        </w:rPr>
        <w:t>________________________________________________________________________</w:t>
      </w:r>
    </w:p>
    <w:p>
      <w:pPr>
        <w:spacing w:before="360" w:after="40"/>
      </w:pPr>
      <w:r>
        <w:rPr>
          <w:b/>
          <w:color w:val="17A589"/>
          <w:sz w:val="18"/>
        </w:rPr>
        <w:t>AI COMPUTE COST MODEL</w:t>
      </w:r>
    </w:p>
    <w:p>
      <w:pPr>
        <w:spacing w:after="160"/>
      </w:pPr>
      <w:r>
        <w:rPr>
          <w:sz w:val="22"/>
        </w:rPr>
        <w:t>Forensai uses AI compute in two distinct contexts: development (building the product) and production (running evaluations). Both are modeled separately with conservative and optimistic scenarios.</w:t>
      </w:r>
    </w:p>
    <w:p>
      <w:pPr>
        <w:spacing w:before="240" w:after="80"/>
      </w:pPr>
      <w:r>
        <w:rPr>
          <w:b/>
          <w:sz w:val="22"/>
        </w:rPr>
        <w:t>Development AI Spend</w:t>
      </w:r>
    </w:p>
    <w:p>
      <w:pPr>
        <w:spacing w:after="160"/>
      </w:pPr>
      <w:r>
        <w:rPr>
          <w:sz w:val="22"/>
        </w:rPr>
        <w:t>Agent-driven development uses Claude Sonnet as the primary coding model. Each coding agent session involves reading the full relevant codebase context plus generating implementation code. Estimate based on 5 active coding agents running 8-hour days during each build sprint.</w:t>
      </w:r>
    </w:p>
    <w:p>
      <w:pPr>
        <w:pStyle w:val="ListBullet"/>
        <w:spacing w:after="80"/>
      </w:pPr>
      <w:r>
        <w:rPr>
          <w:b/>
          <w:sz w:val="22"/>
        </w:rPr>
        <w:t>Per agent session cost:</w:t>
      </w:r>
      <w:r>
        <w:rPr>
          <w:b w:val="0"/>
          <w:sz w:val="22"/>
        </w:rPr>
        <w:t xml:space="preserve"> 150,000 tokens input (codebase context + task brief) at $3/M = $0.45. 50,000 tokens output (generated code + tests + docs) at $15/M = $0.75. Total per session: $1.20.</w:t>
      </w:r>
    </w:p>
    <w:p>
      <w:pPr>
        <w:pStyle w:val="ListBullet"/>
        <w:spacing w:after="80"/>
      </w:pPr>
      <w:r>
        <w:rPr>
          <w:b/>
          <w:sz w:val="22"/>
        </w:rPr>
        <w:t>Daily development spend (5 agents, 3 sessions each):</w:t>
      </w:r>
      <w:r>
        <w:rPr>
          <w:b w:val="0"/>
          <w:sz w:val="22"/>
        </w:rPr>
        <w:t xml:space="preserve"> 5 agents x 3 sessions x $1.20 = $18/day. At peak sprint with 8 agents: $28.80/day.</w:t>
      </w:r>
    </w:p>
    <w:p>
      <w:pPr>
        <w:pStyle w:val="ListBullet"/>
        <w:spacing w:after="80"/>
      </w:pPr>
      <w:r>
        <w:rPr>
          <w:b/>
          <w:sz w:val="22"/>
        </w:rPr>
        <w:t>MVP sprint (90 days, 5-8 agents):</w:t>
      </w:r>
      <w:r>
        <w:rPr>
          <w:b w:val="0"/>
          <w:sz w:val="22"/>
        </w:rPr>
        <w:t xml:space="preserve"> Conservative: $1,620. Aggressive (8 agents, 4 sessions/day): $10,368. Realistic estimate: $5,000-8,000.</w:t>
      </w:r>
    </w:p>
    <w:p>
      <w:pPr>
        <w:pStyle w:val="ListBullet"/>
        <w:spacing w:after="80"/>
      </w:pPr>
      <w:r>
        <w:rPr>
          <w:b/>
          <w:sz w:val="22"/>
        </w:rPr>
        <w:t>Beta sprint (90 days, expanded scope):</w:t>
      </w:r>
      <w:r>
        <w:rPr>
          <w:b w:val="0"/>
          <w:sz w:val="22"/>
        </w:rPr>
        <w:t xml:space="preserve"> More complex codebase, longer context windows. Realistic estimate: $8,000-14,000.</w:t>
      </w:r>
    </w:p>
    <w:p>
      <w:pPr>
        <w:pStyle w:val="ListBullet"/>
        <w:spacing w:after="80"/>
      </w:pPr>
      <w:r>
        <w:rPr>
          <w:b/>
          <w:sz w:val="22"/>
        </w:rPr>
        <w:t>GA sprint (180 days, full platform):</w:t>
      </w:r>
      <w:r>
        <w:rPr>
          <w:b w:val="0"/>
          <w:sz w:val="22"/>
        </w:rPr>
        <w:t xml:space="preserve"> Compliance, integrations, enterprise features. Realistic estimate: $15,000-25,000.</w:t>
      </w:r>
    </w:p>
    <w:p>
      <w:pPr>
        <w:pStyle w:val="ListBullet"/>
        <w:spacing w:after="80"/>
      </w:pPr>
      <w:r>
        <w:rPr>
          <w:b/>
          <w:sz w:val="22"/>
        </w:rPr>
        <w:t>Total build AI spend (MVP through GA, 12 months):</w:t>
      </w:r>
      <w:r>
        <w:rPr>
          <w:b w:val="0"/>
          <w:sz w:val="22"/>
        </w:rPr>
        <w:t xml:space="preserve"> Conservative: $28,000. Aggressive: $47,000. Budget: $50,000 for build-phase AI compute with 20% buffer.</w:t>
      </w:r>
    </w:p>
    <w:p>
      <w:pPr>
        <w:spacing w:before="240" w:after="80"/>
      </w:pPr>
      <w:r>
        <w:rPr>
          <w:b/>
          <w:sz w:val="22"/>
        </w:rPr>
        <w:t>Production AI Spend (Per Evaluation)</w:t>
      </w:r>
    </w:p>
    <w:p>
      <w:pPr>
        <w:spacing w:after="160"/>
      </w:pPr>
      <w:r>
        <w:rPr>
          <w:sz w:val="22"/>
        </w:rPr>
        <w:t>Production AI spend occurs when a practitioner processes an evaluation through the 8-agent pipeline. Each agent call is PII-scrubbed before transmission. Costs modeled on Claude Sonnet pricing.</w:t>
      </w:r>
    </w:p>
    <w:p>
      <w:pPr>
        <w:pStyle w:val="ListBullet"/>
        <w:spacing w:after="80"/>
      </w:pPr>
      <w:r>
        <w:rPr>
          <w:b/>
          <w:sz w:val="22"/>
        </w:rPr>
        <w:t>Ingestor Agent:</w:t>
      </w:r>
      <w:r>
        <w:rPr>
          <w:b w:val="0"/>
          <w:sz w:val="22"/>
        </w:rPr>
        <w:t xml:space="preserve"> 100,000 tokens input (ingested records), 5,000 tokens output (structured extraction). Cost: $0.375.</w:t>
      </w:r>
    </w:p>
    <w:p>
      <w:pPr>
        <w:pStyle w:val="ListBullet"/>
        <w:spacing w:after="80"/>
      </w:pPr>
      <w:r>
        <w:rPr>
          <w:b/>
          <w:sz w:val="22"/>
        </w:rPr>
        <w:t>Test Data Analyst Agent:</w:t>
      </w:r>
      <w:r>
        <w:rPr>
          <w:b w:val="0"/>
          <w:sz w:val="22"/>
        </w:rPr>
        <w:t xml:space="preserve"> 30,000 tokens input, 8,000 tokens output. Cost: $0.210.</w:t>
      </w:r>
    </w:p>
    <w:p>
      <w:pPr>
        <w:pStyle w:val="ListBullet"/>
        <w:spacing w:after="80"/>
      </w:pPr>
      <w:r>
        <w:rPr>
          <w:b/>
          <w:sz w:val="22"/>
        </w:rPr>
        <w:t>Diagnostician Agent:</w:t>
      </w:r>
      <w:r>
        <w:rPr>
          <w:b w:val="0"/>
          <w:sz w:val="22"/>
        </w:rPr>
        <w:t xml:space="preserve"> 40,000 tokens input, 12,000 tokens output. Cost: $0.300.</w:t>
      </w:r>
    </w:p>
    <w:p>
      <w:pPr>
        <w:pStyle w:val="ListBullet"/>
        <w:spacing w:after="80"/>
      </w:pPr>
      <w:r>
        <w:rPr>
          <w:b/>
          <w:sz w:val="22"/>
        </w:rPr>
        <w:t>Writer Agent:</w:t>
      </w:r>
      <w:r>
        <w:rPr>
          <w:b w:val="0"/>
          <w:sz w:val="22"/>
        </w:rPr>
        <w:t xml:space="preserve"> 50,000 tokens input, 30,000 tokens output. Cost: $0.600.</w:t>
      </w:r>
    </w:p>
    <w:p>
      <w:pPr>
        <w:pStyle w:val="ListBullet"/>
        <w:spacing w:after="80"/>
      </w:pPr>
      <w:r>
        <w:rPr>
          <w:b/>
          <w:sz w:val="22"/>
        </w:rPr>
        <w:t>Legal Reviewer Agent:</w:t>
      </w:r>
      <w:r>
        <w:rPr>
          <w:b w:val="0"/>
          <w:sz w:val="22"/>
        </w:rPr>
        <w:t xml:space="preserve"> 35,000 tokens input, 15,000 tokens output. Cost: $0.330.</w:t>
      </w:r>
    </w:p>
    <w:p>
      <w:pPr>
        <w:pStyle w:val="ListBullet"/>
        <w:spacing w:after="80"/>
      </w:pPr>
      <w:r>
        <w:rPr>
          <w:b/>
          <w:sz w:val="22"/>
        </w:rPr>
        <w:t>Editor Agent:</w:t>
      </w:r>
      <w:r>
        <w:rPr>
          <w:b w:val="0"/>
          <w:sz w:val="22"/>
        </w:rPr>
        <w:t xml:space="preserve"> 40,000 tokens input, 20,000 tokens output. Cost: $0.420.</w:t>
      </w:r>
    </w:p>
    <w:p>
      <w:pPr>
        <w:pStyle w:val="ListBullet"/>
        <w:spacing w:after="80"/>
      </w:pPr>
      <w:r>
        <w:rPr>
          <w:b/>
          <w:sz w:val="22"/>
        </w:rPr>
        <w:t>Fact Checker Agent:</w:t>
      </w:r>
      <w:r>
        <w:rPr>
          <w:b w:val="0"/>
          <w:sz w:val="22"/>
        </w:rPr>
        <w:t xml:space="preserve"> 35,000 tokens input, 10,000 tokens output. Cost: $0.255.</w:t>
      </w:r>
    </w:p>
    <w:p>
      <w:pPr>
        <w:pStyle w:val="ListBullet"/>
        <w:spacing w:after="80"/>
      </w:pPr>
      <w:r>
        <w:rPr>
          <w:b/>
          <w:sz w:val="22"/>
        </w:rPr>
        <w:t>Orchestrator + overhead:</w:t>
      </w:r>
      <w:r>
        <w:rPr>
          <w:b w:val="0"/>
          <w:sz w:val="22"/>
        </w:rPr>
        <w:t xml:space="preserve"> 50,000 tokens total across pipeline coordination. Cost: $0.225.</w:t>
      </w:r>
    </w:p>
    <w:p>
      <w:pPr>
        <w:pStyle w:val="ListBullet"/>
        <w:spacing w:after="80"/>
      </w:pPr>
      <w:r>
        <w:rPr>
          <w:b/>
          <w:sz w:val="22"/>
        </w:rPr>
        <w:t>Total AI cost per evaluation:</w:t>
      </w:r>
      <w:r>
        <w:rPr>
          <w:b w:val="0"/>
          <w:sz w:val="22"/>
        </w:rPr>
        <w:t xml:space="preserve"> $2.72 at current Sonnet pricing. At 10 evaluations/month per practitioner: $27.20/month AI COGS per seat. At $299/month price: AI COGS represent 9.1% of revenue. Gross margin before infrastructure: 90.9%.</w:t>
      </w:r>
    </w:p>
    <w:p>
      <w:pPr>
        <w:spacing w:before="240" w:after="80"/>
      </w:pPr>
      <w:r>
        <w:rPr>
          <w:b/>
          <w:sz w:val="22"/>
        </w:rPr>
        <w:t>Infrastructure Costs (Monthly, Per Active User)</w:t>
      </w:r>
    </w:p>
    <w:p>
      <w:pPr>
        <w:pStyle w:val="ListBullet"/>
        <w:spacing w:after="80"/>
      </w:pPr>
      <w:r>
        <w:rPr>
          <w:b/>
          <w:sz w:val="22"/>
        </w:rPr>
        <w:t>Cloudflare Workers (API gateway, serverless functions):</w:t>
      </w:r>
      <w:r>
        <w:rPr>
          <w:b w:val="0"/>
          <w:sz w:val="22"/>
        </w:rPr>
        <w:t xml:space="preserve"> $3-8/user/month at scale.</w:t>
      </w:r>
    </w:p>
    <w:p>
      <w:pPr>
        <w:pStyle w:val="ListBullet"/>
        <w:spacing w:after="80"/>
      </w:pPr>
      <w:r>
        <w:rPr>
          <w:b/>
          <w:sz w:val="22"/>
        </w:rPr>
        <w:t>Cloudflare R2 (anonymized aggregate data storage):</w:t>
      </w:r>
      <w:r>
        <w:rPr>
          <w:b w:val="0"/>
          <w:sz w:val="22"/>
        </w:rPr>
        <w:t xml:space="preserve"> $0.50-2/user/month.</w:t>
      </w:r>
    </w:p>
    <w:p>
      <w:pPr>
        <w:pStyle w:val="ListBullet"/>
        <w:spacing w:after="80"/>
      </w:pPr>
      <w:r>
        <w:rPr>
          <w:b/>
          <w:sz w:val="22"/>
        </w:rPr>
        <w:t>LLM API costs:</w:t>
      </w:r>
      <w:r>
        <w:rPr>
          <w:b w:val="0"/>
          <w:sz w:val="22"/>
        </w:rPr>
        <w:t xml:space="preserve"> $25-35/user/month (10 evaluations at $2.72 each).</w:t>
      </w:r>
    </w:p>
    <w:p>
      <w:pPr>
        <w:pStyle w:val="ListBullet"/>
        <w:spacing w:after="80"/>
      </w:pPr>
      <w:r>
        <w:rPr>
          <w:b/>
          <w:sz w:val="22"/>
        </w:rPr>
        <w:t>Monitoring, logging, error tracking (Sentry, Datadog):</w:t>
      </w:r>
      <w:r>
        <w:rPr>
          <w:b w:val="0"/>
          <w:sz w:val="22"/>
        </w:rPr>
        <w:t xml:space="preserve"> $1-3/user/month at scale.</w:t>
      </w:r>
    </w:p>
    <w:p>
      <w:pPr>
        <w:pStyle w:val="ListBullet"/>
        <w:spacing w:after="80"/>
      </w:pPr>
      <w:r>
        <w:rPr>
          <w:b/>
          <w:sz w:val="22"/>
        </w:rPr>
        <w:t>Total infrastructure COGS per user:</w:t>
      </w:r>
      <w:r>
        <w:rPr>
          <w:b w:val="0"/>
          <w:sz w:val="22"/>
        </w:rPr>
        <w:t xml:space="preserve"> $29.50-48/month. At $299 price point: 10-16% of revenue. Combined gross margin (AI + infrastructure): 74-80%.</w:t>
      </w:r>
    </w:p>
    <w:p>
      <w:pPr>
        <w:spacing w:before="80" w:after="80"/>
      </w:pPr>
      <w:r>
        <w:rPr>
          <w:color w:val="CCCCCC"/>
          <w:sz w:val="16"/>
        </w:rPr>
        <w:t>________________________________________________________________________</w:t>
      </w:r>
    </w:p>
    <w:p>
      <w:pPr>
        <w:spacing w:before="360" w:after="40"/>
      </w:pPr>
      <w:r>
        <w:rPr>
          <w:b/>
          <w:color w:val="17A589"/>
          <w:sz w:val="18"/>
        </w:rPr>
        <w:t>BUILD TIMELINE SUMMARY</w:t>
      </w:r>
    </w:p>
    <w:p>
      <w:pPr>
        <w:spacing w:before="240" w:after="80"/>
      </w:pPr>
      <w:r>
        <w:rPr>
          <w:b/>
          <w:sz w:val="22"/>
        </w:rPr>
        <w:t>Phase 1 -- MVP (Days 1-90)</w:t>
      </w:r>
    </w:p>
    <w:p>
      <w:pPr>
        <w:pStyle w:val="ListBullet"/>
        <w:spacing w:after="80"/>
      </w:pPr>
      <w:r>
        <w:rPr>
          <w:b/>
          <w:sz w:val="22"/>
        </w:rPr>
        <w:t>Days 1-14:</w:t>
      </w:r>
      <w:r>
        <w:rPr>
          <w:b w:val="0"/>
          <w:sz w:val="22"/>
        </w:rPr>
        <w:t xml:space="preserve"> Project scaffolding, monorepo setup, core data models, local PHI encryption layer, PII detection engine integration, LLMGateway abstraction.</w:t>
      </w:r>
    </w:p>
    <w:p>
      <w:pPr>
        <w:pStyle w:val="ListBullet"/>
        <w:spacing w:after="80"/>
      </w:pPr>
      <w:r>
        <w:rPr>
          <w:b/>
          <w:sz w:val="22"/>
        </w:rPr>
        <w:t>Days 15-45:</w:t>
      </w:r>
      <w:r>
        <w:rPr>
          <w:b w:val="0"/>
          <w:sz w:val="22"/>
        </w:rPr>
        <w:t xml:space="preserve"> Ingestor Agent, Diagnostician Agent, Writer Agent implementation. Review interface build. Four approval gate enforcement.</w:t>
      </w:r>
    </w:p>
    <w:p>
      <w:pPr>
        <w:pStyle w:val="ListBullet"/>
        <w:spacing w:after="80"/>
      </w:pPr>
      <w:r>
        <w:rPr>
          <w:b/>
          <w:sz w:val="22"/>
        </w:rPr>
        <w:t>Days 46-75:</w:t>
      </w:r>
      <w:r>
        <w:rPr>
          <w:b w:val="0"/>
          <w:sz w:val="22"/>
        </w:rPr>
        <w:t xml:space="preserve"> DOCX/PDF export, audit trail implementation, DSM-5-TR SQLite knowledge base integration, local RAG with LanceDB.</w:t>
      </w:r>
    </w:p>
    <w:p>
      <w:pPr>
        <w:pStyle w:val="ListBullet"/>
        <w:spacing w:after="80"/>
      </w:pPr>
      <w:r>
        <w:rPr>
          <w:b/>
          <w:sz w:val="22"/>
        </w:rPr>
        <w:t>Days 76-90:</w:t>
      </w:r>
      <w:r>
        <w:rPr>
          <w:b w:val="0"/>
          <w:sz w:val="22"/>
        </w:rPr>
        <w:t xml:space="preserve"> QA, golden case testing with de-identified evaluation samples, security audit, clinical advisor review. MVP release to 5-10 founding forensic customers.</w:t>
      </w:r>
    </w:p>
    <w:p>
      <w:pPr>
        <w:spacing w:before="240" w:after="80"/>
      </w:pPr>
      <w:r>
        <w:rPr>
          <w:b/>
          <w:sz w:val="22"/>
        </w:rPr>
        <w:t>Phase 2 -- Beta (Days 91-180)</w:t>
      </w:r>
    </w:p>
    <w:p>
      <w:pPr>
        <w:pStyle w:val="ListBullet"/>
        <w:spacing w:after="80"/>
      </w:pPr>
      <w:r>
        <w:rPr>
          <w:b/>
          <w:sz w:val="22"/>
        </w:rPr>
        <w:t>Days 91-120:</w:t>
      </w:r>
      <w:r>
        <w:rPr>
          <w:b w:val="0"/>
          <w:sz w:val="22"/>
        </w:rPr>
        <w:t xml:space="preserve"> Test Data Analyst Agent, Legal Reviewer Agent, Editor Agent, Fact Checker Agent, Orchestrator Agent. Full 8-agent pipeline operational.</w:t>
      </w:r>
    </w:p>
    <w:p>
      <w:pPr>
        <w:pStyle w:val="ListBullet"/>
        <w:spacing w:after="80"/>
      </w:pPr>
      <w:r>
        <w:rPr>
          <w:b/>
          <w:sz w:val="22"/>
        </w:rPr>
        <w:t>Days 121-150:</w:t>
      </w:r>
      <w:r>
        <w:rPr>
          <w:b w:val="0"/>
          <w:sz w:val="22"/>
        </w:rPr>
        <w:t xml:space="preserve"> Billing loop (CPT codes, ICD-10 crosswalk, superbill). SimplePractice and TherapyNotes API integrations. Voice input via Whisper WASM.</w:t>
      </w:r>
    </w:p>
    <w:p>
      <w:pPr>
        <w:pStyle w:val="ListBullet"/>
        <w:spacing w:after="80"/>
      </w:pPr>
      <w:r>
        <w:rPr>
          <w:b/>
          <w:sz w:val="22"/>
        </w:rPr>
        <w:t>Days 151-180:</w:t>
      </w:r>
      <w:r>
        <w:rPr>
          <w:b w:val="0"/>
          <w:sz w:val="22"/>
        </w:rPr>
        <w:t xml:space="preserve"> Group practice multi-seat model. Style training system v1. Beta release to 25-50 paying customers. SOC 2 audit period begins.</w:t>
      </w:r>
    </w:p>
    <w:p>
      <w:pPr>
        <w:spacing w:before="240" w:after="80"/>
      </w:pPr>
      <w:r>
        <w:rPr>
          <w:b/>
          <w:sz w:val="22"/>
        </w:rPr>
        <w:t>Phase 3 -- GA (Days 181-365)</w:t>
      </w:r>
    </w:p>
    <w:p>
      <w:pPr>
        <w:pStyle w:val="ListBullet"/>
        <w:spacing w:after="80"/>
      </w:pPr>
      <w:r>
        <w:rPr>
          <w:b/>
          <w:sz w:val="22"/>
        </w:rPr>
        <w:t>Days 181-270:</w:t>
      </w:r>
      <w:r>
        <w:rPr>
          <w:b w:val="0"/>
          <w:sz w:val="22"/>
        </w:rPr>
        <w:t xml:space="preserve"> Enterprise admin console, SSO, BAA infrastructure, Electron signed desktop app. Epic FHIR and Athenahealth integrations.</w:t>
      </w:r>
    </w:p>
    <w:p>
      <w:pPr>
        <w:pStyle w:val="ListBullet"/>
        <w:spacing w:after="80"/>
      </w:pPr>
      <w:r>
        <w:rPr>
          <w:b/>
          <w:sz w:val="22"/>
        </w:rPr>
        <w:t>Days 271-330:</w:t>
      </w:r>
      <w:r>
        <w:rPr>
          <w:b w:val="0"/>
          <w:sz w:val="22"/>
        </w:rPr>
        <w:t xml:space="preserve"> Assessment publisher integrations (Q-global, PARiConnect). Analytics dashboard. Full DSPy style training system.</w:t>
      </w:r>
    </w:p>
    <w:p>
      <w:pPr>
        <w:pStyle w:val="ListBullet"/>
        <w:spacing w:after="80"/>
      </w:pPr>
      <w:r>
        <w:rPr>
          <w:b/>
          <w:sz w:val="22"/>
        </w:rPr>
        <w:t>Days 331-365:</w:t>
      </w:r>
      <w:r>
        <w:rPr>
          <w:b w:val="0"/>
          <w:sz w:val="22"/>
        </w:rPr>
        <w:t xml:space="preserve"> SOC 2 Type II report completion. GA launch. Enterprise sales activation. Target: 100+ active paying customers at GA.</w:t>
      </w:r>
    </w:p>
    <w:p>
      <w:pPr>
        <w:spacing w:before="80" w:after="80"/>
      </w:pPr>
      <w:r>
        <w:rPr>
          <w:color w:val="CCCCCC"/>
          <w:sz w:val="16"/>
        </w:rPr>
        <w:t>________________________________________________________________________</w:t>
      </w:r>
    </w:p>
    <w:p>
      <w:pPr>
        <w:spacing w:before="360" w:after="40"/>
      </w:pPr>
      <w:r>
        <w:rPr>
          <w:b/>
          <w:color w:val="17A589"/>
          <w:sz w:val="18"/>
        </w:rPr>
        <w:t>KEY RISKS AND MITIGATIONS</w:t>
      </w:r>
    </w:p>
    <w:p>
      <w:pPr>
        <w:pStyle w:val="ListBullet"/>
        <w:spacing w:after="80"/>
      </w:pPr>
      <w:r>
        <w:rPr>
          <w:b/>
          <w:sz w:val="22"/>
        </w:rPr>
        <w:t>Clinical accuracy risk:</w:t>
      </w:r>
      <w:r>
        <w:rPr>
          <w:b w:val="0"/>
          <w:sz w:val="22"/>
        </w:rPr>
        <w:t xml:space="preserve"> Agent hallucination in a forensic context creates liability. Mitigation: four mandatory approval gates, fact checker agent cross-referencing all claims to source documents, immutable audit trail, golden case test suite run before every release.</w:t>
      </w:r>
    </w:p>
    <w:p>
      <w:pPr>
        <w:pStyle w:val="ListBullet"/>
        <w:spacing w:after="80"/>
      </w:pPr>
      <w:r>
        <w:rPr>
          <w:b/>
          <w:sz w:val="22"/>
        </w:rPr>
        <w:t>Model pricing risk:</w:t>
      </w:r>
      <w:r>
        <w:rPr>
          <w:b w:val="0"/>
          <w:sz w:val="22"/>
        </w:rPr>
        <w:t xml:space="preserve"> Claude Sonnet pricing changes affect per-evaluation margins. Mitigation: LLMGateway abstraction enables switching to GPT-4o, Gemini, or locally-hosted models (Ollama) within one configuration change. No single-vendor dependency.</w:t>
      </w:r>
    </w:p>
    <w:p>
      <w:pPr>
        <w:pStyle w:val="ListBullet"/>
        <w:spacing w:after="80"/>
      </w:pPr>
      <w:r>
        <w:rPr>
          <w:b/>
          <w:sz w:val="22"/>
        </w:rPr>
        <w:t>Build velocity risk:</w:t>
      </w:r>
      <w:r>
        <w:rPr>
          <w:b w:val="0"/>
          <w:sz w:val="22"/>
        </w:rPr>
        <w:t xml:space="preserve"> Agent-driven development is fast but requires daily human review to catch compounding errors. Mitigation: human engineer reviews and merges all agent output daily. No agent code goes to production without human sign-off.</w:t>
      </w:r>
    </w:p>
    <w:p>
      <w:pPr>
        <w:pStyle w:val="ListBullet"/>
        <w:spacing w:after="80"/>
      </w:pPr>
      <w:r>
        <w:rPr>
          <w:b/>
          <w:sz w:val="22"/>
        </w:rPr>
        <w:t>Regulatory risk:</w:t>
      </w:r>
      <w:r>
        <w:rPr>
          <w:b w:val="0"/>
          <w:sz w:val="22"/>
        </w:rPr>
        <w:t xml:space="preserve"> FDA clinical decision support guidance may expand oversight of AI diagnostic assistance tools. Mitigation: architecture designed to qualify for clinical decision support software exemption (informational, requires clinician interpretation). Compliance agent monitors FDA guidance updates continuously.</w:t>
      </w:r>
    </w:p>
    <w:sectPr w:rsidR="00FC693F" w:rsidRPr="0006063C" w:rsidSect="00034616">
      <w:footerReference w:type="default" r:id="rId9"/>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7A589"/>
        <w:sz w:val="18"/>
      </w:rPr>
      <w:t>psygnosi.com | a Foundry SMB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