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left"/>
      </w:pPr>
      <w:r>
        <w:rPr>
          <w:b/>
          <w:color w:val="0D3B5C"/>
          <w:sz w:val="44"/>
        </w:rPr>
        <w:t>Forensai</w:t>
      </w:r>
    </w:p>
    <w:p>
      <w:pPr>
        <w:jc w:val="left"/>
      </w:pPr>
      <w:r>
        <w:rPr>
          <w:color w:val="555555"/>
          <w:sz w:val="26"/>
        </w:rPr>
        <w:t>AI Psychological Evaluation Platform -- Foundry SMB</w:t>
      </w:r>
    </w:p>
    <w:p>
      <w:pPr>
        <w:jc w:val="left"/>
      </w:pPr>
      <w:r>
        <w:rPr>
          <w:color w:val="999999"/>
          <w:sz w:val="18"/>
        </w:rPr>
        <w:t>3-Year Business Plan   |   March 2026   |   Confidential</w:t>
      </w:r>
    </w:p>
    <w:p>
      <w:pPr>
        <w:spacing w:before="120" w:after="120"/>
      </w:pPr>
      <w:r>
        <w:rPr>
          <w:color w:val="CCCCCC"/>
          <w:sz w:val="16"/>
        </w:rPr>
        <w:t>________________________________________________________________________</w:t>
      </w:r>
    </w:p>
    <w:p>
      <w:pPr>
        <w:spacing w:before="360" w:after="80"/>
      </w:pPr>
      <w:r>
        <w:rPr>
          <w:b/>
          <w:color w:val="17A589"/>
          <w:sz w:val="18"/>
        </w:rPr>
        <w:t>COMPANY OVERVIEW</w:t>
      </w:r>
    </w:p>
    <w:p>
      <w:pPr>
        <w:spacing w:after="160"/>
      </w:pPr>
      <w:r>
        <w:rPr>
          <w:sz w:val="22"/>
        </w:rPr>
        <w:t>Forensai is an AI-powered psychological evaluation platform built by Foundry SMB. It serves doctoral-level licensed psychologists -- forensic, neuropsychological, clinical, and hospital-based -- who conduct formal evaluations resulting in written reports. Forensai automates the documentation workflow through an 8-agent AI system while keeping all patient-identifying information local on the practitioner's machine. No PHI ever crosses the internet. Non-PHI case data transmits to build aggregate learning and benchmarking.</w:t>
      </w:r>
    </w:p>
    <w:p>
      <w:pPr>
        <w:spacing w:after="160"/>
      </w:pPr>
      <w:r>
        <w:rPr>
          <w:sz w:val="22"/>
        </w:rPr>
        <w:t>The platform is the only purpose-built tool for the formal psychological evaluation workflow. Competitors build therapy note tools for 50-minute sessions. Forensai builds evaluation infrastructure for 8-15 hour multi-day assessment processes with legal and professional liability attached.</w:t>
      </w:r>
    </w:p>
    <w:p>
      <w:pPr>
        <w:spacing w:before="120" w:after="120"/>
      </w:pPr>
      <w:r>
        <w:rPr>
          <w:color w:val="CCCCCC"/>
          <w:sz w:val="16"/>
        </w:rPr>
        <w:t>________________________________________________________________________</w:t>
      </w:r>
    </w:p>
    <w:p>
      <w:pPr>
        <w:spacing w:before="360" w:after="80"/>
      </w:pPr>
      <w:r>
        <w:rPr>
          <w:b/>
          <w:color w:val="17A589"/>
          <w:sz w:val="18"/>
        </w:rPr>
        <w:t>MISSION AND VISION</w:t>
      </w:r>
    </w:p>
    <w:p>
      <w:pPr>
        <w:spacing w:before="240" w:after="80"/>
      </w:pPr>
      <w:r>
        <w:rPr>
          <w:b/>
          <w:sz w:val="22"/>
        </w:rPr>
        <w:t>Mission</w:t>
      </w:r>
    </w:p>
    <w:p>
      <w:pPr>
        <w:spacing w:after="160"/>
      </w:pPr>
      <w:r>
        <w:rPr>
          <w:sz w:val="22"/>
        </w:rPr>
        <w:t>Give every licensed psychologist the documentation infrastructure to practice at the top of their license -- more time with patients, less time writing, and complete confidence in every report they sign.</w:t>
      </w:r>
    </w:p>
    <w:p>
      <w:pPr>
        <w:spacing w:before="240" w:after="80"/>
      </w:pPr>
      <w:r>
        <w:rPr>
          <w:b/>
          <w:sz w:val="22"/>
        </w:rPr>
        <w:t>Vision</w:t>
      </w:r>
    </w:p>
    <w:p>
      <w:pPr>
        <w:spacing w:after="160"/>
      </w:pPr>
      <w:r>
        <w:rPr>
          <w:sz w:val="22"/>
        </w:rPr>
        <w:t>Forensai becomes the mandatory infrastructure layer for the psychology evaluation profession. Every formal psychological evaluation -- forensic, clinical, neuropsychological, hospital-based -- processed through Forensai. The proprietary labeled evaluation dataset Forensai builds becomes the foundation for the first actuarially validated AI risk assessment instrument in psychology.</w:t>
      </w:r>
    </w:p>
    <w:p>
      <w:pPr>
        <w:spacing w:before="120" w:after="120"/>
      </w:pPr>
      <w:r>
        <w:rPr>
          <w:color w:val="CCCCCC"/>
          <w:sz w:val="16"/>
        </w:rPr>
        <w:t>________________________________________________________________________</w:t>
      </w:r>
    </w:p>
    <w:p>
      <w:pPr>
        <w:spacing w:before="360" w:after="80"/>
      </w:pPr>
      <w:r>
        <w:rPr>
          <w:b/>
          <w:color w:val="17A589"/>
          <w:sz w:val="18"/>
        </w:rPr>
        <w:t>MARKET OPPORTUNITY</w:t>
      </w:r>
    </w:p>
    <w:p>
      <w:pPr>
        <w:spacing w:before="240" w:after="80"/>
      </w:pPr>
      <w:r>
        <w:rPr>
          <w:b/>
          <w:sz w:val="22"/>
        </w:rPr>
        <w:t>Total Addressable Market</w:t>
      </w:r>
    </w:p>
    <w:p>
      <w:pPr>
        <w:spacing w:after="160"/>
      </w:pPr>
      <w:r>
        <w:rPr>
          <w:sz w:val="22"/>
        </w:rPr>
        <w:t>103,000 doctoral-level licensed psychologists in the US conduct formal evaluations. Blended average price at $250/month. US TAM: $379M ARR. Global TAM (US plus UK, Canada, Australia, EU): $650-680M ARR. At 10% US penetration over 7 years: $37.9M ARR. At 12x ARR strategic acquisition multiple: $455M exit. At 18x infrastructure category premium: $682M.</w:t>
      </w:r>
    </w:p>
    <w:p>
      <w:pPr>
        <w:spacing w:before="240" w:after="80"/>
      </w:pPr>
      <w:r>
        <w:rPr>
          <w:b/>
          <w:sz w:val="22"/>
        </w:rPr>
        <w:t>Market Segments</w:t>
      </w:r>
    </w:p>
    <w:p>
      <w:pPr>
        <w:pStyle w:val="ListBullet"/>
        <w:spacing w:after="120"/>
      </w:pPr>
      <w:r>
        <w:rPr>
          <w:b/>
          <w:sz w:val="22"/>
        </w:rPr>
        <w:t>Forensic Psychology -- 8,000 practitioners, $349/month:</w:t>
      </w:r>
      <w:r>
        <w:rPr>
          <w:b w:val="0"/>
          <w:sz w:val="22"/>
        </w:rPr>
        <w:t xml:space="preserve"> Primary wedge market. Uncontested by any competitor. Highest documentation burden, highest legal stakes. Segment TAM: $33M.</w:t>
      </w:r>
    </w:p>
    <w:p>
      <w:pPr>
        <w:pStyle w:val="ListBullet"/>
        <w:spacing w:after="120"/>
      </w:pPr>
      <w:r>
        <w:rPr>
          <w:b/>
          <w:sz w:val="22"/>
        </w:rPr>
        <w:t>Neuropsychology -- 12,000 practitioners, $399/month:</w:t>
      </w:r>
      <w:r>
        <w:rPr>
          <w:b w:val="0"/>
          <w:sz w:val="22"/>
        </w:rPr>
        <w:t xml:space="preserve"> Year 2 expansion. Highest standardized battery volume. Reports routinely exceed 30 pages. Segment TAM: $57M.</w:t>
      </w:r>
    </w:p>
    <w:p>
      <w:pPr>
        <w:pStyle w:val="ListBullet"/>
        <w:spacing w:after="120"/>
      </w:pPr>
      <w:r>
        <w:rPr>
          <w:b/>
          <w:sz w:val="22"/>
        </w:rPr>
        <w:t>Clinical Private Practice -- 65,000 practitioners, $249/month:</w:t>
      </w:r>
      <w:r>
        <w:rPr>
          <w:b w:val="0"/>
          <w:sz w:val="22"/>
        </w:rPr>
        <w:t xml:space="preserve"> Year 2-3 expansion. Largest segment. Insurance-based billing makes the CPT/ICD-10 loop a primary retention feature. Segment TAM: $194M.</w:t>
      </w:r>
    </w:p>
    <w:p>
      <w:pPr>
        <w:pStyle w:val="ListBullet"/>
        <w:spacing w:after="120"/>
      </w:pPr>
      <w:r>
        <w:rPr>
          <w:b/>
          <w:sz w:val="22"/>
        </w:rPr>
        <w:t>Hospital and Inpatient -- 18,000 practitioners, $299/month:</w:t>
      </w:r>
      <w:r>
        <w:rPr>
          <w:b w:val="0"/>
          <w:sz w:val="22"/>
        </w:rPr>
        <w:t xml:space="preserve"> Year 3 enterprise motion. System-level procurement. Segment TAM: $65M.</w:t>
      </w:r>
    </w:p>
    <w:p>
      <w:pPr>
        <w:pStyle w:val="ListBullet"/>
        <w:spacing w:after="120"/>
      </w:pPr>
      <w:r>
        <w:rPr>
          <w:b/>
          <w:sz w:val="22"/>
        </w:rPr>
        <w:t>I-O and Employment Assessment -- 10,000 practitioners, $249/month:</w:t>
      </w:r>
      <w:r>
        <w:rPr>
          <w:b w:val="0"/>
          <w:sz w:val="22"/>
        </w:rPr>
        <w:t xml:space="preserve"> Year 3 expansion. Segment TAM: $30M.</w:t>
      </w:r>
    </w:p>
    <w:p>
      <w:pPr>
        <w:spacing w:before="120" w:after="120"/>
      </w:pPr>
      <w:r>
        <w:rPr>
          <w:color w:val="CCCCCC"/>
          <w:sz w:val="16"/>
        </w:rPr>
        <w:t>________________________________________________________________________</w:t>
      </w:r>
    </w:p>
    <w:p>
      <w:pPr>
        <w:spacing w:before="360" w:after="80"/>
      </w:pPr>
      <w:r>
        <w:rPr>
          <w:b/>
          <w:color w:val="17A589"/>
          <w:sz w:val="18"/>
        </w:rPr>
        <w:t>PRODUCT STRATEGY</w:t>
      </w:r>
    </w:p>
    <w:p>
      <w:pPr>
        <w:spacing w:after="160"/>
      </w:pPr>
      <w:r>
        <w:rPr>
          <w:sz w:val="22"/>
        </w:rPr>
        <w:t>Forensai ships in three phases. MVP in 90 days targets forensic psychologists with three operating agents and professional report export. Beta at Day 180 adds five agents, billing integration, assessment score ingestion, and group practice multi-seat. GA at Day 365 adds enterprise security certification, EHR integrations, and assessment publisher partnerships.</w:t>
      </w:r>
    </w:p>
    <w:p>
      <w:pPr>
        <w:spacing w:after="160"/>
      </w:pPr>
      <w:r>
        <w:rPr>
          <w:sz w:val="22"/>
        </w:rPr>
        <w:t>The product has four structural advantages no competitor can replicate without a full rebuild: (1) local-first PHI architecture that satisfies every compliance requirement simultaneously, (2) full 8-agent evaluation pipeline purpose-built for formal evaluations rather than session notes, (3) closed billing loop with automatic CPT coding and ICD-10 crosswalk, and (4) a proprietary labeled evaluation dataset that grows automatically with the user base and cannot be purchased elsewhere.</w:t>
      </w:r>
    </w:p>
    <w:p>
      <w:pPr>
        <w:spacing w:before="120" w:after="120"/>
      </w:pPr>
      <w:r>
        <w:rPr>
          <w:color w:val="CCCCCC"/>
          <w:sz w:val="16"/>
        </w:rPr>
        <w:t>________________________________________________________________________</w:t>
      </w:r>
    </w:p>
    <w:p>
      <w:pPr>
        <w:spacing w:before="360" w:after="80"/>
      </w:pPr>
      <w:r>
        <w:rPr>
          <w:b/>
          <w:color w:val="17A589"/>
          <w:sz w:val="18"/>
        </w:rPr>
        <w:t>REVENUE MODEL AND PRICING</w:t>
      </w:r>
    </w:p>
    <w:p>
      <w:pPr>
        <w:spacing w:before="240" w:after="80"/>
      </w:pPr>
      <w:r>
        <w:rPr>
          <w:b/>
          <w:sz w:val="22"/>
        </w:rPr>
        <w:t>Pricing Tiers</w:t>
      </w:r>
    </w:p>
    <w:p>
      <w:pPr>
        <w:pStyle w:val="ListBullet"/>
        <w:spacing w:after="120"/>
      </w:pPr>
      <w:r>
        <w:rPr>
          <w:b/>
          <w:sz w:val="22"/>
        </w:rPr>
        <w:t>Individual Forensic -- $349/month:</w:t>
      </w:r>
      <w:r>
        <w:rPr>
          <w:b w:val="0"/>
          <w:sz w:val="22"/>
        </w:rPr>
        <w:t xml:space="preserve"> Primary entry tier. Forensic psychologists. Unlimited evaluations. Full 8-agent pipeline. Audit trail and export included.</w:t>
      </w:r>
    </w:p>
    <w:p>
      <w:pPr>
        <w:pStyle w:val="ListBullet"/>
        <w:spacing w:after="120"/>
      </w:pPr>
      <w:r>
        <w:rPr>
          <w:b/>
          <w:sz w:val="22"/>
        </w:rPr>
        <w:t>Individual Neuropsychology -- $399/month:</w:t>
      </w:r>
      <w:r>
        <w:rPr>
          <w:b w:val="0"/>
          <w:sz w:val="22"/>
        </w:rPr>
        <w:t xml:space="preserve"> Neuropsychology tier with extended battery integration (WAIS-IV, D-KEFS, RBANS, Delis-Kaplan, WMS-IV). Normative database access.</w:t>
      </w:r>
    </w:p>
    <w:p>
      <w:pPr>
        <w:pStyle w:val="ListBullet"/>
        <w:spacing w:after="120"/>
      </w:pPr>
      <w:r>
        <w:rPr>
          <w:b/>
          <w:sz w:val="22"/>
        </w:rPr>
        <w:t>Individual Clinical -- $299/month:</w:t>
      </w:r>
      <w:r>
        <w:rPr>
          <w:b w:val="0"/>
          <w:sz w:val="22"/>
        </w:rPr>
        <w:t xml:space="preserve"> Clinical private practice tier. Full billing loop. SimplePractice, TherapyNotes, Jane App integration. CPT auto-coding.</w:t>
      </w:r>
    </w:p>
    <w:p>
      <w:pPr>
        <w:pStyle w:val="ListBullet"/>
        <w:spacing w:after="120"/>
      </w:pPr>
      <w:r>
        <w:rPr>
          <w:b/>
          <w:sz w:val="22"/>
        </w:rPr>
        <w:t>Group Practice -- $499/month base plus $99/seat:</w:t>
      </w:r>
      <w:r>
        <w:rPr>
          <w:b w:val="0"/>
          <w:sz w:val="22"/>
        </w:rPr>
        <w:t xml:space="preserve"> Multi-practitioner practices. Admin dashboard. Shared templates. Individual PHI stores per practitioner.</w:t>
      </w:r>
    </w:p>
    <w:p>
      <w:pPr>
        <w:pStyle w:val="ListBullet"/>
        <w:spacing w:after="120"/>
      </w:pPr>
      <w:r>
        <w:rPr>
          <w:b/>
          <w:sz w:val="22"/>
        </w:rPr>
        <w:t>Hospital Enterprise -- $8,000-50,000/year:</w:t>
      </w:r>
      <w:r>
        <w:rPr>
          <w:b w:val="0"/>
          <w:sz w:val="22"/>
        </w:rPr>
        <w:t xml:space="preserve"> Hospital systems and large group practices. Custom pricing. SSO, audit log export, dedicated support, BAA. SOC 2 Type II required.</w:t>
      </w:r>
    </w:p>
    <w:p>
      <w:pPr>
        <w:pStyle w:val="ListBullet"/>
        <w:spacing w:after="120"/>
      </w:pPr>
      <w:r>
        <w:rPr>
          <w:b/>
          <w:sz w:val="22"/>
        </w:rPr>
        <w:t>Per-Report Credit -- $45:</w:t>
      </w:r>
      <w:r>
        <w:rPr>
          <w:b w:val="0"/>
          <w:sz w:val="22"/>
        </w:rPr>
        <w:t xml:space="preserve"> Top-of-funnel entry point. No subscription required. 5 credits for $199. Converts to subscription after 3 reports average.</w:t>
      </w:r>
    </w:p>
    <w:p>
      <w:pPr>
        <w:spacing w:before="240" w:after="80"/>
      </w:pPr>
      <w:r>
        <w:rPr>
          <w:b/>
          <w:sz w:val="22"/>
        </w:rPr>
        <w:t>Revenue Projections</w:t>
      </w:r>
    </w:p>
    <w:p>
      <w:pPr>
        <w:pStyle w:val="ListBullet"/>
        <w:spacing w:after="120"/>
      </w:pPr>
      <w:r>
        <w:rPr>
          <w:b/>
          <w:sz w:val="22"/>
        </w:rPr>
        <w:t>Year 1 (2026) -- Target: $180K-$360K ARR:</w:t>
      </w:r>
      <w:r>
        <w:rPr>
          <w:b w:val="0"/>
          <w:sz w:val="22"/>
        </w:rPr>
        <w:t xml:space="preserve"> 0 to 50-100 paying customers. Forensic wedge only. 85% individual tier, 15% group practice. Monthly revenue ramp from $0 (Month 1) to $30,000 (Month 12). Burn rate exceeds revenue throughout Year 1.</w:t>
      </w:r>
    </w:p>
    <w:p>
      <w:pPr>
        <w:pStyle w:val="ListBullet"/>
        <w:spacing w:after="120"/>
      </w:pPr>
      <w:r>
        <w:rPr>
          <w:b/>
          <w:sz w:val="22"/>
        </w:rPr>
        <w:t>Year 2 (2027) -- Target: $1.0M-$2.0M ARR:</w:t>
      </w:r>
      <w:r>
        <w:rPr>
          <w:b w:val="0"/>
          <w:sz w:val="22"/>
        </w:rPr>
        <w:t xml:space="preserve"> 100-600 paying customers. Forensic plus neuropsychology plus clinical launch. Group practice motion active. First enterprise contracts. Monthly recurring revenue reaches $85,000-165,000 by December 2027. Break-even possible at end of Year 2 in base scenario.</w:t>
      </w:r>
    </w:p>
    <w:p>
      <w:pPr>
        <w:pStyle w:val="ListBullet"/>
        <w:spacing w:after="120"/>
      </w:pPr>
      <w:r>
        <w:rPr>
          <w:b/>
          <w:sz w:val="22"/>
        </w:rPr>
        <w:t>Year 3 (2028) -- Target: $3.5M-$6.0M ARR:</w:t>
      </w:r>
      <w:r>
        <w:rPr>
          <w:b w:val="0"/>
          <w:sz w:val="22"/>
        </w:rPr>
        <w:t xml:space="preserve"> 600-2,000 paying customers. Full market coverage. Hospital enterprise contracts contributing 20-30% of revenue. Monthly recurring revenue reaches $290,000-500,000 by December 2028. Profitable in base scenario.</w:t>
      </w:r>
    </w:p>
    <w:p>
      <w:pPr>
        <w:spacing w:before="240" w:after="80"/>
      </w:pPr>
      <w:r>
        <w:rPr>
          <w:b/>
          <w:sz w:val="22"/>
        </w:rPr>
        <w:t>Unit Economics</w:t>
      </w:r>
    </w:p>
    <w:p>
      <w:pPr>
        <w:pStyle w:val="ListBullet"/>
        <w:spacing w:after="120"/>
      </w:pPr>
      <w:r>
        <w:rPr>
          <w:b/>
          <w:sz w:val="22"/>
        </w:rPr>
        <w:t>Gross margin:</w:t>
      </w:r>
      <w:r>
        <w:rPr>
          <w:b w:val="0"/>
          <w:sz w:val="22"/>
        </w:rPr>
        <w:t xml:space="preserve"> 74-80% at scale after AI compute and infrastructure COGS. Best-in-class for SaaS. Improves as LLM pricing continues to decline and local model options mature.</w:t>
      </w:r>
    </w:p>
    <w:p>
      <w:pPr>
        <w:pStyle w:val="ListBullet"/>
        <w:spacing w:after="120"/>
      </w:pPr>
      <w:r>
        <w:rPr>
          <w:b/>
          <w:sz w:val="22"/>
        </w:rPr>
        <w:t>Customer acquisition cost (CAC):</w:t>
      </w:r>
      <w:r>
        <w:rPr>
          <w:b w:val="0"/>
          <w:sz w:val="22"/>
        </w:rPr>
        <w:t xml:space="preserve"> Year 1: $400-800 per customer (community-led, low paid spend). Year 2: $600-1,200 (conference + content + limited paid). Year 3: $800-2,000 (enterprise sales included in blended).</w:t>
      </w:r>
    </w:p>
    <w:p>
      <w:pPr>
        <w:pStyle w:val="ListBullet"/>
        <w:spacing w:after="120"/>
      </w:pPr>
      <w:r>
        <w:rPr>
          <w:b/>
          <w:sz w:val="22"/>
        </w:rPr>
        <w:t>Lifetime value (LTV):</w:t>
      </w:r>
      <w:r>
        <w:rPr>
          <w:b w:val="0"/>
          <w:sz w:val="22"/>
        </w:rPr>
        <w:t xml:space="preserve"> Individual practitioner average retention: 36 months. LTV at $349/month: $12,564. LTV:CAC ratio Year 1: 15-30x. Excellent.</w:t>
      </w:r>
    </w:p>
    <w:p>
      <w:pPr>
        <w:pStyle w:val="ListBullet"/>
        <w:spacing w:after="120"/>
      </w:pPr>
      <w:r>
        <w:rPr>
          <w:b/>
          <w:sz w:val="22"/>
        </w:rPr>
        <w:t>Net Revenue Retention (NRR):</w:t>
      </w:r>
      <w:r>
        <w:rPr>
          <w:b w:val="0"/>
          <w:sz w:val="22"/>
        </w:rPr>
        <w:t xml:space="preserve"> Target 115-125%. Driven by seat expansion in group practices and tier upgrades as practitioners add specialties. Billing integration activation is primary upgrade trigger.</w:t>
      </w:r>
    </w:p>
    <w:p>
      <w:pPr>
        <w:pStyle w:val="ListBullet"/>
        <w:spacing w:after="120"/>
      </w:pPr>
      <w:r>
        <w:rPr>
          <w:b/>
          <w:sz w:val="22"/>
        </w:rPr>
        <w:t>Churn target:</w:t>
      </w:r>
      <w:r>
        <w:rPr>
          <w:b w:val="0"/>
          <w:sz w:val="22"/>
        </w:rPr>
        <w:t xml:space="preserve"> Below 5% annually once billing integration is active. Practitioners whose revenue cycle runs through Forensai face high switching costs.</w:t>
      </w:r>
    </w:p>
    <w:p>
      <w:pPr>
        <w:spacing w:before="120" w:after="120"/>
      </w:pPr>
      <w:r>
        <w:rPr>
          <w:color w:val="CCCCCC"/>
          <w:sz w:val="16"/>
        </w:rPr>
        <w:t>________________________________________________________________________</w:t>
      </w:r>
    </w:p>
    <w:p>
      <w:pPr>
        <w:spacing w:before="360" w:after="80"/>
      </w:pPr>
      <w:r>
        <w:rPr>
          <w:b/>
          <w:color w:val="17A589"/>
          <w:sz w:val="18"/>
        </w:rPr>
        <w:t>HUMAN CAPITAL PLAN</w:t>
      </w:r>
    </w:p>
    <w:p>
      <w:pPr>
        <w:spacing w:before="240" w:after="80"/>
      </w:pPr>
      <w:r>
        <w:rPr>
          <w:b/>
          <w:sz w:val="22"/>
        </w:rPr>
        <w:t>Year 1 Team</w:t>
      </w:r>
    </w:p>
    <w:p>
      <w:pPr>
        <w:pStyle w:val="ListBullet"/>
        <w:spacing w:after="120"/>
      </w:pPr>
      <w:r>
        <w:rPr>
          <w:b/>
          <w:sz w:val="22"/>
        </w:rPr>
        <w:t>CEO -- Truck Irwin (human, Foundry SMB):</w:t>
      </w:r>
      <w:r>
        <w:rPr>
          <w:b w:val="0"/>
          <w:sz w:val="22"/>
        </w:rPr>
        <w:t xml:space="preserve"> Strategy, investor relations, key customer relationships, product direction, all irreversible decisions.</w:t>
      </w:r>
    </w:p>
    <w:p>
      <w:pPr>
        <w:pStyle w:val="ListBullet"/>
        <w:spacing w:after="120"/>
      </w:pPr>
      <w:r>
        <w:rPr>
          <w:b/>
          <w:sz w:val="22"/>
        </w:rPr>
        <w:t>Senior Engineer (human hire, Q1 2026):</w:t>
      </w:r>
      <w:r>
        <w:rPr>
          <w:b w:val="0"/>
          <w:sz w:val="22"/>
        </w:rPr>
        <w:t xml:space="preserve"> Architecture oversight, daily code review of agent output, production deployment authority, security review. Compensation: $180,000-220,000 base plus equity. This is the single most important hire in Year 1.</w:t>
      </w:r>
    </w:p>
    <w:p>
      <w:pPr>
        <w:pStyle w:val="ListBullet"/>
        <w:spacing w:after="120"/>
      </w:pPr>
      <w:r>
        <w:rPr>
          <w:b/>
          <w:sz w:val="22"/>
        </w:rPr>
        <w:t>2-3 ABPP Clinical Advisors (equity, no cash):</w:t>
      </w:r>
      <w:r>
        <w:rPr>
          <w:b w:val="0"/>
          <w:sz w:val="22"/>
        </w:rPr>
        <w:t xml:space="preserve"> Board-certified forensic psychologists. Shape clinical product decisions. Serve as reference customers. Provide professional credibility for grant applications and enterprise sales. Advisory equity: 0.25-0.5% each.</w:t>
      </w:r>
    </w:p>
    <w:p>
      <w:pPr>
        <w:pStyle w:val="ListBullet"/>
        <w:spacing w:after="120"/>
      </w:pPr>
      <w:r>
        <w:rPr>
          <w:b/>
          <w:sz w:val="22"/>
        </w:rPr>
        <w:t>17 AI Agents (no salary -- compute cost only):</w:t>
      </w:r>
      <w:r>
        <w:rPr>
          <w:b w:val="0"/>
          <w:sz w:val="22"/>
        </w:rPr>
        <w:t xml:space="preserve"> Full engineering, design, security, product, and business operations. Compute cost: $50,000-80,000 annually across all build and operations activities.</w:t>
      </w:r>
    </w:p>
    <w:p>
      <w:pPr>
        <w:spacing w:before="240" w:after="80"/>
      </w:pPr>
      <w:r>
        <w:rPr>
          <w:b/>
          <w:sz w:val="22"/>
        </w:rPr>
        <w:t>Year 2 Additions</w:t>
      </w:r>
    </w:p>
    <w:p>
      <w:pPr>
        <w:pStyle w:val="ListBullet"/>
        <w:spacing w:after="120"/>
      </w:pPr>
      <w:r>
        <w:rPr>
          <w:b/>
          <w:sz w:val="22"/>
        </w:rPr>
        <w:t>Customer Success Lead (human, Q1 2027) -- $90,000-110,000:</w:t>
      </w:r>
      <w:r>
        <w:rPr>
          <w:b w:val="0"/>
          <w:sz w:val="22"/>
        </w:rPr>
        <w:t xml:space="preserve"> Owns onboarding, retention, NPS, and reference customer program. Critical for reducing churn as customer base scales past 100.</w:t>
      </w:r>
    </w:p>
    <w:p>
      <w:pPr>
        <w:pStyle w:val="ListBullet"/>
        <w:spacing w:after="120"/>
      </w:pPr>
      <w:r>
        <w:rPr>
          <w:b/>
          <w:sz w:val="22"/>
        </w:rPr>
        <w:t>Enterprise Sales Rep 1 (human, Q2 2027) -- $120,000 base plus commission:</w:t>
      </w:r>
      <w:r>
        <w:rPr>
          <w:b w:val="0"/>
          <w:sz w:val="22"/>
        </w:rPr>
        <w:t xml:space="preserve"> Targets group practices (5-20 seats) and hospital system pilots. On-target earnings $200,000-240,000.</w:t>
      </w:r>
    </w:p>
    <w:p>
      <w:pPr>
        <w:pStyle w:val="ListBullet"/>
        <w:spacing w:after="120"/>
      </w:pPr>
      <w:r>
        <w:rPr>
          <w:b/>
          <w:sz w:val="22"/>
        </w:rPr>
        <w:t>Compliance Officer (human or fractional, Q3 2027) -- $80,000-140,000:</w:t>
      </w:r>
      <w:r>
        <w:rPr>
          <w:b w:val="0"/>
          <w:sz w:val="22"/>
        </w:rPr>
        <w:t xml:space="preserve"> SOC 2 Type II preparation, HIPAA risk assessment updates, BAA management, state licensing board monitoring. Can begin as fractional at $60-80K before full-time hire.</w:t>
      </w:r>
    </w:p>
    <w:p>
      <w:pPr>
        <w:spacing w:before="240" w:after="80"/>
      </w:pPr>
      <w:r>
        <w:rPr>
          <w:b/>
          <w:sz w:val="22"/>
        </w:rPr>
        <w:t>Year 3 Additions</w:t>
      </w:r>
    </w:p>
    <w:p>
      <w:pPr>
        <w:pStyle w:val="ListBullet"/>
        <w:spacing w:after="120"/>
      </w:pPr>
      <w:r>
        <w:rPr>
          <w:b/>
          <w:sz w:val="22"/>
        </w:rPr>
        <w:t>CTO (human, Q1 2028) -- $220,000-260,000:</w:t>
      </w:r>
      <w:r>
        <w:rPr>
          <w:b w:val="0"/>
          <w:sz w:val="22"/>
        </w:rPr>
        <w:t xml:space="preserve"> Takes over engineering direction as product complexity scales. Senior enough to own enterprise security architecture and assessment publisher partnership negotiations.</w:t>
      </w:r>
    </w:p>
    <w:p>
      <w:pPr>
        <w:pStyle w:val="ListBullet"/>
        <w:spacing w:after="120"/>
      </w:pPr>
      <w:r>
        <w:rPr>
          <w:b/>
          <w:sz w:val="22"/>
        </w:rPr>
        <w:t>VP Sales (human, Q1 2028) -- $180,000 base plus commission:</w:t>
      </w:r>
      <w:r>
        <w:rPr>
          <w:b w:val="0"/>
          <w:sz w:val="22"/>
        </w:rPr>
        <w:t xml:space="preserve"> Builds the sales team. Owns hospital and large group practice pipeline. OTE $320,000-380,000.</w:t>
      </w:r>
    </w:p>
    <w:p>
      <w:pPr>
        <w:pStyle w:val="ListBullet"/>
        <w:spacing w:after="120"/>
      </w:pPr>
      <w:r>
        <w:rPr>
          <w:b/>
          <w:sz w:val="22"/>
        </w:rPr>
        <w:t>Enterprise Sales Rep 2 (Q2 2028) -- $120,000 base plus commission:</w:t>
      </w:r>
      <w:r>
        <w:rPr>
          <w:b w:val="0"/>
          <w:sz w:val="22"/>
        </w:rPr>
        <w:t xml:space="preserve"> Second enterprise rep as pipeline justifies it.</w:t>
      </w:r>
    </w:p>
    <w:p>
      <w:pPr>
        <w:pStyle w:val="ListBullet"/>
        <w:spacing w:after="120"/>
      </w:pPr>
      <w:r>
        <w:rPr>
          <w:b/>
          <w:sz w:val="22"/>
        </w:rPr>
        <w:t>Marketing Manager (Q2 2028) -- $90,000-110,000:</w:t>
      </w:r>
      <w:r>
        <w:rPr>
          <w:b w:val="0"/>
          <w:sz w:val="22"/>
        </w:rPr>
        <w:t xml:space="preserve"> Content, conference, and community strategy execution. Owns the channels that generate inbound at scale.</w:t>
      </w:r>
    </w:p>
    <w:p>
      <w:pPr>
        <w:spacing w:before="120" w:after="120"/>
      </w:pPr>
      <w:r>
        <w:rPr>
          <w:color w:val="CCCCCC"/>
          <w:sz w:val="16"/>
        </w:rPr>
        <w:t>________________________________________________________________________</w:t>
      </w:r>
    </w:p>
    <w:p>
      <w:pPr>
        <w:spacing w:before="360" w:after="80"/>
      </w:pPr>
      <w:r>
        <w:rPr>
          <w:b/>
          <w:color w:val="17A589"/>
          <w:sz w:val="18"/>
        </w:rPr>
        <w:t>FUNDING STRATEGY</w:t>
      </w:r>
    </w:p>
    <w:p>
      <w:pPr>
        <w:pStyle w:val="ListBullet"/>
        <w:spacing w:after="120"/>
      </w:pPr>
      <w:r>
        <w:rPr>
          <w:b/>
          <w:sz w:val="22"/>
        </w:rPr>
        <w:t>Scenario A -- Bootstrap + SBIR:</w:t>
      </w:r>
      <w:r>
        <w:rPr>
          <w:b w:val="0"/>
          <w:sz w:val="22"/>
        </w:rPr>
        <w:t xml:space="preserve"> CEO funds Year 1 operations through personal capital ($150,000-250,000) plus SBIR Phase I award ($300,000 if won, 15-20% acceptance rate). No dilution. Slower growth -- limited to forensic wedge in Year 1. SBIR application submitted Q2 2026. Decision expected Q4 2026. This is the preferred scenario if personal capital is available and patience allows.</w:t>
      </w:r>
    </w:p>
    <w:p>
      <w:pPr>
        <w:pStyle w:val="ListBullet"/>
        <w:spacing w:after="120"/>
      </w:pPr>
      <w:r>
        <w:rPr>
          <w:b/>
          <w:sz w:val="22"/>
        </w:rPr>
        <w:t>Scenario B -- Pre-Seed Round:</w:t>
      </w:r>
      <w:r>
        <w:rPr>
          <w:b w:val="0"/>
          <w:sz w:val="22"/>
        </w:rPr>
        <w:t xml:space="preserve"> Raise $750,000-1,500,000 pre-seed in Q3 2026 after 10-20 paying forensic customers provide proof of concept. Target investors: PAR Inc. strategic, forensic-adjacent angels, health tech pre-seed funds. Dilution: 10-18%. Accelerates clinical market entry to Year 1 rather than Year 2. Requires demonstrating paying customers and a signed clinical advisory panel.</w:t>
      </w:r>
    </w:p>
    <w:p>
      <w:pPr>
        <w:pStyle w:val="ListBullet"/>
        <w:spacing w:after="120"/>
      </w:pPr>
      <w:r>
        <w:rPr>
          <w:b/>
          <w:sz w:val="22"/>
        </w:rPr>
        <w:t>Scenario C -- Seed Round:</w:t>
      </w:r>
      <w:r>
        <w:rPr>
          <w:b w:val="0"/>
          <w:sz w:val="22"/>
        </w:rPr>
        <w:t xml:space="preserve"> Raise $3,000,000-5,000,000 seed in Q1 2027 after reaching $500K ARR. Institutional seed investors: NIMH-aligned health tech funds, forensic justice focused funds (Arnold Ventures, MacArthur Safety and Justice Challenge), general health AI seed stage. Dilution: 18-25%. Funds full Year 2 team buildout and enterprise sales activation.</w:t>
      </w:r>
    </w:p>
    <w:p>
      <w:pPr>
        <w:spacing w:before="120" w:after="120"/>
      </w:pPr>
      <w:r>
        <w:rPr>
          <w:color w:val="CCCCCC"/>
          <w:sz w:val="16"/>
        </w:rPr>
        <w:t>________________________________________________________________________</w:t>
      </w:r>
    </w:p>
    <w:p>
      <w:pPr>
        <w:spacing w:before="360" w:after="80"/>
      </w:pPr>
      <w:r>
        <w:rPr>
          <w:b/>
          <w:color w:val="17A589"/>
          <w:sz w:val="18"/>
        </w:rPr>
        <w:t>COMPETITIVE POSITION</w:t>
      </w:r>
    </w:p>
    <w:p>
      <w:pPr>
        <w:spacing w:after="160"/>
      </w:pPr>
      <w:r>
        <w:rPr>
          <w:sz w:val="22"/>
        </w:rPr>
        <w:t>Forensai enters a clinical AI market with five funded competitors and zero competition in the formal evaluation workflow. The forensic wedge is uncontested. The proprietary labeled evaluation dataset is the long-term moat. The local-first PHI architecture satisfies compliance requirements no cloud competitor can match. The closed billing loop is the clinical market entry feature that no competitor has shipped.</w:t>
      </w:r>
    </w:p>
    <w:p>
      <w:pPr>
        <w:spacing w:before="240" w:after="80"/>
      </w:pPr>
      <w:r>
        <w:rPr>
          <w:b/>
          <w:sz w:val="22"/>
        </w:rPr>
        <w:t>Natural Acquirers</w:t>
      </w:r>
    </w:p>
    <w:p>
      <w:pPr>
        <w:pStyle w:val="ListBullet"/>
        <w:spacing w:after="120"/>
      </w:pPr>
      <w:r>
        <w:rPr>
          <w:b/>
          <w:sz w:val="22"/>
        </w:rPr>
        <w:t>Pearson (highest probability):</w:t>
      </w:r>
      <w:r>
        <w:rPr>
          <w:b w:val="0"/>
          <w:sz w:val="22"/>
        </w:rPr>
        <w:t xml:space="preserve"> Owns Q-global test scoring platform, the dominant assessment administration and scoring system. Forensai's assessment publisher integration with Q-global creates a natural acquisition path -- Pearson acquires the evaluation report infrastructure to complete its end-to-end assessment workflow.</w:t>
      </w:r>
    </w:p>
    <w:p>
      <w:pPr>
        <w:pStyle w:val="ListBullet"/>
        <w:spacing w:after="120"/>
      </w:pPr>
      <w:r>
        <w:rPr>
          <w:b/>
          <w:sz w:val="22"/>
        </w:rPr>
        <w:t>PAR Inc. (moves fastest):</w:t>
      </w:r>
      <w:r>
        <w:rPr>
          <w:b w:val="0"/>
          <w:sz w:val="22"/>
        </w:rPr>
        <w:t xml:space="preserve"> Privately held, founder-led. Owns PARiConnect. More agile than Pearson. Would pay strategic premium to own the evaluation workflow before Pearson does.</w:t>
      </w:r>
    </w:p>
    <w:p>
      <w:pPr>
        <w:pStyle w:val="ListBullet"/>
        <w:spacing w:after="120"/>
      </w:pPr>
      <w:r>
        <w:rPr>
          <w:b/>
          <w:sz w:val="22"/>
        </w:rPr>
        <w:t>Epic Systems:</w:t>
      </w:r>
      <w:r>
        <w:rPr>
          <w:b w:val="0"/>
          <w:sz w:val="22"/>
        </w:rPr>
        <w:t xml:space="preserve"> Expanding into behavioral health. Forensai's FHIR integration and hospital enterprise motion positions it as an acquisition target for Epic's behavioral health documentation layer.</w:t>
      </w:r>
    </w:p>
    <w:p>
      <w:pPr>
        <w:pStyle w:val="ListBullet"/>
        <w:spacing w:after="120"/>
      </w:pPr>
      <w:r>
        <w:rPr>
          <w:b/>
          <w:sz w:val="22"/>
        </w:rPr>
        <w:t>Nuance/Microsoft:</w:t>
      </w:r>
      <w:r>
        <w:rPr>
          <w:b w:val="0"/>
          <w:sz w:val="22"/>
        </w:rPr>
        <w:t xml:space="preserve"> DAX Copilot owns physician documentation. Formal psychological evaluation is a gap in their behavioral health portfolio. Forensai fills it.</w:t>
      </w:r>
    </w:p>
    <w:p>
      <w:pPr>
        <w:spacing w:before="120" w:after="120"/>
      </w:pPr>
      <w:r>
        <w:rPr>
          <w:color w:val="CCCCCC"/>
          <w:sz w:val="16"/>
        </w:rPr>
        <w:t>________________________________________________________________________</w:t>
      </w:r>
    </w:p>
    <w:p>
      <w:pPr>
        <w:spacing w:before="360" w:after="80"/>
      </w:pPr>
      <w:r>
        <w:rPr>
          <w:b/>
          <w:color w:val="17A589"/>
          <w:sz w:val="18"/>
        </w:rPr>
        <w:t>EXIT SCENARIOS</w:t>
      </w:r>
    </w:p>
    <w:p>
      <w:pPr>
        <w:pStyle w:val="ListBullet"/>
        <w:spacing w:after="120"/>
      </w:pPr>
      <w:r>
        <w:rPr>
          <w:b/>
          <w:sz w:val="22"/>
        </w:rPr>
        <w:t>Strategic acquisition at $10M ARR (Year 4-5) -- $120-180M:</w:t>
      </w:r>
      <w:r>
        <w:rPr>
          <w:b w:val="0"/>
          <w:sz w:val="22"/>
        </w:rPr>
        <w:t xml:space="preserve"> Pearson or PAR Inc. acquires at 12-18x ARR. Most likely outcome. The evaluation dataset and the forensic credibility signal are what acquirers pay for.</w:t>
      </w:r>
    </w:p>
    <w:p>
      <w:pPr>
        <w:pStyle w:val="ListBullet"/>
        <w:spacing w:after="120"/>
      </w:pPr>
      <w:r>
        <w:rPr>
          <w:b/>
          <w:sz w:val="22"/>
        </w:rPr>
        <w:t>Financial acquisition at $15M ARR (Year 5-6) -- $90-135M:</w:t>
      </w:r>
      <w:r>
        <w:rPr>
          <w:b w:val="0"/>
          <w:sz w:val="22"/>
        </w:rPr>
        <w:t xml:space="preserve"> Private equity platform roll-up of clinical technology. 6-9x ARR multiple. Less preferred but viable if strategic acquirers have not engaged.</w:t>
      </w:r>
    </w:p>
    <w:p>
      <w:pPr>
        <w:pStyle w:val="ListBullet"/>
        <w:spacing w:after="120"/>
      </w:pPr>
      <w:r>
        <w:rPr>
          <w:b/>
          <w:sz w:val="22"/>
        </w:rPr>
        <w:t>IPO (Year 7-10) -- $500M+ valuation:</w:t>
      </w:r>
      <w:r>
        <w:rPr>
          <w:b w:val="0"/>
          <w:sz w:val="22"/>
        </w:rPr>
        <w:t xml:space="preserve"> Requires $50M+ ARR and enterprise contract base. Possible if Forensai successfully executes the hospital enterprise motion and international expansion. Long path, high upside.</w:t>
      </w:r>
    </w:p>
    <w:sectPr w:rsidR="00FC693F" w:rsidRPr="0006063C" w:rsidSect="00034616">
      <w:footerReference w:type="default" r:id="rId9"/>
      <w:pgSz w:w="12240" w:h="15840"/>
      <w:pgMar w:top="1440" w:right="1728" w:bottom="1440" w:left="172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17A589"/>
        <w:sz w:val="18"/>
      </w:rPr>
      <w:t>psygnosi.com | a Foundry SMB product</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