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D3B5C"/>
          <w:sz w:val="44"/>
        </w:rPr>
        <w:t>Forensai</w:t>
      </w:r>
    </w:p>
    <w:p>
      <w:pPr>
        <w:spacing w:before="0" w:after="40"/>
      </w:pPr>
      <w:r>
        <w:rPr>
          <w:color w:val="555555"/>
          <w:sz w:val="26"/>
        </w:rPr>
        <w:t>AI Psychological Evaluation Platform — Foundry SMB</w:t>
      </w:r>
    </w:p>
    <w:p>
      <w:pPr>
        <w:spacing w:before="0" w:after="200"/>
      </w:pPr>
      <w:r>
        <w:rPr>
          <w:color w:val="999999"/>
          <w:sz w:val="18"/>
        </w:rPr>
        <w:t>3-Year Execution Plan   |   March 2026   |   Confidential</w:t>
      </w:r>
    </w:p>
    <w:p>
      <w:pPr>
        <w:spacing w:before="0" w:after="12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EXECUTION PHILOSOPHY</w:t>
      </w:r>
    </w:p>
    <w:p>
      <w:pPr>
        <w:spacing w:before="0" w:after="160"/>
      </w:pPr>
      <w:r>
        <w:rPr>
          <w:sz w:val="22"/>
        </w:rPr>
        <w:t>Forensai executes through 17 specialized AI agents under CEO human oversight. The execution plan is agent-readable: every milestone is specific, measurable, owned, and time-bound. Agents do not need ambiguous goals. They need clear tasks with clear completion criteria. Each quarter has a primary theme, a set of non-negotiable milestones, and a set of stretch goals. Non-negotiable milestones determine whether the quarter is green. Stretch goals determine whether the quarter is exceptional.</w:t>
      </w:r>
    </w:p>
    <w:p>
      <w:pPr>
        <w:spacing w:before="0" w:after="12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YEAR 1 — BUILD AND PROVE (2026)</w:t>
      </w:r>
    </w:p>
    <w:p>
      <w:pPr>
        <w:spacing w:before="0" w:after="160"/>
      </w:pPr>
      <w:r>
        <w:rPr>
          <w:sz w:val="22"/>
        </w:rPr>
        <w:t>Theme: Build the MVP. Find the first paying forensic customers. Prove clinical accuracy. Generate revenue evidence for SBIR and pre-seed conversations.</w:t>
      </w:r>
    </w:p>
    <w:p>
      <w:pPr>
        <w:spacing w:before="240" w:after="80"/>
      </w:pPr>
      <w:r>
        <w:rPr>
          <w:b/>
          <w:sz w:val="22"/>
        </w:rPr>
        <w:t>Q1 2026 — Foundation (January-March)</w:t>
      </w:r>
    </w:p>
    <w:p>
      <w:pPr>
        <w:spacing w:before="0" w:after="120"/>
      </w:pPr>
      <w:r>
        <w:rPr>
          <w:i/>
          <w:sz w:val="22"/>
        </w:rPr>
        <w:t>Theme: Infrastructure, hiring, and first product sprint. Primary theme: get the machine running.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Senior Engineer hired by March 15:</w:t>
      </w:r>
      <w:r>
        <w:rPr>
          <w:b w:val="0"/>
          <w:sz w:val="22"/>
        </w:rPr>
        <w:t xml:space="preserve"> The single most critical action of Q1. Post on LinkedIn, AngelList, and through the CEO's network. Target: 5+ years experience, TypeScript/React expertise, HIPAA experience preferred. Full-time. $180,000-220,000 base plus meaningful equity (1-1.5%).</w:t>
      </w:r>
    </w:p>
    <w:p>
      <w:pPr>
        <w:pStyle w:val="ListBullet"/>
        <w:spacing w:before="0" w:after="100"/>
      </w:pPr>
      <w:r>
        <w:rPr>
          <w:b/>
          <w:sz w:val="22"/>
        </w:rPr>
        <w:t>2 ABPP clinical advisors confirmed by March 31:</w:t>
      </w:r>
      <w:r>
        <w:rPr>
          <w:b w:val="0"/>
          <w:sz w:val="22"/>
        </w:rPr>
        <w:t xml:space="preserve"> Signed advisory agreements. Equity-based (0.25-0.5% each). Minimum: one forensic psychologist with active testimony practice, one neuropsychologist or forensic specialist with academic affiliation for SBIR credibility.</w:t>
      </w:r>
    </w:p>
    <w:p>
      <w:pPr>
        <w:pStyle w:val="ListBullet"/>
        <w:spacing w:before="0" w:after="100"/>
      </w:pPr>
      <w:r>
        <w:rPr>
          <w:b/>
          <w:sz w:val="22"/>
        </w:rPr>
        <w:t>Monorepo scaffolded and core architecture decision records written by March 15:</w:t>
      </w:r>
      <w:r>
        <w:rPr>
          <w:b w:val="0"/>
          <w:sz w:val="22"/>
        </w:rPr>
        <w:t xml:space="preserve"> Turborepo structure. Package separation: core (agent logic), ui (React components), web (Vite PWA), desktop (Electron). Architecture Agent authors initial ADRs for all major decisions.</w:t>
      </w:r>
    </w:p>
    <w:p>
      <w:pPr>
        <w:pStyle w:val="ListBullet"/>
        <w:spacing w:before="0" w:after="100"/>
      </w:pPr>
      <w:r>
        <w:rPr>
          <w:b/>
          <w:sz w:val="22"/>
        </w:rPr>
        <w:t>Local PHI encryption layer operational by March 31:</w:t>
      </w:r>
      <w:r>
        <w:rPr>
          <w:b w:val="0"/>
          <w:sz w:val="22"/>
        </w:rPr>
        <w:t xml:space="preserve"> IndexedDB with AES-256-GCM via SubtleCrypto. PII detection WASM engine integrated. Test suite passing with &gt;98% sensitivity on synthetic PHI test set.</w:t>
      </w:r>
    </w:p>
    <w:p>
      <w:pPr>
        <w:pStyle w:val="ListBullet"/>
        <w:spacing w:before="0" w:after="100"/>
      </w:pPr>
      <w:r>
        <w:rPr>
          <w:b/>
          <w:sz w:val="22"/>
        </w:rPr>
        <w:t>SAM.gov registration submitted by March 15:</w:t>
      </w:r>
      <w:r>
        <w:rPr>
          <w:b w:val="0"/>
          <w:sz w:val="22"/>
        </w:rPr>
        <w:t xml:space="preserve"> Required for SBIR application. Free. Takes 2-4 weeks to process. Do this week one.</w:t>
      </w:r>
    </w:p>
    <w:p>
      <w:pPr>
        <w:pStyle w:val="ListBullet"/>
        <w:spacing w:before="0" w:after="100"/>
      </w:pPr>
      <w:r>
        <w:rPr>
          <w:b/>
          <w:sz w:val="22"/>
        </w:rPr>
        <w:t>SBIR application draft begun by March 31:</w:t>
      </w:r>
      <w:r>
        <w:rPr>
          <w:b w:val="0"/>
          <w:sz w:val="22"/>
        </w:rPr>
        <w:t xml:space="preserve"> Grant writer engaged (ReofTech or ScienceDocs). Specific Aims page drafted. NIMH PA-23-256 target confirmed.</w:t>
      </w:r>
    </w:p>
    <w:p>
      <w:pPr>
        <w:spacing w:before="120" w:after="80"/>
      </w:pPr>
      <w:r>
        <w:rPr>
          <w:b/>
          <w:i/>
          <w:color w:val="646464"/>
          <w:sz w:val="20"/>
        </w:rPr>
        <w:t>Stretch Goals</w:t>
      </w:r>
    </w:p>
    <w:p>
      <w:pPr>
        <w:pStyle w:val="ListBullet"/>
        <w:spacing w:before="0" w:after="100"/>
      </w:pPr>
      <w:r>
        <w:rPr>
          <w:b/>
          <w:sz w:val="22"/>
        </w:rPr>
        <w:t>Ingestor Agent MVP functional by March 31</w:t>
      </w:r>
    </w:p>
    <w:p>
      <w:pPr>
        <w:pStyle w:val="ListBullet"/>
        <w:spacing w:before="0" w:after="100"/>
      </w:pPr>
      <w:r>
        <w:rPr>
          <w:b/>
          <w:sz w:val="22"/>
        </w:rPr>
        <w:t>First de-identified golden case test set compiled (10 evaluations)</w:t>
      </w:r>
    </w:p>
    <w:p>
      <w:pPr>
        <w:pStyle w:val="ListBullet"/>
        <w:spacing w:before="0" w:after="100"/>
      </w:pPr>
      <w:r>
        <w:rPr>
          <w:b/>
          <w:sz w:val="22"/>
        </w:rPr>
        <w:t>FORENSIC-PSYCH listserv introduction posted</w:t>
      </w:r>
    </w:p>
    <w:p>
      <w:pPr>
        <w:spacing w:before="240" w:after="80"/>
      </w:pPr>
      <w:r>
        <w:rPr>
          <w:b/>
          <w:sz w:val="22"/>
        </w:rPr>
        <w:t>Q2 2026 — MVP Build Sprint (April-June)</w:t>
      </w:r>
    </w:p>
    <w:p>
      <w:pPr>
        <w:spacing w:before="0" w:after="120"/>
      </w:pPr>
      <w:r>
        <w:rPr>
          <w:i/>
          <w:sz w:val="22"/>
        </w:rPr>
        <w:t>Theme: Ship the MVP. Get the first hands on it.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MVP feature complete by May 31:</w:t>
      </w:r>
      <w:r>
        <w:rPr>
          <w:b w:val="0"/>
          <w:sz w:val="22"/>
        </w:rPr>
        <w:t xml:space="preserve"> Three agents operational (Ingestor, Diagnostician, Writer). Review interface with four approval gates. DOCX export with embedded audit trail. All features passing QA golden case suite.</w:t>
      </w:r>
    </w:p>
    <w:p>
      <w:pPr>
        <w:pStyle w:val="ListBullet"/>
        <w:spacing w:before="0" w:after="100"/>
      </w:pPr>
      <w:r>
        <w:rPr>
          <w:b/>
          <w:sz w:val="22"/>
        </w:rPr>
        <w:t>5 founding beta users onboarded by June 30:</w:t>
      </w:r>
      <w:r>
        <w:rPr>
          <w:b w:val="0"/>
          <w:sz w:val="22"/>
        </w:rPr>
        <w:t xml:space="preserve"> ABPP-certified forensic psychologists. Free or heavily discounted. Provide structured feedback using the clinical accuracy rubric. These 5 people are the most important product relationships in Year 1.</w:t>
      </w:r>
    </w:p>
    <w:p>
      <w:pPr>
        <w:pStyle w:val="ListBullet"/>
        <w:spacing w:before="0" w:after="100"/>
      </w:pPr>
      <w:r>
        <w:rPr>
          <w:b/>
          <w:sz w:val="22"/>
        </w:rPr>
        <w:t>SAM.gov UEI confirmed and Grants.gov registration complete by April 30</w:t>
      </w:r>
    </w:p>
    <w:p>
      <w:pPr>
        <w:pStyle w:val="ListBullet"/>
        <w:spacing w:before="0" w:after="100"/>
      </w:pPr>
      <w:r>
        <w:rPr>
          <w:b/>
          <w:sz w:val="22"/>
        </w:rPr>
        <w:t>SBIR Specific Aims page finalized and grant writer engaged by April 15</w:t>
      </w:r>
    </w:p>
    <w:p>
      <w:pPr>
        <w:pStyle w:val="ListBullet"/>
        <w:spacing w:before="0" w:after="100"/>
      </w:pPr>
      <w:r>
        <w:rPr>
          <w:b/>
          <w:sz w:val="22"/>
        </w:rPr>
        <w:t>forensai.com website live with Founding Forensic Cohort landing page by May 15</w:t>
      </w:r>
    </w:p>
    <w:p>
      <w:pPr>
        <w:pStyle w:val="ListBullet"/>
        <w:spacing w:before="0" w:after="100"/>
      </w:pPr>
      <w:r>
        <w:rPr>
          <w:b/>
          <w:sz w:val="22"/>
        </w:rPr>
        <w:t>Documentation time audit calculator live by June 30</w:t>
      </w:r>
    </w:p>
    <w:p>
      <w:pPr>
        <w:spacing w:before="120" w:after="80"/>
      </w:pPr>
      <w:r>
        <w:rPr>
          <w:b/>
          <w:i/>
          <w:color w:val="646464"/>
          <w:sz w:val="20"/>
        </w:rPr>
        <w:t>Stretch Goals</w:t>
      </w:r>
    </w:p>
    <w:p>
      <w:pPr>
        <w:pStyle w:val="ListBullet"/>
        <w:spacing w:before="0" w:after="100"/>
      </w:pPr>
      <w:r>
        <w:rPr>
          <w:b/>
          <w:sz w:val="22"/>
        </w:rPr>
        <w:t>10 beta users by June 30 (vs 5 minimum)</w:t>
      </w:r>
    </w:p>
    <w:p>
      <w:pPr>
        <w:pStyle w:val="ListBullet"/>
        <w:spacing w:before="0" w:after="100"/>
      </w:pPr>
      <w:r>
        <w:rPr>
          <w:b/>
          <w:sz w:val="22"/>
        </w:rPr>
        <w:t>First case study published with de-identified outcomes</w:t>
      </w:r>
    </w:p>
    <w:p>
      <w:pPr>
        <w:pStyle w:val="ListBullet"/>
        <w:spacing w:before="0" w:after="100"/>
      </w:pPr>
      <w:r>
        <w:rPr>
          <w:b/>
          <w:sz w:val="22"/>
        </w:rPr>
        <w:t>SBIR Phase I application submitted by June 30</w:t>
      </w:r>
    </w:p>
    <w:p>
      <w:pPr>
        <w:spacing w:before="240" w:after="80"/>
      </w:pPr>
      <w:r>
        <w:rPr>
          <w:b/>
          <w:sz w:val="22"/>
        </w:rPr>
        <w:t>Q3 2026 — Beta Sprint and First Revenue (July-September)</w:t>
      </w:r>
    </w:p>
    <w:p>
      <w:pPr>
        <w:spacing w:before="0" w:after="120"/>
      </w:pPr>
      <w:r>
        <w:rPr>
          <w:i/>
          <w:sz w:val="22"/>
        </w:rPr>
        <w:t>Theme: Convert beta users to paying customers. Build the full agent pipeline.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Founding Forensic Cohort converted to paying by August 31:</w:t>
      </w:r>
      <w:r>
        <w:rPr>
          <w:b w:val="0"/>
          <w:sz w:val="22"/>
        </w:rPr>
        <w:t xml:space="preserve"> $199/month locked for life. Target: 10-15 paying customers. This is the first real revenue and the proof-of-concept signal for investors and grant reviewers.</w:t>
      </w:r>
    </w:p>
    <w:p>
      <w:pPr>
        <w:pStyle w:val="ListBullet"/>
        <w:spacing w:before="0" w:after="100"/>
      </w:pPr>
      <w:r>
        <w:rPr>
          <w:b/>
          <w:sz w:val="22"/>
        </w:rPr>
        <w:t>Full 8-agent pipeline complete by September 30:</w:t>
      </w:r>
      <w:r>
        <w:rPr>
          <w:b w:val="0"/>
          <w:sz w:val="22"/>
        </w:rPr>
        <w:t xml:space="preserve"> All eight agents operational through Orchestrator. Test Data Analyst ingesting MMPI-3 and WAIS-IV score sheets. Legal Reviewer flagging defensibility issues. Editor applying style training. Fact Checker cross-referencing all claims.</w:t>
      </w:r>
    </w:p>
    <w:p>
      <w:pPr>
        <w:pStyle w:val="ListBullet"/>
        <w:spacing w:before="0" w:after="100"/>
      </w:pPr>
      <w:r>
        <w:rPr>
          <w:b/>
          <w:sz w:val="22"/>
        </w:rPr>
        <w:t>HIPAA risk assessment completed by September 15:</w:t>
      </w:r>
      <w:r>
        <w:rPr>
          <w:b w:val="0"/>
          <w:sz w:val="22"/>
        </w:rPr>
        <w:t xml:space="preserve"> 45 CFR 164.308 technical safeguard assessment. Compliance Agent authors document. CEO reviews and attests.</w:t>
      </w:r>
    </w:p>
    <w:p>
      <w:pPr>
        <w:pStyle w:val="ListBullet"/>
        <w:spacing w:before="0" w:after="100"/>
      </w:pPr>
      <w:r>
        <w:rPr>
          <w:b/>
          <w:sz w:val="22"/>
        </w:rPr>
        <w:t>LinkedIn outreach campaign active by July 15:</w:t>
      </w:r>
      <w:r>
        <w:rPr>
          <w:b w:val="0"/>
          <w:sz w:val="22"/>
        </w:rPr>
        <w:t xml:space="preserve"> 100 personalized connection requests per month to ABPP-certified forensic psychologists. CEO authors each message personally.</w:t>
      </w:r>
    </w:p>
    <w:p>
      <w:pPr>
        <w:pStyle w:val="ListBullet"/>
        <w:spacing w:before="0" w:after="100"/>
      </w:pPr>
      <w:r>
        <w:rPr>
          <w:b/>
          <w:sz w:val="22"/>
        </w:rPr>
        <w:t>SBIR application submitted (if not already in Q2) by August 31</w:t>
      </w:r>
    </w:p>
    <w:p>
      <w:pPr>
        <w:spacing w:before="120" w:after="80"/>
      </w:pPr>
      <w:r>
        <w:rPr>
          <w:b/>
          <w:i/>
          <w:color w:val="646464"/>
          <w:sz w:val="20"/>
        </w:rPr>
        <w:t>Stretch Goals</w:t>
      </w:r>
    </w:p>
    <w:p>
      <w:pPr>
        <w:pStyle w:val="ListBullet"/>
        <w:spacing w:before="0" w:after="100"/>
      </w:pPr>
      <w:r>
        <w:rPr>
          <w:b/>
          <w:sz w:val="22"/>
        </w:rPr>
        <w:t>25 paying customers by September 30</w:t>
      </w:r>
    </w:p>
    <w:p>
      <w:pPr>
        <w:pStyle w:val="ListBullet"/>
        <w:spacing w:before="0" w:after="100"/>
      </w:pPr>
      <w:r>
        <w:rPr>
          <w:b/>
          <w:sz w:val="22"/>
        </w:rPr>
        <w:t>First group practice (2-3 seat) conversion</w:t>
      </w:r>
    </w:p>
    <w:p>
      <w:pPr>
        <w:pStyle w:val="ListBullet"/>
        <w:spacing w:before="0" w:after="100"/>
      </w:pPr>
      <w:r>
        <w:rPr>
          <w:b/>
          <w:sz w:val="22"/>
        </w:rPr>
        <w:t>SBIR Phase I award decision received</w:t>
      </w:r>
    </w:p>
    <w:p>
      <w:pPr>
        <w:spacing w:before="240" w:after="80"/>
      </w:pPr>
      <w:r>
        <w:rPr>
          <w:b/>
          <w:sz w:val="22"/>
        </w:rPr>
        <w:t>Q4 2026 — Revenue Ramp and GA Prep (October-December)</w:t>
      </w:r>
    </w:p>
    <w:p>
      <w:pPr>
        <w:spacing w:before="0" w:after="120"/>
      </w:pPr>
      <w:r>
        <w:rPr>
          <w:i/>
          <w:sz w:val="22"/>
        </w:rPr>
        <w:t>Theme: Scale forensic cohort. Begin Beta buildout. Prepare AP-LS 2027 conference.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50 paying customers by December 31:</w:t>
      </w:r>
      <w:r>
        <w:rPr>
          <w:b w:val="0"/>
          <w:sz w:val="22"/>
        </w:rPr>
        <w:t xml:space="preserve"> Primary Year 1 revenue target. $8,750-17,450 MRR at 50 customers blended pricing.</w:t>
      </w:r>
    </w:p>
    <w:p>
      <w:pPr>
        <w:pStyle w:val="ListBullet"/>
        <w:spacing w:before="0" w:after="100"/>
      </w:pPr>
      <w:r>
        <w:rPr>
          <w:b/>
          <w:sz w:val="22"/>
        </w:rPr>
        <w:t>Beta billing loop complete by November 30:</w:t>
      </w:r>
      <w:r>
        <w:rPr>
          <w:b w:val="0"/>
          <w:sz w:val="22"/>
        </w:rPr>
        <w:t xml:space="preserve"> CPT auto-coding, ICD-10 crosswalk, superbill generation. SimplePractice API integration.</w:t>
      </w:r>
    </w:p>
    <w:p>
      <w:pPr>
        <w:pStyle w:val="ListBullet"/>
        <w:spacing w:before="0" w:after="100"/>
      </w:pPr>
      <w:r>
        <w:rPr>
          <w:b/>
          <w:sz w:val="22"/>
        </w:rPr>
        <w:t>AP-LS 2027 abstract submitted by November 1:</w:t>
      </w:r>
      <w:r>
        <w:rPr>
          <w:b w:val="0"/>
          <w:sz w:val="22"/>
        </w:rPr>
        <w:t xml:space="preserve"> Research presentation on AI-assisted forensic evaluation documentation. Co-authored with ABPP clinical advisor. Data from first 50 customers.</w:t>
      </w:r>
    </w:p>
    <w:p>
      <w:pPr>
        <w:pStyle w:val="ListBullet"/>
        <w:spacing w:before="0" w:after="100"/>
      </w:pPr>
      <w:r>
        <w:rPr>
          <w:b/>
          <w:sz w:val="22"/>
        </w:rPr>
        <w:t>SOC 2 audit preparation begun by October 31:</w:t>
      </w:r>
      <w:r>
        <w:rPr>
          <w:b w:val="0"/>
          <w:sz w:val="22"/>
        </w:rPr>
        <w:t xml:space="preserve"> Engage SOC 2 audit firm. Internal control documentation begins. 12-month audit period starts.</w:t>
      </w:r>
    </w:p>
    <w:p>
      <w:pPr>
        <w:pStyle w:val="ListBullet"/>
        <w:spacing w:before="0" w:after="100"/>
      </w:pPr>
      <w:r>
        <w:rPr>
          <w:b/>
          <w:sz w:val="22"/>
        </w:rPr>
        <w:t>Group practice multi-seat model launched by December 31</w:t>
      </w:r>
    </w:p>
    <w:p>
      <w:pPr>
        <w:spacing w:before="120" w:after="80"/>
      </w:pPr>
      <w:r>
        <w:rPr>
          <w:b/>
          <w:i/>
          <w:color w:val="646464"/>
          <w:sz w:val="20"/>
        </w:rPr>
        <w:t>Stretch Goals</w:t>
      </w:r>
    </w:p>
    <w:p>
      <w:pPr>
        <w:pStyle w:val="ListBullet"/>
        <w:spacing w:before="0" w:after="100"/>
      </w:pPr>
      <w:r>
        <w:rPr>
          <w:b/>
          <w:sz w:val="22"/>
        </w:rPr>
        <w:t>75 paying customers by December 31</w:t>
      </w:r>
    </w:p>
    <w:p>
      <w:pPr>
        <w:pStyle w:val="ListBullet"/>
        <w:spacing w:before="0" w:after="100"/>
      </w:pPr>
      <w:r>
        <w:rPr>
          <w:b/>
          <w:sz w:val="22"/>
        </w:rPr>
        <w:t>SBIR Phase I award received ($300,000)</w:t>
      </w:r>
    </w:p>
    <w:p>
      <w:pPr>
        <w:pStyle w:val="ListBullet"/>
        <w:spacing w:before="0" w:after="100"/>
      </w:pPr>
      <w:r>
        <w:rPr>
          <w:b/>
          <w:sz w:val="22"/>
        </w:rPr>
        <w:t>Pre-seed investor conversations initiated</w:t>
      </w:r>
    </w:p>
    <w:p>
      <w:pPr>
        <w:spacing w:before="0" w:after="12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YEAR 2 — GROW AND EXPAND (2027)</w:t>
      </w:r>
    </w:p>
    <w:p>
      <w:pPr>
        <w:spacing w:before="0" w:after="160"/>
      </w:pPr>
      <w:r>
        <w:rPr>
          <w:sz w:val="22"/>
        </w:rPr>
        <w:t>Theme: Expand to neuropsychology and clinical. Launch billing loop. First enterprise conversations. Reach break-even.</w:t>
      </w:r>
    </w:p>
    <w:p>
      <w:pPr>
        <w:spacing w:before="240" w:after="80"/>
      </w:pPr>
      <w:r>
        <w:rPr>
          <w:b/>
          <w:sz w:val="22"/>
        </w:rPr>
        <w:t>Q1 2027 — Neuropsychology Launch (January-March)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Neuropsychology tier launched by March 31:</w:t>
      </w:r>
      <w:r>
        <w:rPr>
          <w:b w:val="0"/>
          <w:sz w:val="22"/>
        </w:rPr>
        <w:t xml:space="preserve"> Extended battery integration (WAIS-IV, D-KEFS, RBANS, WMS-IV, Delis-Kaplan). NAN conference outreach begun. Price: $399/month.</w:t>
      </w:r>
    </w:p>
    <w:p>
      <w:pPr>
        <w:pStyle w:val="ListBullet"/>
        <w:spacing w:before="0" w:after="100"/>
      </w:pPr>
      <w:r>
        <w:rPr>
          <w:b/>
          <w:sz w:val="22"/>
        </w:rPr>
        <w:t>AP-LS 2027 conference executed by March 31:</w:t>
      </w:r>
      <w:r>
        <w:rPr>
          <w:b w:val="0"/>
          <w:sz w:val="22"/>
        </w:rPr>
        <w:t xml:space="preserve"> Research presentation delivered. Exhibit staffed. 50+ trial signups collected. 20+ paid conversions within 60 days.</w:t>
      </w:r>
    </w:p>
    <w:p>
      <w:pPr>
        <w:pStyle w:val="ListBullet"/>
        <w:spacing w:before="0" w:after="100"/>
      </w:pPr>
      <w:r>
        <w:rPr>
          <w:b/>
          <w:sz w:val="22"/>
        </w:rPr>
        <w:t>Customer Success Lead hired by February 28:</w:t>
      </w:r>
      <w:r>
        <w:rPr>
          <w:b w:val="0"/>
          <w:sz w:val="22"/>
        </w:rPr>
        <w:t xml:space="preserve"> $90,000-110,000. Takes over onboarding for all new customers. Frees CEO for sales and investor relations.</w:t>
      </w:r>
    </w:p>
    <w:p>
      <w:pPr>
        <w:pStyle w:val="ListBullet"/>
        <w:spacing w:before="0" w:after="100"/>
      </w:pPr>
      <w:r>
        <w:rPr>
          <w:b/>
          <w:sz w:val="22"/>
        </w:rPr>
        <w:t>100 paying customers milestone reached by March 31</w:t>
      </w:r>
    </w:p>
    <w:p>
      <w:pPr>
        <w:pStyle w:val="ListBullet"/>
        <w:spacing w:before="0" w:after="100"/>
      </w:pPr>
      <w:r>
        <w:rPr>
          <w:b/>
          <w:sz w:val="22"/>
        </w:rPr>
        <w:t>First published case study in clinical journal submitted by March 31</w:t>
      </w:r>
    </w:p>
    <w:p>
      <w:pPr>
        <w:spacing w:before="120" w:after="80"/>
      </w:pPr>
      <w:r>
        <w:rPr>
          <w:b/>
          <w:i/>
          <w:color w:val="646464"/>
          <w:sz w:val="20"/>
        </w:rPr>
        <w:t>Stretch Goals</w:t>
      </w:r>
    </w:p>
    <w:p>
      <w:pPr>
        <w:pStyle w:val="ListBullet"/>
        <w:spacing w:before="0" w:after="100"/>
      </w:pPr>
      <w:r>
        <w:rPr>
          <w:b/>
          <w:sz w:val="22"/>
        </w:rPr>
        <w:t>150 paying customers by March 31</w:t>
      </w:r>
    </w:p>
    <w:p>
      <w:pPr>
        <w:pStyle w:val="ListBullet"/>
        <w:spacing w:before="0" w:after="100"/>
      </w:pPr>
      <w:r>
        <w:rPr>
          <w:b/>
          <w:sz w:val="22"/>
        </w:rPr>
        <w:t>Pre-seed term sheet received</w:t>
      </w:r>
    </w:p>
    <w:p>
      <w:pPr>
        <w:spacing w:before="240" w:after="80"/>
      </w:pPr>
      <w:r>
        <w:rPr>
          <w:b/>
          <w:sz w:val="22"/>
        </w:rPr>
        <w:t>Q2 2027 — Clinical Market Entry (April-June)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Clinical tier launched by May 31:</w:t>
      </w:r>
      <w:r>
        <w:rPr>
          <w:b w:val="0"/>
          <w:sz w:val="22"/>
        </w:rPr>
        <w:t xml:space="preserve"> CPT/ICD-10 billing loop live. SimplePractice, TherapyNotes, Jane App integrations. Price: $299/month.</w:t>
      </w:r>
    </w:p>
    <w:p>
      <w:pPr>
        <w:pStyle w:val="ListBullet"/>
        <w:spacing w:before="0" w:after="100"/>
      </w:pPr>
      <w:r>
        <w:rPr>
          <w:b/>
          <w:sz w:val="22"/>
        </w:rPr>
        <w:t>Enterprise Sales Rep 1 hired by April 30:</w:t>
      </w:r>
      <w:r>
        <w:rPr>
          <w:b w:val="0"/>
          <w:sz w:val="22"/>
        </w:rPr>
        <w:t xml:space="preserve"> $120,000 base plus commission. Targets group practices and hospital system pilots.</w:t>
      </w:r>
    </w:p>
    <w:p>
      <w:pPr>
        <w:pStyle w:val="ListBullet"/>
        <w:spacing w:before="0" w:after="100"/>
      </w:pPr>
      <w:r>
        <w:rPr>
          <w:b/>
          <w:sz w:val="22"/>
        </w:rPr>
        <w:t>200 paying customers milestone reached by June 30</w:t>
      </w:r>
    </w:p>
    <w:p>
      <w:pPr>
        <w:pStyle w:val="ListBullet"/>
        <w:spacing w:before="0" w:after="100"/>
      </w:pPr>
      <w:r>
        <w:rPr>
          <w:b/>
          <w:sz w:val="22"/>
        </w:rPr>
        <w:t>Referral program launched by April 30:</w:t>
      </w:r>
      <w:r>
        <w:rPr>
          <w:b w:val="0"/>
          <w:sz w:val="22"/>
        </w:rPr>
        <w:t xml:space="preserve"> One free month per successful referral. 20% of new adds should come from referrals by end of Year 2.</w:t>
      </w:r>
    </w:p>
    <w:p>
      <w:pPr>
        <w:pStyle w:val="ListBullet"/>
        <w:spacing w:before="0" w:after="100"/>
      </w:pPr>
      <w:r>
        <w:rPr>
          <w:b/>
          <w:sz w:val="22"/>
        </w:rPr>
        <w:t>Pre-seed round closed by June 30 (if pursuing Scenario B):</w:t>
      </w:r>
      <w:r>
        <w:rPr>
          <w:b w:val="0"/>
          <w:sz w:val="22"/>
        </w:rPr>
        <w:t xml:space="preserve"> $750,000-1,500,000 at $4-6M valuation.</w:t>
      </w:r>
    </w:p>
    <w:p>
      <w:pPr>
        <w:spacing w:before="240" w:after="80"/>
      </w:pPr>
      <w:r>
        <w:rPr>
          <w:b/>
          <w:sz w:val="22"/>
        </w:rPr>
        <w:t>Q3 2027 — Scale and Compliance (July-September)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SOC 2 Type II audit period complete by September 30:</w:t>
      </w:r>
      <w:r>
        <w:rPr>
          <w:b w:val="0"/>
          <w:sz w:val="22"/>
        </w:rPr>
        <w:t xml:space="preserve"> 12-month audit period ends. Report expected Q4 2027. Required for enterprise sales.</w:t>
      </w:r>
    </w:p>
    <w:p>
      <w:pPr>
        <w:pStyle w:val="ListBullet"/>
        <w:spacing w:before="0" w:after="100"/>
      </w:pPr>
      <w:r>
        <w:rPr>
          <w:b/>
          <w:sz w:val="22"/>
        </w:rPr>
        <w:t>Compliance Officer engaged (fractional or full-time) by July 31</w:t>
      </w:r>
    </w:p>
    <w:p>
      <w:pPr>
        <w:pStyle w:val="ListBullet"/>
        <w:spacing w:before="0" w:after="100"/>
      </w:pPr>
      <w:r>
        <w:rPr>
          <w:b/>
          <w:sz w:val="22"/>
        </w:rPr>
        <w:t>Q-global API integration (Pearson) scoped and in development by September 30</w:t>
      </w:r>
    </w:p>
    <w:p>
      <w:pPr>
        <w:pStyle w:val="ListBullet"/>
        <w:spacing w:before="0" w:after="100"/>
      </w:pPr>
      <w:r>
        <w:rPr>
          <w:b/>
          <w:sz w:val="22"/>
        </w:rPr>
        <w:t>350 paying customers milestone reached by September 30</w:t>
      </w:r>
    </w:p>
    <w:p>
      <w:pPr>
        <w:pStyle w:val="ListBullet"/>
        <w:spacing w:before="0" w:after="100"/>
      </w:pPr>
      <w:r>
        <w:rPr>
          <w:b/>
          <w:sz w:val="22"/>
        </w:rPr>
        <w:t>NAN 2027 conference executed by October 31</w:t>
      </w:r>
    </w:p>
    <w:p>
      <w:pPr>
        <w:spacing w:before="240" w:after="80"/>
      </w:pPr>
      <w:r>
        <w:rPr>
          <w:b/>
          <w:sz w:val="22"/>
        </w:rPr>
        <w:t>Q4 2027 — Break-Even Preparation (October-December)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500+ paying customers milestone reached by December 31:</w:t>
      </w:r>
      <w:r>
        <w:rPr>
          <w:b w:val="0"/>
          <w:sz w:val="22"/>
        </w:rPr>
        <w:t xml:space="preserve"> Blended MRR: $125,000-165,000. ARR: $1.5M-2.0M. Break-even in base hiring scenario.</w:t>
      </w:r>
    </w:p>
    <w:p>
      <w:pPr>
        <w:pStyle w:val="ListBullet"/>
        <w:spacing w:before="0" w:after="100"/>
      </w:pPr>
      <w:r>
        <w:rPr>
          <w:b/>
          <w:sz w:val="22"/>
        </w:rPr>
        <w:t>SOC 2 Type II report received by December 31</w:t>
      </w:r>
    </w:p>
    <w:p>
      <w:pPr>
        <w:pStyle w:val="ListBullet"/>
        <w:spacing w:before="0" w:after="100"/>
      </w:pPr>
      <w:r>
        <w:rPr>
          <w:b/>
          <w:sz w:val="22"/>
        </w:rPr>
        <w:t>First enterprise pilot contracted (hospital or large group practice) by December 31</w:t>
      </w:r>
    </w:p>
    <w:p>
      <w:pPr>
        <w:pStyle w:val="ListBullet"/>
        <w:spacing w:before="0" w:after="100"/>
      </w:pPr>
      <w:r>
        <w:rPr>
          <w:b/>
          <w:sz w:val="22"/>
        </w:rPr>
        <w:t>Seed round investor conversations active by December 31</w:t>
      </w:r>
    </w:p>
    <w:p>
      <w:pPr>
        <w:pStyle w:val="ListBullet"/>
        <w:spacing w:before="0" w:after="100"/>
      </w:pPr>
      <w:r>
        <w:rPr>
          <w:b/>
          <w:sz w:val="22"/>
        </w:rPr>
        <w:t>Assessment publisher integration (Q-global or PARiConnect) live by December 31</w:t>
      </w:r>
    </w:p>
    <w:p>
      <w:pPr>
        <w:spacing w:before="0" w:after="12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YEAR 3 — SCALE AND EXIT PREP (2028)</w:t>
      </w:r>
    </w:p>
    <w:p>
      <w:pPr>
        <w:spacing w:before="0" w:after="160"/>
      </w:pPr>
      <w:r>
        <w:rPr>
          <w:sz w:val="22"/>
        </w:rPr>
        <w:t>Theme: Enterprise motion. Hospital system contracts. Published research. Seed round. Build toward exit-ready profile.</w:t>
      </w:r>
    </w:p>
    <w:p>
      <w:pPr>
        <w:spacing w:before="240" w:after="80"/>
      </w:pPr>
      <w:r>
        <w:rPr>
          <w:b/>
          <w:sz w:val="22"/>
        </w:rPr>
        <w:t>Q1 2028 — Enterprise Activation (January-March)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CTO hired by February 28:</w:t>
      </w:r>
      <w:r>
        <w:rPr>
          <w:b w:val="0"/>
          <w:sz w:val="22"/>
        </w:rPr>
        <w:t xml:space="preserve"> $220,000-260,000. Takes over engineering direction. Senior enough for enterprise security architecture.</w:t>
      </w:r>
    </w:p>
    <w:p>
      <w:pPr>
        <w:pStyle w:val="ListBullet"/>
        <w:spacing w:before="0" w:after="100"/>
      </w:pPr>
      <w:r>
        <w:rPr>
          <w:b/>
          <w:sz w:val="22"/>
        </w:rPr>
        <w:t>VP Sales hired by January 31:</w:t>
      </w:r>
      <w:r>
        <w:rPr>
          <w:b w:val="0"/>
          <w:sz w:val="22"/>
        </w:rPr>
        <w:t xml:space="preserve"> $180,000 base plus commission. Builds the sales team. Owns hospital pipeline.</w:t>
      </w:r>
    </w:p>
    <w:p>
      <w:pPr>
        <w:pStyle w:val="ListBullet"/>
        <w:spacing w:before="0" w:after="100"/>
      </w:pPr>
      <w:r>
        <w:rPr>
          <w:b/>
          <w:sz w:val="22"/>
        </w:rPr>
        <w:t>Seed round closed by March 31:</w:t>
      </w:r>
      <w:r>
        <w:rPr>
          <w:b w:val="0"/>
          <w:sz w:val="22"/>
        </w:rPr>
        <w:t xml:space="preserve"> $3,000,000-5,000,000 at $12-20M valuation. Funds Year 3 team buildout and enterprise sales activation.</w:t>
      </w:r>
    </w:p>
    <w:p>
      <w:pPr>
        <w:pStyle w:val="ListBullet"/>
        <w:spacing w:before="0" w:after="100"/>
      </w:pPr>
      <w:r>
        <w:rPr>
          <w:b/>
          <w:sz w:val="22"/>
        </w:rPr>
        <w:t>750 paying customers milestone reached by March 31</w:t>
      </w:r>
    </w:p>
    <w:p>
      <w:pPr>
        <w:pStyle w:val="ListBullet"/>
        <w:spacing w:before="0" w:after="100"/>
      </w:pPr>
      <w:r>
        <w:rPr>
          <w:b/>
          <w:sz w:val="22"/>
        </w:rPr>
        <w:t>First peer-reviewed research paper submitted by March 31</w:t>
      </w:r>
    </w:p>
    <w:p>
      <w:pPr>
        <w:spacing w:before="240" w:after="80"/>
      </w:pPr>
      <w:r>
        <w:rPr>
          <w:b/>
          <w:sz w:val="22"/>
        </w:rPr>
        <w:t>Q2 2028 — Enterprise Deals (April-June)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3 signed enterprise contracts (hospital or 10+ seat group practice) by June 30</w:t>
      </w:r>
    </w:p>
    <w:p>
      <w:pPr>
        <w:pStyle w:val="ListBullet"/>
        <w:spacing w:before="0" w:after="100"/>
      </w:pPr>
      <w:r>
        <w:rPr>
          <w:b/>
          <w:sz w:val="22"/>
        </w:rPr>
        <w:t>Marketing Manager hired by April 30</w:t>
      </w:r>
    </w:p>
    <w:p>
      <w:pPr>
        <w:pStyle w:val="ListBullet"/>
        <w:spacing w:before="0" w:after="100"/>
      </w:pPr>
      <w:r>
        <w:rPr>
          <w:b/>
          <w:sz w:val="22"/>
        </w:rPr>
        <w:t>Enterprise Sales Rep 2 hired by May 31</w:t>
      </w:r>
    </w:p>
    <w:p>
      <w:pPr>
        <w:pStyle w:val="ListBullet"/>
        <w:spacing w:before="0" w:after="100"/>
      </w:pPr>
      <w:r>
        <w:rPr>
          <w:b/>
          <w:sz w:val="22"/>
        </w:rPr>
        <w:t>1,000 paying customers milestone reached by June 30</w:t>
      </w:r>
    </w:p>
    <w:p>
      <w:pPr>
        <w:pStyle w:val="ListBullet"/>
        <w:spacing w:before="0" w:after="100"/>
      </w:pPr>
      <w:r>
        <w:rPr>
          <w:b/>
          <w:sz w:val="22"/>
        </w:rPr>
        <w:t>HIPAA HITRUST certification scoped and in progress</w:t>
      </w:r>
    </w:p>
    <w:p>
      <w:pPr>
        <w:spacing w:before="240" w:after="80"/>
      </w:pPr>
      <w:r>
        <w:rPr>
          <w:b/>
          <w:sz w:val="22"/>
        </w:rPr>
        <w:t>Q3 2028 — Research and Reputation (July-September)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First peer-reviewed research paper published or accepted by September 30:</w:t>
      </w:r>
      <w:r>
        <w:rPr>
          <w:b w:val="0"/>
          <w:sz w:val="22"/>
        </w:rPr>
        <w:t xml:space="preserve"> Journal of Forensic Psychology or Assessment. Data from anonymized aggregate dataset. Co-authored with advisory board members.</w:t>
      </w:r>
    </w:p>
    <w:p>
      <w:pPr>
        <w:pStyle w:val="ListBullet"/>
        <w:spacing w:before="0" w:after="100"/>
      </w:pPr>
      <w:r>
        <w:rPr>
          <w:b/>
          <w:sz w:val="22"/>
        </w:rPr>
        <w:t>5 enterprise contracts active by September 30</w:t>
      </w:r>
    </w:p>
    <w:p>
      <w:pPr>
        <w:pStyle w:val="ListBullet"/>
        <w:spacing w:before="0" w:after="100"/>
      </w:pPr>
      <w:r>
        <w:rPr>
          <w:b/>
          <w:sz w:val="22"/>
        </w:rPr>
        <w:t>International expansion scoped (UK, Canada, Australia) by September 30</w:t>
      </w:r>
    </w:p>
    <w:p>
      <w:pPr>
        <w:pStyle w:val="ListBullet"/>
        <w:spacing w:before="0" w:after="100"/>
      </w:pPr>
      <w:r>
        <w:rPr>
          <w:b/>
          <w:sz w:val="22"/>
        </w:rPr>
        <w:t>1,200 paying customers milestone reached by September 30</w:t>
      </w:r>
    </w:p>
    <w:p>
      <w:pPr>
        <w:spacing w:before="240" w:after="80"/>
      </w:pPr>
      <w:r>
        <w:rPr>
          <w:b/>
          <w:sz w:val="22"/>
        </w:rPr>
        <w:t>Q4 2028 — Exit Readiness (October-December)</w:t>
      </w:r>
    </w:p>
    <w:p>
      <w:pPr>
        <w:spacing w:before="120" w:after="80"/>
      </w:pPr>
      <w:r>
        <w:rPr>
          <w:b/>
          <w:i/>
          <w:color w:val="646464"/>
          <w:sz w:val="20"/>
        </w:rPr>
        <w:t>Non-Negotiable Milestones</w:t>
      </w:r>
    </w:p>
    <w:p>
      <w:pPr>
        <w:pStyle w:val="ListBullet"/>
        <w:spacing w:before="0" w:after="100"/>
      </w:pPr>
      <w:r>
        <w:rPr>
          <w:b/>
          <w:sz w:val="22"/>
        </w:rPr>
        <w:t>1,500-2,000 paying customers by December 31:</w:t>
      </w:r>
      <w:r>
        <w:rPr>
          <w:b w:val="0"/>
          <w:sz w:val="22"/>
        </w:rPr>
        <w:t xml:space="preserve"> Blended MRR: $375,000-500,000. ARR: $4.5M-6.0M.</w:t>
      </w:r>
    </w:p>
    <w:p>
      <w:pPr>
        <w:pStyle w:val="ListBullet"/>
        <w:spacing w:before="0" w:after="100"/>
      </w:pPr>
      <w:r>
        <w:rPr>
          <w:b/>
          <w:sz w:val="22"/>
        </w:rPr>
        <w:t>10 enterprise contracts active by December 31</w:t>
      </w:r>
    </w:p>
    <w:p>
      <w:pPr>
        <w:pStyle w:val="ListBullet"/>
        <w:spacing w:before="0" w:after="100"/>
      </w:pPr>
      <w:r>
        <w:rPr>
          <w:b/>
          <w:sz w:val="22"/>
        </w:rPr>
        <w:t>First strategic acquirer conversation initiated:</w:t>
      </w:r>
      <w:r>
        <w:rPr>
          <w:b w:val="0"/>
          <w:sz w:val="22"/>
        </w:rPr>
        <w:t xml:space="preserve"> Pearson or PAR Inc. introductory meeting at AP-LS or NAN conference. CEO-level relationship established.</w:t>
      </w:r>
    </w:p>
    <w:p>
      <w:pPr>
        <w:pStyle w:val="ListBullet"/>
        <w:spacing w:before="0" w:after="100"/>
      </w:pPr>
      <w:r>
        <w:rPr>
          <w:b/>
          <w:sz w:val="22"/>
        </w:rPr>
        <w:t>HITRUST certification or SOC 2 + HIPAA combined audit complete by December 31</w:t>
      </w:r>
    </w:p>
    <w:p>
      <w:pPr>
        <w:pStyle w:val="ListBullet"/>
        <w:spacing w:before="0" w:after="100"/>
      </w:pPr>
      <w:r>
        <w:rPr>
          <w:b/>
          <w:sz w:val="22"/>
        </w:rPr>
        <w:t>International pilot launched in one market (UK or Canada) by December 31</w:t>
      </w:r>
    </w:p>
    <w:p>
      <w:pPr>
        <w:spacing w:before="0" w:after="12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CROSS-CUTTING EXECUTION PRINCIPLES</w:t>
      </w:r>
    </w:p>
    <w:p>
      <w:pPr>
        <w:spacing w:before="0" w:after="160"/>
      </w:pPr>
      <w:r>
        <w:rPr>
          <w:sz w:val="22"/>
        </w:rPr>
        <w:t>Four rules applied every quarter:</w:t>
      </w:r>
    </w:p>
    <w:p>
      <w:pPr>
        <w:pStyle w:val="ListBullet"/>
        <w:spacing w:before="0" w:after="100"/>
      </w:pPr>
      <w:r>
        <w:rPr>
          <w:b/>
          <w:sz w:val="22"/>
        </w:rPr>
        <w:t>Agent velocity over perfection:</w:t>
      </w:r>
      <w:r>
        <w:rPr>
          <w:b w:val="0"/>
          <w:sz w:val="22"/>
        </w:rPr>
        <w:t xml:space="preserve"> Agents ship fast. Humans review and approve. The loop is: build, review, merge, test, deploy. Two-week sprint cycles. No quarter-long waterfall projects.</w:t>
      </w:r>
    </w:p>
    <w:p>
      <w:pPr>
        <w:pStyle w:val="ListBullet"/>
        <w:spacing w:before="0" w:after="100"/>
      </w:pPr>
      <w:r>
        <w:rPr>
          <w:b/>
          <w:sz w:val="22"/>
        </w:rPr>
        <w:t>Customer signal over internal opinion:</w:t>
      </w:r>
      <w:r>
        <w:rPr>
          <w:b w:val="0"/>
          <w:sz w:val="22"/>
        </w:rPr>
        <w:t xml:space="preserve"> Every product decision in every quarter references feedback from paying customers. The advisory board reviews product direction quarterly. Customer outcomes override internal assumptions.</w:t>
      </w:r>
    </w:p>
    <w:p>
      <w:pPr>
        <w:pStyle w:val="ListBullet"/>
        <w:spacing w:before="0" w:after="100"/>
      </w:pPr>
      <w:r>
        <w:rPr>
          <w:b/>
          <w:sz w:val="22"/>
        </w:rPr>
        <w:t>Compliance is not optional at any stage:</w:t>
      </w:r>
      <w:r>
        <w:rPr>
          <w:b w:val="0"/>
          <w:sz w:val="22"/>
        </w:rPr>
        <w:t xml:space="preserve"> HIPAA, SOC 2, and state licensing board guidance are tracked continuously by the Compliance Agent. No feature ships that creates compliance risk. Compliance delays product — compliance failures end companies.</w:t>
      </w:r>
    </w:p>
    <w:p>
      <w:pPr>
        <w:pStyle w:val="ListBullet"/>
        <w:spacing w:before="0" w:after="100"/>
      </w:pPr>
      <w:r>
        <w:rPr>
          <w:b/>
          <w:sz w:val="22"/>
        </w:rPr>
        <w:t>The audit trail is sacred:</w:t>
      </w:r>
      <w:r>
        <w:rPr>
          <w:b w:val="0"/>
          <w:sz w:val="22"/>
        </w:rPr>
        <w:t xml:space="preserve"> Every evaluation that flows through Forensai generates an immutable audit trail. The SHA-256 chain is never modified, never truncated, never overridden. This is the legal defensibility architecture and the competitive moat simultaneously.</w:t>
      </w:r>
    </w:p>
    <w:p>
      <w:pPr>
        <w:spacing w:before="0" w:after="12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DECISION GATE CALENDAR</w:t>
      </w:r>
    </w:p>
    <w:p>
      <w:pPr>
        <w:spacing w:before="0" w:after="160"/>
      </w:pPr>
      <w:r>
        <w:rPr>
          <w:sz w:val="22"/>
        </w:rPr>
        <w:t>Critical go/no-go decisions by quarter:</w:t>
      </w:r>
    </w:p>
    <w:p>
      <w:pPr>
        <w:pStyle w:val="ListBullet"/>
        <w:spacing w:before="0" w:after="100"/>
      </w:pPr>
      <w:r>
        <w:rPr>
          <w:b/>
          <w:sz w:val="22"/>
        </w:rPr>
        <w:t>Q2 2026 — MVP ship gate:</w:t>
      </w:r>
      <w:r>
        <w:rPr>
          <w:b w:val="0"/>
          <w:sz w:val="22"/>
        </w:rPr>
        <w:t xml:space="preserve"> Golden case suite passes &gt;85% clinical accuracy threshold. Five beta users confirm workflow usability. Security audit finds no critical vulnerabilities. All gates green: ship to founding cohort. Any gate red: delay and remediate.</w:t>
      </w:r>
    </w:p>
    <w:p>
      <w:pPr>
        <w:pStyle w:val="ListBullet"/>
        <w:spacing w:before="0" w:after="100"/>
      </w:pPr>
      <w:r>
        <w:rPr>
          <w:b/>
          <w:sz w:val="22"/>
        </w:rPr>
        <w:t>Q3 2026 — Revenue gate:</w:t>
      </w:r>
      <w:r>
        <w:rPr>
          <w:b w:val="0"/>
          <w:sz w:val="22"/>
        </w:rPr>
        <w:t xml:space="preserve"> 10 paying customers by end of Q3. Average NPS above 50. Zero clinical accuracy complaints. Green: continue to Beta sprint. Red: pause Beta, return to MVP improvement.</w:t>
      </w:r>
    </w:p>
    <w:p>
      <w:pPr>
        <w:pStyle w:val="ListBullet"/>
        <w:spacing w:before="0" w:after="100"/>
      </w:pPr>
      <w:r>
        <w:rPr>
          <w:b/>
          <w:sz w:val="22"/>
        </w:rPr>
        <w:t>Q2 2027 — Clinical launch gate:</w:t>
      </w:r>
      <w:r>
        <w:rPr>
          <w:b w:val="0"/>
          <w:sz w:val="22"/>
        </w:rPr>
        <w:t xml:space="preserve"> Billing loop complete and tested with 10 beta clinical users. SimplePractice integration confirmed. CPT code accuracy validated by billing expert. Green: launch clinical tier. Red: delay and fix billing integration.</w:t>
      </w:r>
    </w:p>
    <w:p>
      <w:pPr>
        <w:pStyle w:val="ListBullet"/>
        <w:spacing w:before="0" w:after="100"/>
      </w:pPr>
      <w:r>
        <w:rPr>
          <w:b/>
          <w:sz w:val="22"/>
        </w:rPr>
        <w:t>Q4 2027 — Enterprise readiness gate:</w:t>
      </w:r>
      <w:r>
        <w:rPr>
          <w:b w:val="0"/>
          <w:sz w:val="22"/>
        </w:rPr>
        <w:t xml:space="preserve"> SOC 2 Type II report received. BAA template reviewed by legal. Enterprise admin console complete. Green: begin active enterprise sales. Red: delay enterprise motion until certification complete.</w:t>
      </w:r>
    </w:p>
    <w:p>
      <w:pPr>
        <w:pStyle w:val="ListBullet"/>
        <w:spacing w:before="0" w:after="100"/>
      </w:pPr>
      <w:r>
        <w:rPr>
          <w:b/>
          <w:sz w:val="22"/>
        </w:rPr>
        <w:t>Q4 2028 — Exit readiness gate:</w:t>
      </w:r>
      <w:r>
        <w:rPr>
          <w:b w:val="0"/>
          <w:sz w:val="22"/>
        </w:rPr>
        <w:t xml:space="preserve"> ARR above $4M. NRR above 115%. Churn below 5%. 3+ enterprise contracts active. Published research available. Green: initiate strategic acquisition conversations. Red: continue organic growth for 12 additional months.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7A589"/>
        <w:sz w:val="18"/>
      </w:rPr>
      <w:t>psygnosi.com | a Foundry SMB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