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00F3D" w14:textId="77777777" w:rsidR="00CB08E3" w:rsidRPr="00CB08E3" w:rsidRDefault="00CB08E3" w:rsidP="00CB08E3">
      <w:pPr>
        <w:keepNext/>
        <w:keepLines/>
        <w:numPr>
          <w:ilvl w:val="3"/>
          <w:numId w:val="0"/>
        </w:numPr>
        <w:spacing w:before="200" w:after="0" w:line="276" w:lineRule="auto"/>
        <w:ind w:left="864" w:hanging="864"/>
        <w:outlineLvl w:val="3"/>
        <w:rPr>
          <w:rFonts w:ascii="Cambria" w:eastAsia="Times New Roman" w:hAnsi="Cambria" w:cs="Times New Roman"/>
          <w:b/>
          <w:bCs/>
          <w:i/>
          <w:iCs/>
          <w:color w:val="4F81BD"/>
          <w:lang w:val="de-AT"/>
        </w:rPr>
      </w:pPr>
      <w:r w:rsidRPr="00CB08E3">
        <w:rPr>
          <w:rFonts w:ascii="Cambria" w:eastAsia="Times New Roman" w:hAnsi="Cambria" w:cs="Times New Roman"/>
          <w:b/>
          <w:bCs/>
          <w:i/>
          <w:iCs/>
          <w:color w:val="4F81BD"/>
          <w:lang w:val="de-AT"/>
        </w:rPr>
        <w:t>Nonverbale Kommunikation</w:t>
      </w:r>
    </w:p>
    <w:p w14:paraId="6915683B" w14:textId="77777777" w:rsidR="00CB08E3" w:rsidRPr="00CB08E3" w:rsidRDefault="00CB08E3" w:rsidP="00CB08E3">
      <w:pPr>
        <w:keepNext/>
        <w:keepLines/>
        <w:numPr>
          <w:ilvl w:val="4"/>
          <w:numId w:val="0"/>
        </w:numPr>
        <w:spacing w:before="200" w:after="0" w:line="276" w:lineRule="auto"/>
        <w:ind w:left="1008" w:hanging="1008"/>
        <w:outlineLvl w:val="4"/>
        <w:rPr>
          <w:rFonts w:ascii="Cambria" w:eastAsia="Times New Roman" w:hAnsi="Cambria" w:cs="Times New Roman"/>
          <w:color w:val="243F60"/>
          <w:lang w:val="de-AT"/>
        </w:rPr>
      </w:pPr>
      <w:r w:rsidRPr="00CB08E3">
        <w:rPr>
          <w:rFonts w:ascii="Cambria" w:eastAsia="Times New Roman" w:hAnsi="Cambria" w:cs="Times New Roman"/>
          <w:color w:val="243F60"/>
          <w:lang w:val="de-AT"/>
        </w:rPr>
        <w:t>Kopfhalten</w:t>
      </w:r>
    </w:p>
    <w:p w14:paraId="754C8DCD" w14:textId="77777777" w:rsidR="00CB08E3" w:rsidRPr="00CB08E3" w:rsidRDefault="00CB08E3" w:rsidP="00CB08E3">
      <w:pPr>
        <w:spacing w:after="200" w:line="276" w:lineRule="auto"/>
        <w:rPr>
          <w:rFonts w:ascii="Calibri" w:eastAsia="Calibri" w:hAnsi="Calibri" w:cs="Times New Roman"/>
          <w:lang w:val="de-AT"/>
        </w:rPr>
      </w:pPr>
      <w:r w:rsidRPr="00CB08E3">
        <w:rPr>
          <w:rFonts w:ascii="Calibri" w:eastAsia="Calibri" w:hAnsi="Calibri" w:cs="Times New Roman"/>
          <w:lang w:val="de-AT"/>
        </w:rPr>
        <w:t xml:space="preserve">Ein </w:t>
      </w:r>
      <w:proofErr w:type="gramStart"/>
      <w:r w:rsidRPr="00CB08E3">
        <w:rPr>
          <w:rFonts w:ascii="Calibri" w:eastAsia="Calibri" w:hAnsi="Calibri" w:cs="Times New Roman"/>
          <w:lang w:val="de-AT"/>
        </w:rPr>
        <w:t>nach unten geneigter Kopf</w:t>
      </w:r>
      <w:proofErr w:type="gramEnd"/>
      <w:r w:rsidRPr="00CB08E3">
        <w:rPr>
          <w:rFonts w:ascii="Calibri" w:eastAsia="Calibri" w:hAnsi="Calibri" w:cs="Times New Roman"/>
          <w:lang w:val="de-AT"/>
        </w:rPr>
        <w:t xml:space="preserve"> wirkt bescheiden und anmutig, während ein gerade geneigter Kopf Selbstsucht vermittelt.</w:t>
      </w:r>
    </w:p>
    <w:p w14:paraId="14E8E0AB" w14:textId="77777777" w:rsidR="00CB08E3" w:rsidRPr="00CB08E3" w:rsidRDefault="00CB08E3" w:rsidP="00CB08E3">
      <w:pPr>
        <w:keepNext/>
        <w:keepLines/>
        <w:numPr>
          <w:ilvl w:val="4"/>
          <w:numId w:val="0"/>
        </w:numPr>
        <w:spacing w:before="200" w:after="0" w:line="276" w:lineRule="auto"/>
        <w:ind w:left="1008" w:hanging="1008"/>
        <w:outlineLvl w:val="4"/>
        <w:rPr>
          <w:rFonts w:ascii="Cambria" w:eastAsia="Times New Roman" w:hAnsi="Cambria" w:cs="Times New Roman"/>
          <w:color w:val="243F60"/>
          <w:lang w:val="de-AT"/>
        </w:rPr>
      </w:pPr>
      <w:r w:rsidRPr="00CB08E3">
        <w:rPr>
          <w:rFonts w:ascii="Cambria" w:eastAsia="Times New Roman" w:hAnsi="Cambria" w:cs="Times New Roman"/>
          <w:color w:val="243F60"/>
          <w:lang w:val="de-AT"/>
        </w:rPr>
        <w:t>Händeschütteln</w:t>
      </w:r>
    </w:p>
    <w:p w14:paraId="44FFC8E0" w14:textId="77777777" w:rsidR="00CB08E3" w:rsidRPr="00CB08E3" w:rsidRDefault="00CB08E3" w:rsidP="00CB08E3">
      <w:pPr>
        <w:spacing w:after="200" w:line="276" w:lineRule="auto"/>
        <w:rPr>
          <w:rFonts w:ascii="Calibri" w:eastAsia="Calibri" w:hAnsi="Calibri" w:cs="Times New Roman"/>
          <w:lang w:val="de-AT"/>
        </w:rPr>
      </w:pPr>
      <w:proofErr w:type="gramStart"/>
      <w:r w:rsidRPr="00CB08E3">
        <w:rPr>
          <w:rFonts w:ascii="Calibri" w:eastAsia="Calibri" w:hAnsi="Calibri" w:cs="Times New Roman"/>
          <w:lang w:val="de-AT"/>
        </w:rPr>
        <w:t>Ein zu lange andauerndes Händeschütteln</w:t>
      </w:r>
      <w:proofErr w:type="gramEnd"/>
      <w:r w:rsidRPr="00CB08E3">
        <w:rPr>
          <w:rFonts w:ascii="Calibri" w:eastAsia="Calibri" w:hAnsi="Calibri" w:cs="Times New Roman"/>
          <w:lang w:val="de-AT"/>
        </w:rPr>
        <w:t xml:space="preserve"> bei einer formellen oder informellen Begrüßung lässt uns unsympathisch erscheinen.</w:t>
      </w:r>
    </w:p>
    <w:p w14:paraId="23CA2187" w14:textId="77777777" w:rsidR="00CB08E3" w:rsidRPr="00CB08E3" w:rsidRDefault="00CB08E3" w:rsidP="00CB08E3">
      <w:pPr>
        <w:keepNext/>
        <w:keepLines/>
        <w:numPr>
          <w:ilvl w:val="4"/>
          <w:numId w:val="0"/>
        </w:numPr>
        <w:spacing w:before="200" w:after="0" w:line="276" w:lineRule="auto"/>
        <w:ind w:left="1008" w:hanging="1008"/>
        <w:outlineLvl w:val="4"/>
        <w:rPr>
          <w:rFonts w:ascii="Cambria" w:eastAsia="Times New Roman" w:hAnsi="Cambria" w:cs="Times New Roman"/>
          <w:color w:val="243F60"/>
          <w:lang w:val="de-AT"/>
        </w:rPr>
      </w:pPr>
      <w:r w:rsidRPr="00CB08E3">
        <w:rPr>
          <w:rFonts w:ascii="Cambria" w:eastAsia="Times New Roman" w:hAnsi="Cambria" w:cs="Times New Roman"/>
          <w:color w:val="243F60"/>
          <w:lang w:val="de-AT"/>
        </w:rPr>
        <w:t>Körperhaltung</w:t>
      </w:r>
    </w:p>
    <w:p w14:paraId="1C74FDF4" w14:textId="77777777" w:rsidR="00CB08E3" w:rsidRPr="00CB08E3" w:rsidRDefault="00CB08E3" w:rsidP="00CB08E3">
      <w:pPr>
        <w:spacing w:after="200" w:line="276" w:lineRule="auto"/>
        <w:rPr>
          <w:rFonts w:ascii="Calibri" w:eastAsia="Calibri" w:hAnsi="Calibri" w:cs="Times New Roman"/>
          <w:lang w:val="de-AT"/>
        </w:rPr>
      </w:pPr>
      <w:r w:rsidRPr="00CB08E3">
        <w:rPr>
          <w:rFonts w:ascii="Calibri" w:eastAsia="Calibri" w:hAnsi="Calibri" w:cs="Times New Roman"/>
          <w:lang w:val="de-AT"/>
        </w:rPr>
        <w:t xml:space="preserve">Eine schlechte Körperhaltung, also ein </w:t>
      </w:r>
      <w:proofErr w:type="gramStart"/>
      <w:r w:rsidRPr="00CB08E3">
        <w:rPr>
          <w:rFonts w:ascii="Calibri" w:eastAsia="Calibri" w:hAnsi="Calibri" w:cs="Times New Roman"/>
          <w:lang w:val="de-AT"/>
        </w:rPr>
        <w:t>nach vorne gebeugter Rücken</w:t>
      </w:r>
      <w:proofErr w:type="gramEnd"/>
      <w:r w:rsidRPr="00CB08E3">
        <w:rPr>
          <w:rFonts w:ascii="Calibri" w:eastAsia="Calibri" w:hAnsi="Calibri" w:cs="Times New Roman"/>
          <w:lang w:val="de-AT"/>
        </w:rPr>
        <w:t>, ein Rundrücken, wirkt traurig und gedemütigt. Eine aufrecht sitzende Person wird hingegen sehr respektvoll behandelt, weil sie wie eine Führungsperson erscheint.</w:t>
      </w:r>
    </w:p>
    <w:p w14:paraId="4F3F3F2C" w14:textId="77777777" w:rsidR="00CB08E3" w:rsidRPr="00CB08E3" w:rsidRDefault="00CB08E3" w:rsidP="00CB08E3">
      <w:pPr>
        <w:keepNext/>
        <w:keepLines/>
        <w:numPr>
          <w:ilvl w:val="4"/>
          <w:numId w:val="0"/>
        </w:numPr>
        <w:spacing w:before="200" w:after="0" w:line="276" w:lineRule="auto"/>
        <w:ind w:left="1008" w:hanging="1008"/>
        <w:outlineLvl w:val="4"/>
        <w:rPr>
          <w:rFonts w:ascii="Cambria" w:eastAsia="Times New Roman" w:hAnsi="Cambria" w:cs="Times New Roman"/>
          <w:color w:val="243F60"/>
          <w:lang w:val="de-AT"/>
        </w:rPr>
      </w:pPr>
      <w:r w:rsidRPr="00CB08E3">
        <w:rPr>
          <w:rFonts w:ascii="Cambria" w:eastAsia="Times New Roman" w:hAnsi="Cambria" w:cs="Times New Roman"/>
          <w:color w:val="243F60"/>
          <w:lang w:val="de-AT"/>
        </w:rPr>
        <w:t>Timing</w:t>
      </w:r>
    </w:p>
    <w:p w14:paraId="48676A67" w14:textId="77777777" w:rsidR="00CB08E3" w:rsidRPr="00CB08E3" w:rsidRDefault="00CB08E3" w:rsidP="00CB08E3">
      <w:pPr>
        <w:spacing w:after="200" w:line="276" w:lineRule="auto"/>
        <w:rPr>
          <w:rFonts w:ascii="Calibri" w:eastAsia="Calibri" w:hAnsi="Calibri" w:cs="Times New Roman"/>
          <w:lang w:val="de-AT"/>
        </w:rPr>
      </w:pPr>
      <w:r w:rsidRPr="00CB08E3">
        <w:rPr>
          <w:rFonts w:ascii="Calibri" w:eastAsia="Calibri" w:hAnsi="Calibri" w:cs="Times New Roman"/>
          <w:lang w:val="de-AT"/>
        </w:rPr>
        <w:t>Bei zu langem Warten oder zu schnellem Reden wird das Gespräch lächerlich empfunden. Das richtige Timing spielt eine entscheidende Rolle, gehört allerdings nicht wirklich zur Kategorie „Körperhaltung“.</w:t>
      </w:r>
    </w:p>
    <w:p w14:paraId="4269CF14" w14:textId="77777777" w:rsidR="00CB08E3" w:rsidRPr="00CB08E3" w:rsidRDefault="00CB08E3" w:rsidP="00CB08E3">
      <w:pPr>
        <w:keepNext/>
        <w:keepLines/>
        <w:numPr>
          <w:ilvl w:val="4"/>
          <w:numId w:val="0"/>
        </w:numPr>
        <w:spacing w:before="200" w:after="0" w:line="276" w:lineRule="auto"/>
        <w:ind w:left="1008" w:hanging="1008"/>
        <w:outlineLvl w:val="4"/>
        <w:rPr>
          <w:rFonts w:ascii="Cambria" w:eastAsia="Times New Roman" w:hAnsi="Cambria" w:cs="Times New Roman"/>
          <w:color w:val="243F60"/>
          <w:lang w:val="de-AT"/>
        </w:rPr>
      </w:pPr>
      <w:r w:rsidRPr="00CB08E3">
        <w:rPr>
          <w:rFonts w:ascii="Cambria" w:eastAsia="Times New Roman" w:hAnsi="Cambria" w:cs="Times New Roman"/>
          <w:color w:val="243F60"/>
          <w:lang w:val="de-AT"/>
        </w:rPr>
        <w:t>Mimik</w:t>
      </w:r>
    </w:p>
    <w:p w14:paraId="703A0E0D" w14:textId="77777777" w:rsidR="00CB08E3" w:rsidRPr="00CB08E3" w:rsidRDefault="00CB08E3" w:rsidP="00CB08E3">
      <w:pPr>
        <w:spacing w:after="200" w:line="276" w:lineRule="auto"/>
        <w:rPr>
          <w:rFonts w:ascii="Calibri" w:eastAsia="Calibri" w:hAnsi="Calibri" w:cs="Times New Roman"/>
          <w:lang w:val="de-AT"/>
        </w:rPr>
      </w:pPr>
      <w:r w:rsidRPr="00CB08E3">
        <w:rPr>
          <w:rFonts w:ascii="Calibri" w:eastAsia="Calibri" w:hAnsi="Calibri" w:cs="Times New Roman"/>
          <w:lang w:val="de-AT"/>
        </w:rPr>
        <w:t xml:space="preserve">Ob Augenrollen, rot </w:t>
      </w:r>
      <w:proofErr w:type="spellStart"/>
      <w:r w:rsidRPr="00CB08E3">
        <w:rPr>
          <w:rFonts w:ascii="Calibri" w:eastAsia="Calibri" w:hAnsi="Calibri" w:cs="Times New Roman"/>
          <w:lang w:val="de-AT"/>
        </w:rPr>
        <w:t>werdene</w:t>
      </w:r>
      <w:proofErr w:type="spellEnd"/>
      <w:r w:rsidRPr="00CB08E3">
        <w:rPr>
          <w:rFonts w:ascii="Calibri" w:eastAsia="Calibri" w:hAnsi="Calibri" w:cs="Times New Roman"/>
          <w:lang w:val="de-AT"/>
        </w:rPr>
        <w:t xml:space="preserve"> Wangen, Lächeln, Schmollen, angespannte Augenbrauen, hochgezogene Augenbrauen oder der Ausdruck von traurigen Augen. All diese im Gesicht auftretenden nonverbalen Kommunikationen gehören zur Mimik. Mimik geht allerdings auch noch viel tiefer. Ein Lächeln ist nicht immer ein freundliches Lächeln, es kann auch ein ironisches / sarkastisches Lächeln oder ein Auslachen sein. Diese feinen Unterschiede lassen sich nicht immer differenzieren. Aber durch diese Art von nonverbaler Kommunikation kann man verbale und paraverbale Kommunikation stark unterstreichen, Meinungen deutlich und klar übermitteln und die Sprache interessanter gestalten. Der oder die Empfänger kennen sich zu dem Gesagten besser aus, sie können sich in den Sender hineinfühlen.</w:t>
      </w:r>
    </w:p>
    <w:p w14:paraId="7E39F61D" w14:textId="77777777" w:rsidR="00CB08E3" w:rsidRPr="00CB08E3" w:rsidRDefault="00CB08E3" w:rsidP="00CB08E3">
      <w:pPr>
        <w:keepNext/>
        <w:keepLines/>
        <w:numPr>
          <w:ilvl w:val="4"/>
          <w:numId w:val="0"/>
        </w:numPr>
        <w:spacing w:before="200" w:after="0" w:line="276" w:lineRule="auto"/>
        <w:ind w:left="1008" w:hanging="1008"/>
        <w:outlineLvl w:val="4"/>
        <w:rPr>
          <w:rFonts w:ascii="Cambria" w:eastAsia="Times New Roman" w:hAnsi="Cambria" w:cs="Times New Roman"/>
          <w:color w:val="243F60"/>
          <w:lang w:val="de-AT"/>
        </w:rPr>
      </w:pPr>
      <w:r w:rsidRPr="00CB08E3">
        <w:rPr>
          <w:rFonts w:ascii="Cambria" w:eastAsia="Times New Roman" w:hAnsi="Cambria" w:cs="Times New Roman"/>
          <w:color w:val="243F60"/>
          <w:lang w:val="de-AT"/>
        </w:rPr>
        <w:t>Blickkontakt</w:t>
      </w:r>
    </w:p>
    <w:p w14:paraId="10A3BE3C" w14:textId="77777777" w:rsidR="00CB08E3" w:rsidRPr="00CB08E3" w:rsidRDefault="00CB08E3" w:rsidP="00CB08E3">
      <w:pPr>
        <w:spacing w:after="200" w:line="276" w:lineRule="auto"/>
        <w:rPr>
          <w:rFonts w:ascii="Calibri" w:eastAsia="Calibri" w:hAnsi="Calibri" w:cs="Times New Roman"/>
          <w:lang w:val="de-AT"/>
        </w:rPr>
      </w:pPr>
      <w:r w:rsidRPr="00CB08E3">
        <w:rPr>
          <w:rFonts w:ascii="Calibri" w:eastAsia="Calibri" w:hAnsi="Calibri" w:cs="Times New Roman"/>
          <w:lang w:val="de-AT"/>
        </w:rPr>
        <w:t>Der Augenkontakt ist besonders wichtig, um Interesse zu zeigen. Abwesende Augen, als ein Blick jenseits der Augen der Empfänger bzw. des Senders zeigen logischerweise gedankliche Abwesenheit.</w:t>
      </w:r>
    </w:p>
    <w:p w14:paraId="74C5B579" w14:textId="77777777" w:rsidR="00CB08E3" w:rsidRPr="00CB08E3" w:rsidRDefault="00CB08E3" w:rsidP="00CB08E3">
      <w:pPr>
        <w:keepNext/>
        <w:keepLines/>
        <w:numPr>
          <w:ilvl w:val="4"/>
          <w:numId w:val="0"/>
        </w:numPr>
        <w:spacing w:before="200" w:after="0" w:line="276" w:lineRule="auto"/>
        <w:ind w:left="1008" w:hanging="1008"/>
        <w:outlineLvl w:val="4"/>
        <w:rPr>
          <w:rFonts w:ascii="Cambria" w:eastAsia="Times New Roman" w:hAnsi="Cambria" w:cs="Times New Roman"/>
          <w:color w:val="243F60"/>
          <w:lang w:val="de-AT"/>
        </w:rPr>
      </w:pPr>
      <w:r w:rsidRPr="00CB08E3">
        <w:rPr>
          <w:rFonts w:ascii="Cambria" w:eastAsia="Times New Roman" w:hAnsi="Cambria" w:cs="Times New Roman"/>
          <w:color w:val="243F60"/>
          <w:lang w:val="de-AT"/>
        </w:rPr>
        <w:t>Habitus</w:t>
      </w:r>
    </w:p>
    <w:p w14:paraId="5FCFCD34" w14:textId="77777777" w:rsidR="00CB08E3" w:rsidRPr="00CB08E3" w:rsidRDefault="00CB08E3" w:rsidP="00CB08E3">
      <w:pPr>
        <w:spacing w:after="200" w:line="276" w:lineRule="auto"/>
        <w:rPr>
          <w:rFonts w:ascii="Calibri" w:eastAsia="Calibri" w:hAnsi="Calibri" w:cs="Times New Roman"/>
          <w:lang w:val="de-AT"/>
        </w:rPr>
      </w:pPr>
      <w:r w:rsidRPr="00CB08E3">
        <w:rPr>
          <w:rFonts w:ascii="Calibri" w:eastAsia="Calibri" w:hAnsi="Calibri" w:cs="Times New Roman"/>
          <w:lang w:val="de-AT"/>
        </w:rPr>
        <w:t>Zu dieser Kategorie gehört die Art der Frisur, das Make-Up, der Schmuck, die Kleidung und auch die sichtbare Pflege. Man kann aus einem Bild von Fingernägeln manchmal mehr über diese Person herauslesen als aus einer 200 Wörter langen Biografie.</w:t>
      </w:r>
    </w:p>
    <w:p w14:paraId="4200339C" w14:textId="77777777" w:rsidR="00CB08E3" w:rsidRPr="00CB08E3" w:rsidRDefault="00CB08E3" w:rsidP="00CB08E3">
      <w:pPr>
        <w:keepNext/>
        <w:keepLines/>
        <w:numPr>
          <w:ilvl w:val="4"/>
          <w:numId w:val="0"/>
        </w:numPr>
        <w:spacing w:before="200" w:after="0" w:line="276" w:lineRule="auto"/>
        <w:ind w:left="1008" w:hanging="1008"/>
        <w:outlineLvl w:val="4"/>
        <w:rPr>
          <w:rFonts w:ascii="Cambria" w:eastAsia="Times New Roman" w:hAnsi="Cambria" w:cs="Times New Roman"/>
          <w:color w:val="243F60"/>
          <w:lang w:val="de-AT"/>
        </w:rPr>
      </w:pPr>
      <w:r w:rsidRPr="00CB08E3">
        <w:rPr>
          <w:rFonts w:ascii="Cambria" w:eastAsia="Times New Roman" w:hAnsi="Cambria" w:cs="Times New Roman"/>
          <w:color w:val="243F60"/>
          <w:lang w:val="de-AT"/>
        </w:rPr>
        <w:t>Handgesten</w:t>
      </w:r>
    </w:p>
    <w:p w14:paraId="1CC8BAD8" w14:textId="77777777" w:rsidR="00CB08E3" w:rsidRPr="00CB08E3" w:rsidRDefault="00CB08E3" w:rsidP="00CB08E3">
      <w:pPr>
        <w:spacing w:after="200" w:line="276" w:lineRule="auto"/>
        <w:rPr>
          <w:rFonts w:ascii="Calibri" w:eastAsia="Calibri" w:hAnsi="Calibri" w:cs="Times New Roman"/>
          <w:lang w:val="de-AT"/>
        </w:rPr>
      </w:pPr>
      <w:r w:rsidRPr="00CB08E3">
        <w:rPr>
          <w:rFonts w:ascii="Calibri" w:eastAsia="Calibri" w:hAnsi="Calibri" w:cs="Times New Roman"/>
          <w:lang w:val="de-AT"/>
        </w:rPr>
        <w:t xml:space="preserve">Verschränkte Arme, trommelnde Finger, auf den Mund haltende Hand, versteckte Hände oder das „Kopf auf Hand stützen“. Dies gehört zur Kategorie Handgesten. Sie können Verschlossenheit, </w:t>
      </w:r>
      <w:proofErr w:type="spellStart"/>
      <w:r w:rsidRPr="00CB08E3">
        <w:rPr>
          <w:rFonts w:ascii="Calibri" w:eastAsia="Calibri" w:hAnsi="Calibri" w:cs="Times New Roman"/>
          <w:lang w:val="de-AT"/>
        </w:rPr>
        <w:t>Nervösität</w:t>
      </w:r>
      <w:proofErr w:type="spellEnd"/>
      <w:r w:rsidRPr="00CB08E3">
        <w:rPr>
          <w:rFonts w:ascii="Calibri" w:eastAsia="Calibri" w:hAnsi="Calibri" w:cs="Times New Roman"/>
          <w:lang w:val="de-AT"/>
        </w:rPr>
        <w:t>, Müdigkeit oder Verheimlichung symbolisieren.</w:t>
      </w:r>
    </w:p>
    <w:p w14:paraId="5BB4BBC5" w14:textId="77777777" w:rsidR="00CB08E3" w:rsidRPr="00CB08E3" w:rsidRDefault="00CB08E3" w:rsidP="00CB08E3">
      <w:pPr>
        <w:keepNext/>
        <w:keepLines/>
        <w:numPr>
          <w:ilvl w:val="4"/>
          <w:numId w:val="0"/>
        </w:numPr>
        <w:spacing w:before="200" w:after="0" w:line="276" w:lineRule="auto"/>
        <w:ind w:left="1008" w:hanging="1008"/>
        <w:outlineLvl w:val="4"/>
        <w:rPr>
          <w:rFonts w:ascii="Cambria" w:eastAsia="Times New Roman" w:hAnsi="Cambria" w:cs="Times New Roman"/>
          <w:color w:val="243F60"/>
          <w:lang w:val="de-AT"/>
        </w:rPr>
      </w:pPr>
      <w:r w:rsidRPr="00CB08E3">
        <w:rPr>
          <w:rFonts w:ascii="Cambria" w:eastAsia="Times New Roman" w:hAnsi="Cambria" w:cs="Times New Roman"/>
          <w:color w:val="243F60"/>
          <w:lang w:val="de-AT"/>
        </w:rPr>
        <w:t>Gestik / Armbewegungen und Körpereinsatz</w:t>
      </w:r>
    </w:p>
    <w:p w14:paraId="3F946376" w14:textId="77777777" w:rsidR="00CB08E3" w:rsidRPr="00CB08E3" w:rsidRDefault="00CB08E3" w:rsidP="00CB08E3">
      <w:pPr>
        <w:spacing w:after="200" w:line="276" w:lineRule="auto"/>
        <w:rPr>
          <w:rFonts w:ascii="Calibri" w:eastAsia="Calibri" w:hAnsi="Calibri" w:cs="Times New Roman"/>
          <w:lang w:val="de-AT"/>
        </w:rPr>
      </w:pPr>
      <w:r w:rsidRPr="00CB08E3">
        <w:rPr>
          <w:rFonts w:ascii="Calibri" w:eastAsia="Calibri" w:hAnsi="Calibri" w:cs="Times New Roman"/>
          <w:lang w:val="de-AT"/>
        </w:rPr>
        <w:t>Mit Armbewegungen kann man Wörter nonverbal unterstreichen, damit die Kommunikationsempfänger dem Inhalt besser verstehen können, weil sie automatisch auf die richtigen Wörter achten.</w:t>
      </w:r>
    </w:p>
    <w:p w14:paraId="3AB8791D" w14:textId="77777777" w:rsidR="00CB08E3" w:rsidRPr="00CB08E3" w:rsidRDefault="00CB08E3" w:rsidP="00CB08E3">
      <w:pPr>
        <w:keepNext/>
        <w:keepLines/>
        <w:numPr>
          <w:ilvl w:val="4"/>
          <w:numId w:val="0"/>
        </w:numPr>
        <w:spacing w:before="200" w:after="0" w:line="276" w:lineRule="auto"/>
        <w:ind w:left="1008" w:hanging="1008"/>
        <w:outlineLvl w:val="4"/>
        <w:rPr>
          <w:rFonts w:ascii="Cambria" w:eastAsia="Times New Roman" w:hAnsi="Cambria" w:cs="Times New Roman"/>
          <w:color w:val="243F60"/>
          <w:lang w:val="de-AT"/>
        </w:rPr>
      </w:pPr>
      <w:r w:rsidRPr="00CB08E3">
        <w:rPr>
          <w:rFonts w:ascii="Cambria" w:eastAsia="Times New Roman" w:hAnsi="Cambria" w:cs="Times New Roman"/>
          <w:color w:val="243F60"/>
          <w:lang w:val="de-AT"/>
        </w:rPr>
        <w:lastRenderedPageBreak/>
        <w:t>Sitzhaltung</w:t>
      </w:r>
    </w:p>
    <w:p w14:paraId="520B1FCE" w14:textId="77777777" w:rsidR="00CB08E3" w:rsidRPr="00CB08E3" w:rsidRDefault="00CB08E3" w:rsidP="00CB08E3">
      <w:pPr>
        <w:spacing w:after="200" w:line="276" w:lineRule="auto"/>
        <w:rPr>
          <w:rFonts w:ascii="Calibri" w:eastAsia="Calibri" w:hAnsi="Calibri" w:cs="Times New Roman"/>
          <w:lang w:val="de-AT"/>
        </w:rPr>
      </w:pPr>
      <w:r w:rsidRPr="00CB08E3">
        <w:rPr>
          <w:rFonts w:ascii="Calibri" w:eastAsia="Calibri" w:hAnsi="Calibri" w:cs="Times New Roman"/>
          <w:lang w:val="de-AT"/>
        </w:rPr>
        <w:t xml:space="preserve">Es ist auch sehr </w:t>
      </w:r>
      <w:proofErr w:type="gramStart"/>
      <w:r w:rsidRPr="00CB08E3">
        <w:rPr>
          <w:rFonts w:ascii="Calibri" w:eastAsia="Calibri" w:hAnsi="Calibri" w:cs="Times New Roman"/>
          <w:lang w:val="de-AT"/>
        </w:rPr>
        <w:t>entscheidend</w:t>
      </w:r>
      <w:proofErr w:type="gramEnd"/>
      <w:r w:rsidRPr="00CB08E3">
        <w:rPr>
          <w:rFonts w:ascii="Calibri" w:eastAsia="Calibri" w:hAnsi="Calibri" w:cs="Times New Roman"/>
          <w:lang w:val="de-AT"/>
        </w:rPr>
        <w:t xml:space="preserve"> wie man sitzt. Eine so halb daliegende Person zeigt weniger Motivation, Interesse und Wachsamkeit als eine mit aufrechtem Rücken, ordentlich dasitzende.</w:t>
      </w:r>
    </w:p>
    <w:p w14:paraId="2F4F2E0F" w14:textId="77777777" w:rsidR="00085A6D" w:rsidRPr="00CB08E3" w:rsidRDefault="00085A6D">
      <w:pPr>
        <w:rPr>
          <w:lang w:val="de-AT"/>
        </w:rPr>
      </w:pPr>
    </w:p>
    <w:sectPr w:rsidR="00085A6D" w:rsidRPr="00CB08E3">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8E3"/>
    <w:rsid w:val="00085A6D"/>
    <w:rsid w:val="002F5E51"/>
    <w:rsid w:val="00CB08E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D8D92C"/>
  <w15:chartTrackingRefBased/>
  <w15:docId w15:val="{E5BD582C-24C8-4E64-93DB-C607251B3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364</Words>
  <Characters>2294</Characters>
  <Application>Microsoft Office Word</Application>
  <DocSecurity>0</DocSecurity>
  <Lines>19</Lines>
  <Paragraphs>5</Paragraphs>
  <ScaleCrop>false</ScaleCrop>
  <Company/>
  <LinksUpToDate>false</LinksUpToDate>
  <CharactersWithSpaces>2653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Schneider Felix Christian</dc:creator>
  <cp:keywords/>
  <dc:description/>
  <cp:lastModifiedBy>Schneider Felix Christian</cp:lastModifiedBy>
  <cp:revision>1</cp:revision>
  <dcterms:created xsi:type="dcterms:W3CDTF">2021-11-16T07:43:00Z</dcterms:created>
  <dcterms:modified xsi:type="dcterms:W3CDTF">2021-11-16T07:44:00Z</dcterms:modified>
</cp:coreProperties>
</file>