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3C93" w14:textId="0B28EF47" w:rsidR="00944D2E" w:rsidRDefault="00944D2E" w:rsidP="00944D2E">
      <w:pPr>
        <w:spacing w:after="360" w:line="240" w:lineRule="auto"/>
        <w:jc w:val="center"/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</w:pPr>
      <w:r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  <w:t>INNERER MONOLOG</w:t>
      </w:r>
    </w:p>
    <w:p w14:paraId="1C9ACEFE" w14:textId="421EAF2B" w:rsidR="00944D2E" w:rsidRPr="00944D2E" w:rsidRDefault="00944D2E" w:rsidP="00944D2E">
      <w:pPr>
        <w:spacing w:after="360" w:line="240" w:lineRule="auto"/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</w:pP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  <w:t>Ein </w:t>
      </w:r>
      <w:r w:rsidRPr="00944D2E">
        <w:rPr>
          <w:rFonts w:ascii="Work Sans" w:eastAsia="Times New Roman" w:hAnsi="Work Sans" w:cs="Times New Roman"/>
          <w:b/>
          <w:bCs/>
          <w:i/>
          <w:iCs/>
          <w:color w:val="5E5E5E"/>
          <w:sz w:val="27"/>
          <w:szCs w:val="27"/>
          <w:shd w:val="clear" w:color="auto" w:fill="FFFFFF"/>
          <w:lang w:eastAsia="de-AT"/>
        </w:rPr>
        <w:t>innerer Monolog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  <w:t> ist eine Form der </w:t>
      </w:r>
      <w:hyperlink r:id="rId5" w:tooltip="Figurenrede" w:history="1">
        <w:r w:rsidRPr="00944D2E">
          <w:rPr>
            <w:rFonts w:ascii="Work Sans" w:eastAsia="Times New Roman" w:hAnsi="Work Sans" w:cs="Times New Roman"/>
            <w:b/>
            <w:bCs/>
            <w:color w:val="009CFF"/>
            <w:sz w:val="27"/>
            <w:szCs w:val="27"/>
            <w:lang w:eastAsia="de-AT"/>
          </w:rPr>
          <w:t>Figurenrede</w:t>
        </w:r>
      </w:hyperlink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  <w:t>, die Einblicke in den Kopf eines </w:t>
      </w:r>
      <w:hyperlink r:id="rId6" w:tooltip="Protagonist" w:history="1">
        <w:r w:rsidRPr="00944D2E">
          <w:rPr>
            <w:rFonts w:ascii="Work Sans" w:eastAsia="Times New Roman" w:hAnsi="Work Sans" w:cs="Times New Roman"/>
            <w:b/>
            <w:bCs/>
            <w:color w:val="009CFF"/>
            <w:sz w:val="27"/>
            <w:szCs w:val="27"/>
            <w:lang w:eastAsia="de-AT"/>
          </w:rPr>
          <w:t>Protagonisten</w:t>
        </w:r>
      </w:hyperlink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shd w:val="clear" w:color="auto" w:fill="FFFFFF"/>
          <w:lang w:eastAsia="de-AT"/>
        </w:rPr>
        <w:t xml:space="preserve"> und dessen Gefühlswelt gewährt. Der innere Monolog wird vom Erzähler für das Vermitteln von Gedanken genutzt. </w:t>
      </w:r>
    </w:p>
    <w:p w14:paraId="4F37B5A6" w14:textId="7B73968F" w:rsidR="00944D2E" w:rsidRPr="00944D2E" w:rsidRDefault="00944D2E" w:rsidP="00944D2E">
      <w:pPr>
        <w:shd w:val="clear" w:color="auto" w:fill="0088CC"/>
        <w:spacing w:before="225" w:after="315" w:line="240" w:lineRule="auto"/>
        <w:ind w:left="-1050"/>
        <w:outlineLvl w:val="1"/>
        <w:rPr>
          <w:rFonts w:ascii="Lato" w:eastAsia="Times New Roman" w:hAnsi="Lato" w:cs="Times New Roman"/>
          <w:b/>
          <w:bCs/>
          <w:color w:val="FFFFFF"/>
          <w:sz w:val="36"/>
          <w:szCs w:val="36"/>
          <w:lang w:eastAsia="de-AT"/>
        </w:rPr>
      </w:pPr>
      <w:r w:rsidRPr="00944D2E">
        <w:rPr>
          <w:rFonts w:ascii="Lato" w:eastAsia="Times New Roman" w:hAnsi="Lato" w:cs="Times New Roman"/>
          <w:b/>
          <w:bCs/>
          <w:color w:val="FFFFFF"/>
          <w:sz w:val="36"/>
          <w:szCs w:val="36"/>
          <w:lang w:eastAsia="de-AT"/>
        </w:rPr>
        <w:t>Merkmale</w:t>
      </w:r>
    </w:p>
    <w:p w14:paraId="27407A8C" w14:textId="4ECA1FF9" w:rsidR="00944D2E" w:rsidRPr="00944D2E" w:rsidRDefault="00944D2E" w:rsidP="00944D2E">
      <w:pPr>
        <w:numPr>
          <w:ilvl w:val="0"/>
          <w:numId w:val="1"/>
        </w:numPr>
        <w:shd w:val="clear" w:color="auto" w:fill="CEECF5"/>
        <w:spacing w:before="100" w:beforeAutospacing="1" w:after="60" w:line="240" w:lineRule="auto"/>
        <w:ind w:left="-180"/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</w:pP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Ein innerer Monolog bedient sich fast ausschließlich der 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indirekten Rede</w:t>
      </w:r>
      <w:r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.</w:t>
      </w:r>
    </w:p>
    <w:p w14:paraId="6FAA0D25" w14:textId="77777777" w:rsidR="00944D2E" w:rsidRPr="00944D2E" w:rsidRDefault="00944D2E" w:rsidP="00944D2E">
      <w:pPr>
        <w:numPr>
          <w:ilvl w:val="0"/>
          <w:numId w:val="1"/>
        </w:numPr>
        <w:shd w:val="clear" w:color="auto" w:fill="CEECF5"/>
        <w:spacing w:before="100" w:beforeAutospacing="1" w:after="60" w:line="240" w:lineRule="auto"/>
        <w:ind w:left="-180"/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</w:pP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In dieser Erzählform richtet sich der jeweilige Protagonist unmittelbar an sich selbst, 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wobei der Bewusstseinsstrom selbst zu Wort kommt</w:t>
      </w: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, aber nicht nur in einer losen Aufzählung von Empfindungen und Eindrücken vorhanden ist.</w:t>
      </w:r>
    </w:p>
    <w:p w14:paraId="69C73ECC" w14:textId="77777777" w:rsidR="00944D2E" w:rsidRPr="00944D2E" w:rsidRDefault="00944D2E" w:rsidP="00944D2E">
      <w:pPr>
        <w:numPr>
          <w:ilvl w:val="0"/>
          <w:numId w:val="1"/>
        </w:numPr>
        <w:shd w:val="clear" w:color="auto" w:fill="CEECF5"/>
        <w:spacing w:before="100" w:beforeAutospacing="1" w:after="60" w:line="240" w:lineRule="auto"/>
        <w:ind w:left="-180"/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</w:pP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Weiterhin erhalten wir Einblicke in die ausgesprochenen und vor allem unausgesprochenen 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Gedanken</w:t>
      </w: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 des jeweiligen Protagonisten</w:t>
      </w:r>
    </w:p>
    <w:p w14:paraId="1BC109C7" w14:textId="77777777" w:rsidR="00944D2E" w:rsidRPr="00944D2E" w:rsidRDefault="00944D2E" w:rsidP="00944D2E">
      <w:pPr>
        <w:numPr>
          <w:ilvl w:val="0"/>
          <w:numId w:val="1"/>
        </w:numPr>
        <w:shd w:val="clear" w:color="auto" w:fill="CEECF5"/>
        <w:spacing w:before="100" w:beforeAutospacing="1" w:after="60" w:line="240" w:lineRule="auto"/>
        <w:ind w:left="-180"/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</w:pP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Außerdem entsteht der Eindruck, dass die Gedanken einerseits 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ungefiltert</w:t>
      </w: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 und andererseits 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sehr direkt</w:t>
      </w: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 wiedergegeben werden. Wir sind folglich unmittelbare Zuhörer des Ganzen.</w:t>
      </w:r>
    </w:p>
    <w:p w14:paraId="57A0DFD3" w14:textId="77777777" w:rsidR="00944D2E" w:rsidRPr="00944D2E" w:rsidRDefault="00944D2E" w:rsidP="00944D2E">
      <w:pPr>
        <w:numPr>
          <w:ilvl w:val="0"/>
          <w:numId w:val="1"/>
        </w:numPr>
        <w:shd w:val="clear" w:color="auto" w:fill="CEECF5"/>
        <w:spacing w:before="100" w:beforeAutospacing="1" w:after="60" w:line="240" w:lineRule="auto"/>
        <w:ind w:left="-180"/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</w:pP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Keine Erzählinstanz vorhanden</w:t>
      </w: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, die sich in den unmittelbaren Prozess der Wiedergabe „einmischt“, wodurch der Erzähler im inneren Monolog nicht mehr präsent ist.</w:t>
      </w:r>
    </w:p>
    <w:p w14:paraId="2EB4E960" w14:textId="22D53948" w:rsidR="00944D2E" w:rsidRPr="00944D2E" w:rsidRDefault="00944D2E" w:rsidP="00944D2E">
      <w:pPr>
        <w:numPr>
          <w:ilvl w:val="0"/>
          <w:numId w:val="1"/>
        </w:numPr>
        <w:shd w:val="clear" w:color="auto" w:fill="CEECF5"/>
        <w:spacing w:before="100" w:beforeAutospacing="1" w:after="60" w:line="240" w:lineRule="auto"/>
        <w:ind w:left="-180"/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</w:pP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Die erzählerische Gedankenwiedergabe erfolgt in der </w:t>
      </w:r>
      <w:r w:rsidRPr="00944D2E"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  <w:t>1. und 2. Person Präsens Indikativ</w:t>
      </w:r>
      <w:r w:rsidRPr="00944D2E">
        <w:rPr>
          <w:rFonts w:ascii="Work Sans" w:eastAsia="Times New Roman" w:hAnsi="Work Sans" w:cs="Times New Roman"/>
          <w:color w:val="5E5E5E"/>
          <w:sz w:val="27"/>
          <w:szCs w:val="27"/>
          <w:lang w:eastAsia="de-AT"/>
        </w:rPr>
        <w:t>.</w:t>
      </w:r>
    </w:p>
    <w:p w14:paraId="690332DB" w14:textId="3AC2EDA3" w:rsidR="00944D2E" w:rsidRPr="00944D2E" w:rsidRDefault="00944D2E" w:rsidP="00944D2E">
      <w:pPr>
        <w:rPr>
          <w:rFonts w:ascii="Work Sans" w:eastAsia="Times New Roman" w:hAnsi="Work Sans" w:cs="Times New Roman"/>
          <w:sz w:val="27"/>
          <w:szCs w:val="27"/>
          <w:lang w:eastAsia="de-AT"/>
        </w:rPr>
      </w:pPr>
    </w:p>
    <w:p w14:paraId="632361ED" w14:textId="5F70A786" w:rsidR="00944D2E" w:rsidRDefault="00944D2E" w:rsidP="00944D2E">
      <w:pPr>
        <w:rPr>
          <w:rFonts w:ascii="Work Sans" w:eastAsia="Times New Roman" w:hAnsi="Work Sans" w:cs="Times New Roman"/>
          <w:b/>
          <w:bCs/>
          <w:color w:val="5E5E5E"/>
          <w:sz w:val="27"/>
          <w:szCs w:val="27"/>
          <w:lang w:eastAsia="de-AT"/>
        </w:rPr>
      </w:pPr>
    </w:p>
    <w:p w14:paraId="7FD7A521" w14:textId="4A50646D" w:rsidR="00944D2E" w:rsidRPr="00944D2E" w:rsidRDefault="00944D2E" w:rsidP="00944D2E">
      <w:pPr>
        <w:rPr>
          <w:rFonts w:ascii="Work Sans" w:eastAsia="Times New Roman" w:hAnsi="Work Sans" w:cs="Times New Roman"/>
          <w:sz w:val="16"/>
          <w:szCs w:val="16"/>
          <w:lang w:eastAsia="de-AT"/>
        </w:rPr>
      </w:pPr>
      <w:r w:rsidRPr="00944D2E">
        <w:rPr>
          <w:rFonts w:ascii="Work Sans" w:eastAsia="Times New Roman" w:hAnsi="Work Sans" w:cs="Times New Roman"/>
          <w:sz w:val="16"/>
          <w:szCs w:val="16"/>
          <w:lang w:eastAsia="de-AT"/>
        </w:rPr>
        <w:t>https://wortwuchs.net/innerer-monolog-beispiel/</w:t>
      </w:r>
    </w:p>
    <w:sectPr w:rsidR="00944D2E" w:rsidRPr="00944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612A8"/>
    <w:multiLevelType w:val="multilevel"/>
    <w:tmpl w:val="BD82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E"/>
    <w:rsid w:val="0094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5DE6"/>
  <w15:chartTrackingRefBased/>
  <w15:docId w15:val="{F06CF9F6-DAE8-4A2F-8126-B9206673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44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44D2E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94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944D2E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944D2E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44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223">
          <w:marLeft w:val="-900"/>
          <w:marRight w:val="-900"/>
          <w:marTop w:val="0"/>
          <w:marBottom w:val="0"/>
          <w:divBdr>
            <w:top w:val="single" w:sz="48" w:space="15" w:color="58D3F7"/>
            <w:left w:val="none" w:sz="0" w:space="0" w:color="auto"/>
            <w:bottom w:val="single" w:sz="48" w:space="15" w:color="58D3F7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twuchs.net/protagonist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ortwuchs.net/figurenrede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ad2038-e391-431e-a1b6-7ab6d02a20d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E818D1A-B4CF-4ED4-B2EA-3937E82788A6}"/>
</file>

<file path=customXml/itemProps2.xml><?xml version="1.0" encoding="utf-8"?>
<ds:datastoreItem xmlns:ds="http://schemas.openxmlformats.org/officeDocument/2006/customXml" ds:itemID="{885B6B46-86FA-42E8-86E3-453538284E83}"/>
</file>

<file path=customXml/itemProps3.xml><?xml version="1.0" encoding="utf-8"?>
<ds:datastoreItem xmlns:ds="http://schemas.openxmlformats.org/officeDocument/2006/customXml" ds:itemID="{104B2797-5B7D-471D-8FDB-654E27FFE7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Mag. Graf Lisa,</cp:lastModifiedBy>
  <cp:revision>1</cp:revision>
  <dcterms:created xsi:type="dcterms:W3CDTF">2021-10-16T11:42:00Z</dcterms:created>
  <dcterms:modified xsi:type="dcterms:W3CDTF">2021-10-16T11:44:00Z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  <property fmtid="{D5CDD505-2E9C-101B-9397-08002B2CF9AE}" pid="3" name="Order">
    <vt:r8>152400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