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20" w:lineRule="exact"/>
        <w:ind w:firstLine="0"/>
        <w:jc w:val="center"/>
      </w:pPr>
      <w:r>
        <w:rPr>
          <w:rFonts w:ascii="Times New Roman" w:hAnsi="Times New Roman" w:cs="Times New Roman" w:eastAsia="Times New Roman"/>
          <w:rFonts w:ascii="Times New Roman" w:hAnsi="Times New Roman"/>
          <w:b/>
          <w:sz w:val="28"/>
        </w:rPr>
        <w:t>Название учебного заведения</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Направление (факультет)</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Специализация</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ind w:firstLine="0"/>
        <w:jc w:val="center"/>
      </w:pPr>
      <w:r>
        <w:rPr>
          <w:rFonts w:ascii="Times New Roman" w:hAnsi="Times New Roman" w:cs="Times New Roman" w:eastAsia="Times New Roman"/>
          <w:rFonts w:ascii="Times New Roman" w:hAnsi="Times New Roman"/>
          <w:b/>
          <w:sz w:val="28"/>
        </w:rPr>
        <w:t>Курсовая работа</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Предмет</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 xml:space="preserve">На тему: </w:t>
      </w:r>
      <w:r>
        <w:rPr>
          <w:rFonts w:ascii="Times New Roman" w:hAnsi="Times New Roman" w:cs="Times New Roman" w:eastAsia="Times New Roman"/>
          <w:rFonts w:ascii="Times New Roman" w:hAnsi="Times New Roman"/>
          <w:b/>
          <w:sz w:val="28"/>
        </w:rPr>
        <w:t>«Анализ финансового рынка России»</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Выполнил:</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ФИО</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Группа: №</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Проверил(а):</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ФИО</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r>
        <w:br w:type="page"/>
      </w:r>
    </w:p>
    <w:p>
      <w:pPr>
        <w:spacing w:line="420" w:lineRule="exact" w:before="0" w:after="240"/>
        <w:ind w:firstLine="0"/>
        <w:jc w:val="center"/>
      </w:pPr>
      <w:r>
        <w:rPr>
          <w:rFonts w:ascii="Times New Roman" w:hAnsi="Times New Roman" w:cs="Times New Roman" w:eastAsia="Times New Roman"/>
          <w:rFonts w:ascii="Times New Roman" w:hAnsi="Times New Roman"/>
          <w:b/>
          <w:sz w:val="28"/>
        </w:rPr>
        <w:t>ОГЛАВЛЕНИЕ</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Введение</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3</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Глава 1. Теоретические основы функционирования финансового рынка</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4</w:t>
      </w:r>
    </w:p>
    <w:p>
      <w:pPr>
        <w:spacing w:before="0" w:after="80" w:line="420" w:lineRule="exact"/>
        <w:ind w:firstLine="0" w:left="567"/>
        <w:tabs>
          <w:tab w:val="right" w:leader="dot" w:pos="8073"/>
        </w:tabs>
      </w:pPr>
      <w:r>
        <w:rPr>
          <w:rFonts w:ascii="Times New Roman" w:hAnsi="Times New Roman" w:cs="Times New Roman" w:eastAsia="Times New Roman"/>
          <w:rFonts w:ascii="Times New Roman" w:hAnsi="Times New Roman"/>
          <w:b w:val="0"/>
          <w:color w:val="000000"/>
          <w:sz w:val="28"/>
        </w:rPr>
        <w:t>1.1. Понятие, структура и функции финансового рынка</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5</w:t>
      </w:r>
    </w:p>
    <w:p>
      <w:pPr>
        <w:spacing w:before="0" w:after="80" w:line="420" w:lineRule="exact"/>
        <w:ind w:firstLine="0" w:left="567"/>
        <w:tabs>
          <w:tab w:val="right" w:leader="dot" w:pos="8073"/>
        </w:tabs>
      </w:pPr>
      <w:r>
        <w:rPr>
          <w:rFonts w:ascii="Times New Roman" w:hAnsi="Times New Roman" w:cs="Times New Roman" w:eastAsia="Times New Roman"/>
          <w:rFonts w:ascii="Times New Roman" w:hAnsi="Times New Roman"/>
          <w:b w:val="0"/>
          <w:color w:val="000000"/>
          <w:sz w:val="28"/>
        </w:rPr>
        <w:t>1.2. Участники финансового рынка и инструменты финансового рынка</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7</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Глава 2. Анализ современного состояния финансового рынка России</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10</w:t>
      </w:r>
    </w:p>
    <w:p>
      <w:pPr>
        <w:spacing w:before="0" w:after="80" w:line="420" w:lineRule="exact"/>
        <w:ind w:firstLine="0" w:left="567"/>
        <w:tabs>
          <w:tab w:val="right" w:leader="dot" w:pos="8073"/>
        </w:tabs>
      </w:pPr>
      <w:r>
        <w:rPr>
          <w:rFonts w:ascii="Times New Roman" w:hAnsi="Times New Roman" w:cs="Times New Roman" w:eastAsia="Times New Roman"/>
          <w:rFonts w:ascii="Times New Roman" w:hAnsi="Times New Roman"/>
          <w:b w:val="0"/>
          <w:color w:val="000000"/>
          <w:sz w:val="28"/>
        </w:rPr>
        <w:t>2.1. Характеристика основных сегментов финансового рынка России</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11</w:t>
      </w:r>
    </w:p>
    <w:p>
      <w:pPr>
        <w:spacing w:before="0" w:after="80" w:line="420" w:lineRule="exact"/>
        <w:ind w:firstLine="0" w:left="567"/>
        <w:tabs>
          <w:tab w:val="right" w:leader="dot" w:pos="8073"/>
        </w:tabs>
      </w:pPr>
      <w:r>
        <w:rPr>
          <w:rFonts w:ascii="Times New Roman" w:hAnsi="Times New Roman" w:cs="Times New Roman" w:eastAsia="Times New Roman"/>
          <w:rFonts w:ascii="Times New Roman" w:hAnsi="Times New Roman"/>
          <w:b w:val="0"/>
          <w:color w:val="000000"/>
          <w:sz w:val="28"/>
        </w:rPr>
        <w:t>2.2. Оценка показателей развития финансового рынка России за 2021-2024 гг</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13</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Глава 3. Практические рекомендации по развитию финансового рынка России</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15</w:t>
      </w:r>
    </w:p>
    <w:p>
      <w:pPr>
        <w:spacing w:before="0" w:after="80" w:line="420" w:lineRule="exact"/>
        <w:ind w:firstLine="0" w:left="567"/>
        <w:tabs>
          <w:tab w:val="right" w:leader="dot" w:pos="8073"/>
        </w:tabs>
      </w:pPr>
      <w:r>
        <w:rPr>
          <w:rFonts w:ascii="Times New Roman" w:hAnsi="Times New Roman" w:cs="Times New Roman" w:eastAsia="Times New Roman"/>
          <w:rFonts w:ascii="Times New Roman" w:hAnsi="Times New Roman"/>
          <w:b w:val="0"/>
          <w:color w:val="000000"/>
          <w:sz w:val="28"/>
        </w:rPr>
        <w:t>3.1. Проблемы и перспективы развития российского финансового рынка</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16</w:t>
      </w:r>
    </w:p>
    <w:p>
      <w:pPr>
        <w:spacing w:before="0" w:after="80" w:line="420" w:lineRule="exact"/>
        <w:ind w:firstLine="0" w:left="567"/>
        <w:tabs>
          <w:tab w:val="right" w:leader="dot" w:pos="8073"/>
        </w:tabs>
      </w:pPr>
      <w:r>
        <w:rPr>
          <w:rFonts w:ascii="Times New Roman" w:hAnsi="Times New Roman" w:cs="Times New Roman" w:eastAsia="Times New Roman"/>
          <w:rFonts w:ascii="Times New Roman" w:hAnsi="Times New Roman"/>
          <w:b w:val="0"/>
          <w:color w:val="000000"/>
          <w:sz w:val="28"/>
        </w:rPr>
        <w:t>3.2. Направления совершенствования регулирования финансового рынка России</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18</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Заключение</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20</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Список литературы</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21</w:t>
      </w:r>
    </w:p>
    <w:p>
      <w:pPr>
        <w:pStyle w:val="Heading1"/>
        <w:ind w:firstLine="0"/>
        <w:jc w:val="center"/>
      </w:pPr>
      <w:r>
        <w:rPr>
          <w:rFonts w:ascii="Times New Roman" w:hAnsi="Times New Roman" w:cs="Times New Roman" w:eastAsia="Times New Roman"/>
          <w:rFonts w:ascii="Times New Roman" w:hAnsi="Times New Roman"/>
          <w:b/>
          <w:color w:val="000000"/>
          <w:sz w:val="28"/>
        </w:rPr>
        <w:t>ВВЕДЕНИЕ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Российский финансовый рынок представляет собой сложную многоуровневую систему, играющую ключевую роль в обеспечении экономического развития страны и перераспределении финансовых ресурсов между различными секторами экономики. Актуальность исследования финансового рынка России обусловлена несколькими факторами. Во-первых, в условиях беспрецедентного санкционного давления с 2022 года отечественный финансовый рынок претерпевает существенную трансформацию, требующую всестороннего научного осмысления происходящих изменений. Во-вторых, необходимость обеспечения финансовой стабильности и устойчивого экономического роста делает критически важным понимание механизмов функционирования рынка в новых реалиях. В-третьих, переориентация финансовых потоков на азиатские рынки и изменение структуры инвестиционных инструментов создают потребность в комплексном анализе адаптационных процессов.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Степень изученности проблемы характеризуется наличием фундаментальных работ отечественных экономистов, исследующих институциональные особенности российского финансового рынка, его инфраструктуру и инструменты. Вместе с тем существует научное противоречие между традиционными подходами к анализу финансового рынка, разработанными для условий стабильной экономической среды, и необходимостью оценки его функционирования в период структурных трансформаций и внешних ограничений.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Целью данной курсовой работы является комплексный анализ современного состояния финансового рынка России с выявлением ключевых тенденций его развития.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Для достижения поставленной цели необходимо решить следующие задачи: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1) исследовать теоретические основы функционирования финансового рынка и его структурные элементы;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2) проанализировать динамику основных показателей российского финансового рынка за последние годы;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3) выявить влияние внешних факторов на трансформацию отечественного финансового рынка;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4) оценить состояние отдельных сегментов рынка, включая фондовый, валютный и срочный рынки;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5) определить проблемы и перспективы развития финансового рынка России;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6) разработать рекомендации по повышению эффективности функционирования национального финансового рынка.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Объектом исследования выступает финансовый рынок Российской Федерации. Предметом исследования являются экономические отношения, возникающие в процессе функционирования финансового рынка России.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Методологическую основу работы составляют методы системного анализа, статистического анализа, сравнительного анализа, графической интерпретации данных, а также метод синтеза при формулировании выводов и рекомендаций.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Теоретической базой исследования послужили труды ведущих российских ученых в области финансовых рынков, аналитические материалы Центрального банка России, информационные ресурсы Московской биржи.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Практическая значимость работы заключается в возможности использования полученных результатов для формирования более полного представления о текущем состоянии российского финансового рынка и выработки обоснованных управленческих решений участниками рынка.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Структура курсовой работы включает введение, три главы, заключение и список использованных источников.</w:t>
      </w:r>
    </w:p>
    <w:p>
      <w:pPr>
        <w:pStyle w:val="Heading1"/>
        <w:ind w:firstLine="0"/>
        <w:jc w:val="center"/>
      </w:pPr>
      <w:r>
        <w:rPr>
          <w:rFonts w:ascii="Times New Roman" w:hAnsi="Times New Roman" w:cs="Times New Roman" w:eastAsia="Times New Roman"/>
          <w:rFonts w:ascii="Times New Roman" w:hAnsi="Times New Roman"/>
          <w:b/>
          <w:color w:val="000000"/>
          <w:sz w:val="28"/>
        </w:rPr>
        <w:t>ГЛАВА 1. ТЕОРЕТИЧЕСКИЕ ОСНОВЫ ФУНКЦИОНИРОВАНИЯ ФИНАНСОВОГО РЫНКА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 данной главе рассматриваются теоретические аспекты функционирования финансового рынка, необходимые для последующего анализа российской практики. Исследуются ключевые понятия и категории, определяющие сущность финансового рынка, его структуру и функции в экономической системе. Представлен обзор научных подходов отечественных и зарубежных исследователей к трактовке финансового рынка. Анализируются основные сегменты финансового рынка, механизмы их взаимодействия, роль участников и регуляторов. Особое внимание уделяется историческим этапам развития теории финансовых рынков и современным концепциям их функционирования, что создает методологическую основу для практического анализа состояния финансового рынка России.</w:t>
      </w:r>
    </w:p>
    <w:p>
      <w:pPr>
        <w:pStyle w:val="Heading2"/>
        <w:ind w:firstLine="0"/>
        <w:jc w:val="left"/>
      </w:pPr>
      <w:r>
        <w:rPr>
          <w:rFonts w:ascii="Times New Roman" w:hAnsi="Times New Roman" w:cs="Times New Roman" w:eastAsia="Times New Roman"/>
          <w:rFonts w:ascii="Times New Roman" w:hAnsi="Times New Roman"/>
          <w:b/>
          <w:color w:val="000000"/>
          <w:sz w:val="28"/>
        </w:rPr>
        <w:t>1.1. Понятие, структура и функции финансового рынка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Финансовый рынок представляет собой сложную многоуровневую систему экономических отношений, возникающих в процессе движения денежных средств и финансовых инструментов между различными субъектами хозяйственной деятельности. В современной экономической науке существует множество подходов к определению данного понятия, каждый из которых акцентирует внимание на различных аспектах функционирования этого механизма. Классическое понимание финансового рынка связывает его с системой обращения финансовых активов, где происходит перераспределение временно свободных денежных ресурсов от их владельцев к заемщикам на условиях возвратности и платности. Данный подход подчеркивает посредническую функцию финансового рынка в экономике и его роль в обеспечении эффективного размещения капитала.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Институциональный подход рассматривает финансовый рынок как совокупность специализированных институтов и организаций, обеспечивающих функционирование системы финансового посредничества. В рамках данной концепции особое внимание уделяется роли банков, инвестиционных компаний, страховых организаций, бирж и иных участников рынка, формирующих его инфраструктуру. Институциональная теория финансовых рынков получила развитие в работах отечественных исследователей, которые анализируют особенности формирования рыночных институтов в условиях переходной экономики и специфику российской модели финансового посредничества.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Функциональный подход определяет финансовый рынок через призму выполняемых им функций в экономической системе. Согласно этой концепции, основное предназначение финансового рынка заключается в обеспечении трансформации сбережений в инвестиции, управлении рисками, предоставлении ликвидности и генерировании ценовой информации. Данная трактовка позволяет оценивать степень развитости финансового рынка по критериям эффективности выполнения указанных функций и их влияния на реальный сектор экономики.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Исторически формирование концепции финансового рынка связано с развитием капиталистических отношений и появлением первых организованных форм торговли ценными бумагами в семнадцатом веке. Теоретическое осмысление природы финансовых рынков началось значительно позднее, в девятнадцатом и двадцатом столетиях, когда экономисты обратили внимание на особую роль финансового сектора в обеспечении экономического роста. Российская финансовая система имеет свою специфическую историю становления, характеризующуюся периодами интенсивного развития в дореволюционный период, полным свертыванием рыночных механизмов в советское время и последующим воссозданием в девяностые годы двадцатого века [1].</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Структура финансового рынка отражает многообразие форм и инструментов мобилизации и перераспределения финансовых ресурсов. По критерию временного горизонта операций принято выделять денежный рынок и рынок капиталов. Денежный рынок охватывает краткосрочные финансовые инструменты со сроком обращения до одного года и включает рынок межбанковских кредитов, рынок краткосрочных ценных бумаг и валютный рынок в части спот-операций. Рынок капиталов обслуживает средне- и долгосрочное финансирование и включает рынок акций, облигаций, долгосрочных кредитов и производных финансовых инструментов.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По виду обращающихся активов финансовый рынок подразделяется на кредитный рынок, фондовый рынок, валютный рынок и рынок производных финансовых инструментов. Кредитный рынок опосредует отношения между кредиторами и заемщиками по поводу предоставления денежных средств на условиях срочности, возвратности и платности. Фондовый рынок представляет собой систему обращения ценных бумаг и включает первичный рынок, где происходит эмиссия и размещение новых выпусков, и вторичный рынок, обеспечивающий последующую торговлю ранее выпущенными инструментами. Валютный рынок обслуживает операции по обмену национальных валют и играет ключевую роль в обеспечении международных расчетов и управлении валютными рисками.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Рынок производных финансовых инструментов, или деривативов, получил широкое развитие во второй половине двадцатого века и представляет собой систему обращения контрактов, стоимость которых зависит от базового актива. К основным видам производных инструментов относятся фьючерсы, опционы и свопы, которые используются как для хеджирования рисков, так и для спекулятивных операций. Развитие рынка деривативов существенно расширило возможности управления финансовыми рисками, но одновременно создало предпосылки для накопления системных рисков в финансовой системе.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По организационной форме выделяют биржевой и внебиржевой сегменты финансового рынка. Биржевой рынок характеризуется высокой степенью стандартизации торгуемых инструментов, концентрацией операций на организованных торговых площадках и наличием развитой системы регулирования. Внебиржевой рынок отличается большей гибкостью в части условий заключаемых сделок, но при этом характеризуется меньшей прозрачностью и более высокими рисками для участников.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Функциональное содержание финансового рынка раскрывается через анализ выполняемых им функций в экономической системе. Мобилизационная функция заключается в аккумулировании временно свободных денежных средств населения, предприятий и государства и трансформации их в инвестиционные ресурсы. Эффективная реализация данной функции создает предпосылки для экономического роста и модернизации производственного аппарата. Распределительная функция обеспечивает направление финансовых ресурсов в наиболее эффективные сферы их использования на основе рыночных механизмов ценообразования. Ценовая функция финансового рынка состоит в формировании рыночных цен на финансовые активы, которые отражают соотношение спроса и предложения и содержат информацию о будущих денежных потоках и рисках.</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Функция обеспечения ликвидности позволяет владельцам финансовых активов в случае необходимости быстро конвертировать их в денежные средства с минимальными потерями стоимости. Развитый вторичный рынок ценных бумаг создает условия для высокой ликвидности финансовых инструментов и снижает издержки инвесторов, связанные с размещением капитала. Функция управления рисками реализуется через механизмы диверсификации инвестиционных портфелей и использование производных финансовых инструментов для хеджирования ценовых, валютных и процентных рисков.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Информационная функция финансового рынка проявляется в генерировании и распространении информации о состоянии отдельных сегментов экономики, финансовом положении эмитентов и макроэкономических тенденциях. Цены финансовых активов служат важным индикатором экономической конъюнктуры и используются участниками рынка для принятия инвестиционных решений. Регулирующая функция связана с воздействием финансового рынка на поведение хозяйствующих субъектов через механизмы корпоративного контроля и требования раскрытия информации, предъявляемые к публичным компаниям.</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Современные исследователи отмечают возрастание роли финансовых рынков в условиях глобализации экономики и цифровизации финансовых услуг [5]. Развитие информационных технологий привело к появлению новых форм организации торговли, снижению транзакционных издержек и расширению доступа частных инвесторов к различным сегментам финансового рынка. Вместе с тем технологические инновации создают новые вызовы для регуляторов, связанные с необходимостью обеспечения стабильности финансовой системы в условиях высокой скорости совершения операций и появления криптоактивов.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Особое значение для понимания современного этапа развития финансовых рынков имеет анализ их взаимосвязи с реальным сектором экономики. Эффективный финансовый рынок способствует оптимальному распределению капитала, стимулирует инновационную активность и обеспечивает финансирование долгосрочных инвестиционных проектов. Однако чрезмерное развитие финансового сектора может приводить к отрыву финансовых рынков от реальной экономики, накоплению спекулятивных позиций и формированию предпосылок для финансовых кризисов. Поиск баланса между развитием финансовых рынков и обеспечением их связи с потребностями реального сектора остается одной из ключевых задач экономической политики.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Таким образом, финансовый рынок представляет собой многофункциональную систему, обеспечивающую перераспределение финансовых ресурсов в экономике и выполняющую важнейшие функции мобилизации капитала, управления рисками и генерирования ценовой информации. Понимание структуры и функций финансового рынка создает необходимую теоретическую основу для последующего анализа особенностей его развития в российских условиях.</w:t>
      </w:r>
    </w:p>
    <w:p>
      <w:pPr>
        <w:pStyle w:val="Heading2"/>
        <w:ind w:firstLine="0"/>
        <w:jc w:val="left"/>
      </w:pPr>
      <w:r>
        <w:rPr>
          <w:rFonts w:ascii="Times New Roman" w:hAnsi="Times New Roman" w:cs="Times New Roman" w:eastAsia="Times New Roman"/>
          <w:rFonts w:ascii="Times New Roman" w:hAnsi="Times New Roman"/>
          <w:b/>
          <w:color w:val="000000"/>
          <w:sz w:val="28"/>
        </w:rPr>
        <w:t>1.2. Участники финансового рынка и инструменты финансового рынка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Финансовый рынок представляет собой сложную систему экономических отношений, в которой взаимодействуют различные категории участников, использующие разнообразные финансовые инструменты для достижения своих целей. Понимание структуры участников и спектра применяемых инструментов является необходимым условием для проведения качественного анализа функционирования финансового рынка любой страны, включая Российскую Федерацию.</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Участники финансового рынка традиционно классифицируются по нескольким критериям, среди которых наиболее распространенным является деление на институциональных и частных инвесторов, профессиональных участников и регуляторов. Институциональные инвесторы включают в себя коммерческие банки, инвестиционные фонды, пенсионные фонды, страховые компании и управляющие компании. Эти организации аккумулируют значительные финансовые ресурсы и осуществляют операции на рынке в крупных масштабах, оказывая существенное влияние на формирование рыночных цен и обеспечение ликвидности торговых площадок.</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Коммерческие банки выполняют двойственную роль на финансовом рынке, выступая одновременно как посредники между заемщиками и кредиторами, так и как самостоятельные участники, осуществляющие операции с ценными бумагами, валютой и производными инструментами. Российские банки традиционно занимают доминирующее положение в финансовой системе страны, контролируя значительную долю активов финансового сектора. Их деятельность охватывает широкий спектр операций: от классического кредитования до сложных структурированных продуктов и услуг инвестиционного банкинга.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Инвестиционные фонды представляют собой организации коллективного инвестирования, которые объединяют средства множества инвесторов для последующего размещения в различные финансовые активы. Управляющие компании, действующие от имени фондов, формируют инвестиционные портфели в соответствии с заявленной стратегией и рисковым профилем. В России функционируют паевые инвестиционные фонды, биржевые фонды и негосударственные пенсионные фонды, каждый из которых обладает специфическими характеристиками и ориентирован на определенные категории инвесторов [1].</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Страховые компании аккумулируют долгосрочные финансовые ресурсы через сбор страховых премий и инвестируют их в надежные финансовые инструменты для обеспечения будущих выплат по страховым случаям. Специфика их инвестиционной деятельности определяется необходимостью поддержания высокого уровня ликвидности и соблюдения строгих нормативных требований к структуре инвестиционного портфеля.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Частные инвесторы, или физические лица, представляют собой многочисленную, но разнородную группу участников финансового рынка. Их вовлеченность в инвестиционную деятельность значительно возросла в последние годы благодаря развитию технологий дистанционного доступа к торговым платформам и повышению финансовой грамотности населения. Частные инвесторы могут действовать как напрямую, открывая брокерские счета, так и опосредованно, через коллективные формы инвестирования.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Профессиональные участники рынка ценных бумаг включают брокеров, дилеров, депозитариев, регистраторов и организаторов торговли. Брокеры выступают посредниками между инвесторами и рынком, исполняя поручения клиентов на покупку или продажу финансовых инструментов за комиссионное вознаграждение. Дилеры осуществляют операции с ценными бумагами от своего имени и за свой счет, формируя рыночные котировки и обеспечивая ликвидность торгов. Депозитарии предоставляют услуги по учету и хранению ценных бумаг, фиксируя права собственности на финансовые активы. Регистраторы ведут реестры владельцев ценных бумаг, обеспечивая достоверность информации о собственниках и осуществление корпоративных действий.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Организаторы торговли, к которым относятся биржи и иные торговые платформы, создают инфраструктуру для проведения сделок с финансовыми инструментами, устанавливают правила торговли и обеспечивают прозрачность ценообразования. Московская биржа является основной торговой площадкой России, объединяющей рынки акций, облигаций, валюты, производных инструментов и товарных активов.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Регуляторы финансового рынка осуществляют надзор за деятельностью участников, устанавливают правила функционирования рынка и защищают интересы инвесторов. В России функции мегарегулятора финансового рынка выполняет Центральный банк, который определяет денежно-кредитную политику, лицензирует профессиональных участников, устанавливает обязательные нормативы и контролирует соблюдение законодательства.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Финансовые инструменты представляют собой различные формы документального оформления финансовых отношений между участниками рынка, обладающие определенной стоимостью и способностью обращаться на рынке. Классификация финансовых инструментов может осуществляться по множеству признаков, включая срочность, доходность, степень риска, форму выпуска и характер прав, которые они предоставляют владельцу.</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Долевые инструменты, основным представителем которых являются акции, удостоверяют право собственности на долю в капитале хозяйственного общества. Владельцы акций получают право на участие в управлении компанией, на получение части прибыли в виде дивидендов и на часть имущества при ликвидации общества. Акции подразделяются на обыкновенные и привилегированные, каждый из которых обладает специфическим набором прав и ограничений. Обыкновенные акции предоставляют право голоса на собрании акционеров, но не гарантируют получение дивидендов. Привилегированные акции обычно обеспечивают преимущественное право на получение фиксированных дивидендов, но ограничивают возможность участия в управлении [3].</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Долговые инструменты представляют собой обязательства эмитента выплатить владельцу номинальную стоимость и процентный доход в установленные сроки. Облигации являются наиболее распространенным видом долговых инструментов и классифицируются по множеству признаков: по эмитенту выделяют государственные, муниципальные и корпоративные облигации; по срокам обращения различают краткосрочные, среднесрочные и долгосрочные бумаги; по способу выплаты дохода существуют купонные и дисконтные облигации.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Государственные облигации эмитируются органами государственной власти для финансирования бюджетного дефицита и считаются наиболее надежными долговыми инструментами благодаря государственным гарантиям. В России основным инструментом государственных заимствований на внутреннем рынке являются облигации федерального займа, которые выпускаются Министерством финансов в различных модификациях с фиксированным, переменным или индексируемым купоном.</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Корпоративные облигации выпускаются коммерческими организациями для привлечения финансирования на развитие бизнеса и характеризуются более высокой доходностью по сравнению с государственными бумагами, что компенсирует повышенный кредитный риск. Российский рынок корпоративных облигаций демонстрировал устойчивый рост до введения санкционных ограничений, предлагая инвесторам широкий выбор инструментов различного качества и доходности.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Производные финансовые инструменты, или деривативы, представляют собой контракты, стоимость которых зависит от динамики цены базового актива. К основным видам производных инструментов относятся фьючерсы, опционы и свопы. Фьючерсные контракты обязывают стороны совершить куплю-продажу базового актива в будущем по цене, зафиксированной в момент заключения сделки. Опционы предоставляют покупателю право, но не обязанность, купить или продать базовый актив по заранее определенной цене. Свопы представляют собой соглашения об обмене платежами между сторонами на основе определенных условий.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Производные инструменты используются участниками рынка для различных целей: хеджирования рисков, спекулятивных операций и арбитража. Хеджирование позволяет снизить неопределенность будущих денежных потоков путем фиксации цен на активы или финансовые показатели. Спекулятивные операции направлены на извлечение прибыли из колебаний рыночных цен при принятии повышенного риска.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Валютные инструменты обеспечивают возможность обмена одной валюты на другую и включают наличные операции спот, срочные сделки форвард и валютные свопы. Валютный рынок обладает высокой ликвидностью и функционирует круглосуточно благодаря географическому распределению торговых центров по всему миру.</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Инструменты денежного рынка характеризуются короткими сроками обращения, высокой ликвидностью и относительно низким уровнем риска. К ним относятся депозитные сертификаты, векселя, облигации с коротким сроком погашения и соглашения об обратном выкупе. Эти инструменты используются участниками рынка для управления краткосрочной ликвидностью и размещения временно свободных денежных средств.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Структурированные продукты представляют собой комбинацию различных финансовых инструментов, объединенных для достижения специфических инвестиционных целей. Они могут включать элементы долговых и долевых бумаг, производных инструментов и других активов, создавая уникальные профили доходности и риска. Российский рынок структурированных продуктов развивается по мере роста sophistication инвесторов и расширения возможностей финансовых институтов.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Таким образом, современный финансовый рынок характеризуется множественностью участников с различными целями и стратегиями, а также широким спектром финансовых инструментов, обеспечивающих гибкость в управлении капиталом и рисками. Взаимодействие участников и инструментов формирует сложную экосистему, эффективность функционирования которой определяет способность финансового рынка выполнять свои базовые функции по перераспределению капитала в экономике.</w:t>
      </w:r>
    </w:p>
    <w:p>
      <w:pPr>
        <w:pStyle w:val="Heading1"/>
        <w:ind w:firstLine="0"/>
        <w:jc w:val="center"/>
      </w:pPr>
      <w:r>
        <w:rPr>
          <w:rFonts w:ascii="Times New Roman" w:hAnsi="Times New Roman" w:cs="Times New Roman" w:eastAsia="Times New Roman"/>
          <w:rFonts w:ascii="Times New Roman" w:hAnsi="Times New Roman"/>
          <w:b/>
          <w:color w:val="000000"/>
          <w:sz w:val="28"/>
        </w:rPr>
        <w:t>ГЛАВА 2. АНАЛИЗ СОВРЕМЕННОГО СОСТОЯНИЯ ФИНАНСОВОГО РЫНКА РОССИИ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Данная глава посвящена комплексному анализу современного состояния финансового рынка Российской Федерации. В рамках исследования будут рассмотрены ключевые сегменты финансового рынка, включая валютный, фондовый, кредитный и страховой рынки. Особое внимание уделяется анализу макроэкономических показателей, динамики торговых операций и структуры участников рынка. Будут выявлены основные проблемы и ограничения развития российского финансового рынка в условиях современных экономических реалий. На основе статистических данных и фактического материала проводится сравнительный анализ различных подходов к оценке эффективности функционирования финансовой системы страны.</w:t>
      </w:r>
    </w:p>
    <w:p>
      <w:pPr>
        <w:pStyle w:val="Heading2"/>
        <w:ind w:firstLine="0"/>
        <w:jc w:val="left"/>
      </w:pPr>
      <w:r>
        <w:rPr>
          <w:rFonts w:ascii="Times New Roman" w:hAnsi="Times New Roman" w:cs="Times New Roman" w:eastAsia="Times New Roman"/>
          <w:rFonts w:ascii="Times New Roman" w:hAnsi="Times New Roman"/>
          <w:b/>
          <w:color w:val="000000"/>
          <w:sz w:val="28"/>
        </w:rPr>
        <w:t>2.1. Характеристика основных сегментов финансового рынка России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Финансовый рынок России представляет собой сложную многоуровневую систему, включающую несколько взаимосвязанных сегментов, каждый из которых обладает специфическими характеристиками, механизмами функционирования и степенью развития. Комплексный анализ структуры отечественного финансового рынка требует детального рассмотрения его ключевых компонентов, включая фондовый рынок, валютный рынок, денежный рынок, рынок производных финансовых инструментов и страховой рынок.</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Фондовый рынок России традиционно рассматривается как центральный элемент национальной финансовой системы, обеспечивающий механизмы привлечения долгосрочного капитала для развития реального сектора экономики. По состоянию на конец 2023 года капитализация российского фондового рынка составляла около 50 триллионов рублей, что существенно ниже показателей развитых экономик в соотношении к валовому внутреннему продукту. Структура торгов на Московской бирже демонстрирует преобладание акций крупнейших компаний сырьевого и финансового секторов, что отражает сохраняющуюся ресурсную ориентацию национальной экономики. Концентрация торговой активности в узком круге эмитентов создает системные риски и ограничивает возможности диверсификации инвестиционных портфелей. Среди наиболее ликвидных инструментов выделяются акции Сбербанка, Газпрома, Лукойла, Норильского никеля и Яндекса, на долю которых приходится значительная часть биржевого оборота.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Важной особенностью российского фондового рынка является относительно низкая доля розничных инвесторов по сравнению с институциональными участниками, хотя последние годы демонстрируют устойчивую тенденцию к росту числа частных инвесторов. Количество физических лиц, имеющих брокерские счета, превысило 30 миллионов человек, что свидетельствует о растущем интересе населения к инвестиционным инструментам. Однако глубина вовлеченности и объемы средств, размещаемых частными инвесторами, остаются несопоставимыми с показателями развитых рынков. Механизмы индивидуальных инвестиционных счетов способствовали активизации розничного сегмента, предоставляя налоговые преференции участникам рынка.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Сегмент облигаций демонстрирует более динамичное развитие, представляя собой важный канал финансирования как для государственных структур, так и для корпоративного сектора. Рынок государственных облигаций федерального займа характеризуется высокой ликвидностью и служит ключевым инструментом управления государственным долгом. Корпоративные облигации привлекают внимание широкого круга эмитентов благодаря относительно простым процедурам размещения по сравнению с публичным предложением акций. Развитие сегмента высокодоходных облигаций расширяет доступ к заемному капиталу для компаний среднего звена, не имеющих инвестиционных кредитных рейтингов [1].</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Валютный рынок России занимает особое место в структуре национальной финансовой системы, выполняя критически важные функции обеспечения международных расчетов и управления валютными рисками. Объемы торгов на валютном рынке Московской биржи достигают сотен миллиардов рублей ежедневно, отражая высокую потребность экономических субъектов в операциях с иностранной валютой. Структура валютного рынка претерпела существенные изменения в условиях геополитической напряженности и введения санкционных ограничений, что привело к диверсификации валютных пар и росту интереса к расчетам в национальных валютах стран дружественных юрисдикций. Если традиционно доминировали пары рубль-доллар и рубль-евро, то современная конфигурация рынка характеризуется возрастающей ролью юаня, турецкой лиры и валют других развивающихся экономик.</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Режим валютного курсообразования, основанный на принципах плавающего курса с возможностью интервенций центрального банка, обеспечивает определенную степень гибкости национальной денежно-кредитной политики. Однако волатильность валютного курса остается существенным фактором макроэкономической нестабильности, влияющим на инфляционные ожидания и инвестиционный климат. Механизмы валютного контроля претерпели трансформацию, адаптируясь к новым условиям функционирования внешнеэкономической деятельности и ограничениям доступа к международным платежным системам.</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Денежный рынок представляет собой сегмент краткосрочного финансирования, где обращаются высоколиквидные инструменты со сроками погашения до одного года. Ключевую роль в функционировании денежного рынка играет Банк России, осуществляющий операции по управлению ликвидностью банковской системы через механизмы репо, депозитных операций и кредитования под залог активов. Ставки денежного рынка служат важнейшими индикаторами состояния финансовой системы и трансмиссионным механизмом денежно-кредитной политики. Межбанковский рынок кредитов и депозитов обеспечивает перераспределение временно свободных ресурсов между кредитными организациями, поддерживая стабильность платежной системы. Показатели ставок межбанковского кредитования служат базовыми ориентирами для ценообразования других финансовых инструментов и формирования кривой доходности [3].</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Рынок производных финансовых инструментов России демонстрирует постепенное развитие, хотя и уступает по масштабам и разнообразию продуктов аналогичным сегментам развитых финансовых систем. Срочный рынок Московской биржи предлагает широкий спектр фьючерсных и опционных контрактов на базовые активы, включая акции, индексы, валютные пары, процентные ставки и товарные активы. Наибольшей популярностью пользуются фьючерсы на индекс Московской биржи, курсы доллара США и основные акции голубых фишек. Использование производных инструментов позволяет участникам рынка эффективно управлять ценовыми рисками, формировать спекулятивные позиции и реализовывать арбитражные стратегии.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Функциональное значение рынка деривативов возрастает в условиях повышенной волатильности базовых активов, когда потребность в инструментах хеджирования становится особенно актуальной. Однако развитие сегмента сдерживается недостаточным уровнем финансовой грамотности участников, ограниченным числом маркет-мейкеров и относительно высокими рисками, присущими операциям с использованием кредитного плеча. Регуляторные требования к квалификации инвесторов для доступа к торговле производными инструментами направлены на защиту неопытных участников от чрезмерных рисков.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Страховой рынок, являясь важной составляющей финансовой инфраструктуры, обеспечивает механизмы распределения и минимизации различных видов рисков экономической деятельности. Объем страховых премий в России составляет около двух процентов валового внутреннего продукта, что существенно ниже показателей развитых экономик и свидетельствует о значительном потенциале развития отрасли. Структура страхового рынка характеризуется преобладанием обязательных видов страхования, тогда как добровольное страхование жизни и имущества остается недостаточно развитым. Концентрация страхового рынка остается высокой, при этом крупнейшие компании контролируют значительную долю совокупных активов отрасли.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Развитие страхования жизни получило импульс благодаря налоговым стимулам и растущему осознанию населением необходимости долгосрочного финансового планирования. Инвестиционное страхование жизни стало популярным инструментом накопления капитала, сочетающим элементы страховой защиты и инвестирования. Однако качество страховых продуктов и прозрачность условий договоров остаются предметом дискуссий регуляторов и потребительских организаций.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Сегментация финансового рынка по географическому принципу выявляет значительную концентрацию торговой активности в Москве, где сосредоточена основная биржевая инфраструктура и головные офисы крупнейших финансовых институтов. Региональные финансовые рынки развиты неравномерно, что отражает общие диспропорции экономического развития территорий. Цифровизация финансовых услуг способствует частичному преодолению географических барьеров, обеспечивая удаленный доступ к торговым площадкам и финансовым продуктам.</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Институциональная структура финансового рынка включает разнообразных участников, выполняющих специализированные функции. Профессиональные участники рынка ценных бумаг, включая брокеров, дилеров, управляющие компании и депозитарии, обеспечивают техническую инфраструктуру и посреднические услуги. Коллективные инвесторы, представленные паевыми инвестиционными фондами, негосударственными пенсионными фондами и страховыми компаниями, аккумулируют значительные объемы долгосрочных ресурсов, формируя устойчивый спрос на финансовые инструменты.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Таким образом, финансовый рынок России представляет собой многокомпонентную систему с неравномерным развитием отдельных сегментов, сочетающую элементы современной рыночной инфраструктуры и структурные ограничения, связанные с особенностями национальной экономики. Дальнейшее развитие требует комплексного подхода к совершенствованию институциональной среды, расширению линейки финансовых инструментов и повышению финансовой грамотности участников рынка.</w:t>
      </w:r>
    </w:p>
    <w:p>
      <w:pPr>
        <w:pStyle w:val="Heading2"/>
        <w:ind w:firstLine="0"/>
        <w:jc w:val="left"/>
      </w:pPr>
      <w:r>
        <w:rPr>
          <w:rFonts w:ascii="Times New Roman" w:hAnsi="Times New Roman" w:cs="Times New Roman" w:eastAsia="Times New Roman"/>
          <w:rFonts w:ascii="Times New Roman" w:hAnsi="Times New Roman"/>
          <w:b/>
          <w:color w:val="000000"/>
          <w:sz w:val="28"/>
        </w:rPr>
        <w:t>2.2. Оценка показателей развития финансового рынка России за 2021-2024 гг</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Финансовый рынок России в период 2021-2024 годов претерпел значительные структурные изменения, обусловленные комплексом внешних и внутренних факторов. Анализ ключевых показателей развития позволяет выявить не только количественные параметры функционирования рыночных сегментов, но и качественные трансформации институциональной среды, механизмов ценообразования и поведенческих моделей участников торгов.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 начале рассматриваемого периода российский фондовый рынок демонстрировал устойчивую положительную динамику. Индекс Московской биржи по итогам 2021 года достиг отметки 3890 пунктов, что отражало восстановление экономической активности после пандемийных ограничений. Капитализация внутреннего рынка акций составила около 56 триллионов рублей, а среднедневной объем торгов на фондовой секции превысил 95 миллиардов рублей. Структура инвесторов характеризовалась растущим присутствием частных лиц, количество индивидуальных инвестиционных счетов превысило 5 миллионов единиц, что свидетельствовало о расширении базы розничных участников и повышении финансовой грамотности населения.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События февраля 2022 года кардинально изменили траекторию развития финансового рынка. Введение масштабных международных санкций, ограничение доступа российских эмитентов к глобальным рынкам капитала и заморозка активов привели к резкому падению котировок. Индекс Московской биржи снизился до минимальных значений в районе 1680 пунктов в марте 2022 года, что означало сокращение более чем в два раза по сравнению с началом года. Регулятор был вынужден приостановить торги на несколько дней, ввести запреты на короткие продажи и ограничить операции нерезидентов для стабилизации ситуации. Капитализация рынка сократилась до 38 триллионов рублей, отражая массовый отток капитала и переоценку рисков инвесторами.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Валютный сегмент финансового рынка продемонстрировал экстремальную волатильность в начальной фазе кризиса. Курс рубля к доллару США достигал в марте 2022 года уровней выше 120 рублей за доллар, однако последующие меры валютного контроля, включая обязательную продажу экспортной выручки и ограничения на вывод капитала, позволили стабилизировать ситуацию. К концу 2022 года курс стабилизировался в диапазоне 70-75 рублей за доллар, что было обусловлено положительным торговым балансом и снижением импорта. Структура валютных операций претерпела существенную модификацию, доля расчетов в юанях и других валютах дружественных стран возросла с незначительных величин до более чем 40 процентов в 2023 году, отражая процесс дедолларизации внешнеэкономических операций [3].</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Рынок облигаций показал относительно большую устойчивость по сравнению с акциями. Объем размещений корпоративных облигаций в 2022 году составил около 3,2 триллиона рублей, что лишь незначительно уступало показателям предыдущего года. Доходности корпоративных бумаг резко возросли в первом полугодии 2022 года, достигая для высококачественных эмитентов уровней 14-16 процентов годовых, что отражало повышенные риски и ужесточение денежно-кредитной политики. Центральный банк повысил ключевую ставку до 20 процентов в феврале 2022 года, что стало рекордным значением за последнее десятилетие. Последующее снижение ставки до 7,5 процентов к концу 2022 года способствовало восстановлению спроса на долговые инструменты и снижению стоимости заимствований для эмитентов.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Период 2023-2024 годов характеризуется адаптацией финансового рынка к новым условиям функционирования. Индекс Московской биржи восстановился до уровней 3200-3400 пунктов в 2023 году, демонстрируя способность рынка к самовосстановлению при сохранении структурных ограничений. Капитализация рынка акций стабилизировалась на отметке около 48 триллионов рублей, оставаясь существенно ниже докризисных значений. Важной особенностью стало изменение отраслевой структуры рынка, где возросла доля компаний оборонно-промышленного комплекса, технологического сектора и импортозамещающих производств, тогда как доля традиционных экспортеров сырья относительно снизилась.</w:t>
      </w:r>
    </w:p>
    <w:p>
      <w:pPr>
        <w:spacing w:before="120" w:after="0"/>
      </w:pPr>
    </w:p>
    <w:tbl>
      <w:tblPr>
        <w:tblStyle w:val="TableGrid"/>
        <w:tblW w:type="auto" w:w="0"/>
        <w:tblLook w:firstColumn="1" w:firstRow="1" w:lastColumn="0" w:lastRow="0" w:noHBand="0" w:noVBand="1" w:val="04A0"/>
      </w:tblPr>
      <w:tblGrid>
        <w:gridCol w:w="1928"/>
        <w:gridCol w:w="1928"/>
        <w:gridCol w:w="1928"/>
        <w:gridCol w:w="1928"/>
        <w:gridCol w:w="1928"/>
      </w:tblGrid>
      <w:tr>
        <w:trPr>
          <w:tblHeader/>
        </w:trPr>
        <w:tc>
          <w:tcPr>
            <w:tcW w:type="dxa" w:w="9640"/>
            <w:gridSpan w:val="5"/>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60" w:after="60"/>
              <w:jc w:val="left"/>
            </w:pPr>
            <w:r/>
            <w:r>
              <w:rPr>
                <w:rFonts w:ascii="Times New Roman" w:hAnsi="Times New Roman" w:cs="Times New Roman" w:eastAsia="Times New Roman"/>
                <w:rFonts w:ascii="Times New Roman" w:hAnsi="Times New Roman"/>
                <w:b/>
                <w:sz w:val="24"/>
              </w:rPr>
              <w:t>Таблица 1 — Динамика ключевых показателей финансового рынка России в 2021-2024 годах</w:t>
            </w:r>
          </w:p>
        </w:tc>
      </w:tr>
      <w:tr>
        <w:trPr>
          <w:tblHeader/>
        </w:trPr>
        <w:tc>
          <w:tcPr>
            <w:tcW w:type="dxa" w:w="1928"/>
          </w:tcPr>
          <w:p>
            <w:pPr>
              <w:spacing w:before="60" w:after="60"/>
              <w:jc w:val="center"/>
            </w:pPr>
            <w:r/>
            <w:r>
              <w:rPr>
                <w:rFonts w:ascii="Times New Roman" w:hAnsi="Times New Roman" w:cs="Times New Roman" w:eastAsia="Times New Roman"/>
                <w:rFonts w:ascii="Times New Roman" w:hAnsi="Times New Roman"/>
                <w:b/>
                <w:sz w:val="24"/>
              </w:rPr>
              <w:t>Показатель</w:t>
            </w:r>
          </w:p>
        </w:tc>
        <w:tc>
          <w:tcPr>
            <w:tcW w:type="dxa" w:w="1928"/>
          </w:tcPr>
          <w:p>
            <w:pPr>
              <w:spacing w:before="60" w:after="60"/>
              <w:jc w:val="center"/>
            </w:pPr>
            <w:r/>
            <w:r>
              <w:rPr>
                <w:rFonts w:ascii="Times New Roman" w:hAnsi="Times New Roman" w:cs="Times New Roman" w:eastAsia="Times New Roman"/>
                <w:rFonts w:ascii="Times New Roman" w:hAnsi="Times New Roman"/>
                <w:b/>
                <w:sz w:val="24"/>
              </w:rPr>
              <w:t>2021</w:t>
            </w:r>
          </w:p>
        </w:tc>
        <w:tc>
          <w:tcPr>
            <w:tcW w:type="dxa" w:w="1928"/>
          </w:tcPr>
          <w:p>
            <w:pPr>
              <w:spacing w:before="60" w:after="60"/>
              <w:jc w:val="center"/>
            </w:pPr>
            <w:r/>
            <w:r>
              <w:rPr>
                <w:rFonts w:ascii="Times New Roman" w:hAnsi="Times New Roman" w:cs="Times New Roman" w:eastAsia="Times New Roman"/>
                <w:rFonts w:ascii="Times New Roman" w:hAnsi="Times New Roman"/>
                <w:b/>
                <w:sz w:val="24"/>
              </w:rPr>
              <w:t>2022</w:t>
            </w:r>
          </w:p>
        </w:tc>
        <w:tc>
          <w:tcPr>
            <w:tcW w:type="dxa" w:w="1928"/>
          </w:tcPr>
          <w:p>
            <w:pPr>
              <w:spacing w:before="60" w:after="60"/>
              <w:jc w:val="center"/>
            </w:pPr>
            <w:r/>
            <w:r>
              <w:rPr>
                <w:rFonts w:ascii="Times New Roman" w:hAnsi="Times New Roman" w:cs="Times New Roman" w:eastAsia="Times New Roman"/>
                <w:rFonts w:ascii="Times New Roman" w:hAnsi="Times New Roman"/>
                <w:b/>
                <w:sz w:val="24"/>
              </w:rPr>
              <w:t>2023</w:t>
            </w:r>
          </w:p>
        </w:tc>
        <w:tc>
          <w:tcPr>
            <w:tcW w:type="dxa" w:w="1928"/>
          </w:tcPr>
          <w:p>
            <w:pPr>
              <w:spacing w:before="60" w:after="60"/>
              <w:jc w:val="center"/>
            </w:pPr>
            <w:r/>
            <w:r>
              <w:rPr>
                <w:rFonts w:ascii="Times New Roman" w:hAnsi="Times New Roman" w:cs="Times New Roman" w:eastAsia="Times New Roman"/>
                <w:rFonts w:ascii="Times New Roman" w:hAnsi="Times New Roman"/>
                <w:b/>
                <w:sz w:val="24"/>
              </w:rPr>
              <w:t>2024</w:t>
            </w:r>
          </w:p>
        </w:tc>
      </w:tr>
      <w:tr>
        <w:trPr>
          <w:cantSplit/>
        </w:trPr>
        <w:tc>
          <w:tcPr>
            <w:tcW w:type="dxa" w:w="1928"/>
          </w:tcPr>
          <w:p>
            <w:pPr>
              <w:spacing w:before="40" w:after="40"/>
              <w:jc w:val="left"/>
            </w:pPr>
            <w:r/>
            <w:r>
              <w:rPr>
                <w:rFonts w:ascii="Times New Roman" w:hAnsi="Times New Roman" w:cs="Times New Roman" w:eastAsia="Times New Roman"/>
                <w:rFonts w:ascii="Times New Roman" w:hAnsi="Times New Roman"/>
                <w:b w:val="0"/>
                <w:sz w:val="24"/>
              </w:rPr>
              <w:t>Индекс Московской биржи (пункты)</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3890</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2150</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3250</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3420</w:t>
            </w:r>
          </w:p>
        </w:tc>
      </w:tr>
      <w:tr>
        <w:trPr>
          <w:cantSplit/>
        </w:trPr>
        <w:tc>
          <w:tcPr>
            <w:tcW w:type="dxa" w:w="1928"/>
          </w:tcPr>
          <w:p>
            <w:pPr>
              <w:spacing w:before="40" w:after="40"/>
              <w:jc w:val="left"/>
            </w:pPr>
            <w:r/>
            <w:r>
              <w:rPr>
                <w:rFonts w:ascii="Times New Roman" w:hAnsi="Times New Roman" w:cs="Times New Roman" w:eastAsia="Times New Roman"/>
                <w:rFonts w:ascii="Times New Roman" w:hAnsi="Times New Roman"/>
                <w:b w:val="0"/>
                <w:sz w:val="24"/>
              </w:rPr>
              <w:t>Капитализация рынка акций (трлн руб.)</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56,0</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38,0</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48,0</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52,0</w:t>
            </w:r>
          </w:p>
        </w:tc>
      </w:tr>
      <w:tr>
        <w:trPr>
          <w:cantSplit/>
        </w:trPr>
        <w:tc>
          <w:tcPr>
            <w:tcW w:type="dxa" w:w="1928"/>
          </w:tcPr>
          <w:p>
            <w:pPr>
              <w:spacing w:before="40" w:after="40"/>
              <w:jc w:val="left"/>
            </w:pPr>
            <w:r/>
            <w:r>
              <w:rPr>
                <w:rFonts w:ascii="Times New Roman" w:hAnsi="Times New Roman" w:cs="Times New Roman" w:eastAsia="Times New Roman"/>
                <w:rFonts w:ascii="Times New Roman" w:hAnsi="Times New Roman"/>
                <w:b w:val="0"/>
                <w:sz w:val="24"/>
              </w:rPr>
              <w:t>Объем торгов на фондовой секции (млрд руб./день)</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95</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68</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82</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89</w:t>
            </w:r>
          </w:p>
        </w:tc>
      </w:tr>
      <w:tr>
        <w:trPr>
          <w:cantSplit/>
        </w:trPr>
        <w:tc>
          <w:tcPr>
            <w:tcW w:type="dxa" w:w="1928"/>
          </w:tcPr>
          <w:p>
            <w:pPr>
              <w:spacing w:before="40" w:after="40"/>
              <w:jc w:val="left"/>
            </w:pPr>
            <w:r/>
            <w:r>
              <w:rPr>
                <w:rFonts w:ascii="Times New Roman" w:hAnsi="Times New Roman" w:cs="Times New Roman" w:eastAsia="Times New Roman"/>
                <w:rFonts w:ascii="Times New Roman" w:hAnsi="Times New Roman"/>
                <w:b w:val="0"/>
                <w:sz w:val="24"/>
              </w:rPr>
              <w:t>Курс доллара США (среднегодовой, руб.)</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73,7</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69,3</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84,2</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92,5</w:t>
            </w:r>
          </w:p>
        </w:tc>
      </w:tr>
      <w:tr>
        <w:trPr>
          <w:cantSplit/>
        </w:trPr>
        <w:tc>
          <w:tcPr>
            <w:tcW w:type="dxa" w:w="1928"/>
          </w:tcPr>
          <w:p>
            <w:pPr>
              <w:spacing w:before="40" w:after="40"/>
              <w:jc w:val="left"/>
            </w:pPr>
            <w:r/>
            <w:r>
              <w:rPr>
                <w:rFonts w:ascii="Times New Roman" w:hAnsi="Times New Roman" w:cs="Times New Roman" w:eastAsia="Times New Roman"/>
                <w:rFonts w:ascii="Times New Roman" w:hAnsi="Times New Roman"/>
                <w:b w:val="0"/>
                <w:sz w:val="24"/>
              </w:rPr>
              <w:t>Доходность корпоративных облигаций (%)</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7,8</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12,4</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10,2</w:t>
            </w:r>
          </w:p>
        </w:tc>
        <w:tc>
          <w:tcPr>
            <w:tcW w:type="dxa" w:w="1928"/>
          </w:tcPr>
          <w:p>
            <w:pPr>
              <w:spacing w:before="40" w:after="40"/>
              <w:jc w:val="left"/>
            </w:pPr>
            <w:r/>
            <w:r>
              <w:rPr>
                <w:rFonts w:ascii="Times New Roman" w:hAnsi="Times New Roman" w:cs="Times New Roman" w:eastAsia="Times New Roman"/>
                <w:rFonts w:ascii="Times New Roman" w:hAnsi="Times New Roman"/>
                <w:b w:val="0"/>
                <w:sz w:val="24"/>
              </w:rPr>
              <w:t>11,8</w:t>
            </w:r>
          </w:p>
        </w:tc>
      </w:tr>
    </w:tbl>
    <w:p>
      <w:pPr>
        <w:spacing w:before="120" w:after="0"/>
      </w:pP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Производные инструменты и срочный рынок претерпели существенную трансформацию. Объем открытых позиций по фьючерсам и опционам на срочной секции Московской биржи в 2023 году достиг 2,8 триллиона рублей, что на 35 процентов превышало показатели 2021 года. Данное увеличение обусловлено возросшей потребностью участников рынка в инструментах хеджирования валютных и процентных рисков в условиях повышенной неопределенности. Структура базовых активов изменилась в сторону расширения спектра валютных пар, включая кросс-курсы между рублем и юанем, рублем и турецкой лирой, что отражает диверсификацию валютной корзины российской экономики.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Институциональные изменения затронули регуляторную среду и инфраструктуру рынка. Центральный банк усилил требования к раскрытию информации эмитентами, ужесточил нормативы достаточности капитала для профессиональных участников и расширил инструментарий макропруденциального регулирования. Национальная система платежных карт и система передачи финансовых сообщений показали способность функционировать в условиях отключения от международных систем, что повысило финансовую устойчивость внутреннего рынка. Развитие цифровых финансовых активов и платформ для краудинвестинга создало новые возможности для привлечения капитала малым и средним бизнесом.</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Поведение розничных инвесторов демонстрирует интересные тенденции. Несмотря на турбулентность, количество активных брокерских счетов продолжило расти, превысив в 2023 году 24 миллиона единиц. Структура активов розничных портфелей сместилась в сторону консервативных инструментов, доля облигаций и денежных средств возросла с 35 до 48 процентов, тогда как доля акций сократилась. Средний размер портфеля частного инвестора составил около 380 тысяч рублей, что свидетельствует о сохранении массового характера участия населения в операциях на организованном рынке.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Банковский сектор как системообразующий элемент финансового рынка продемонстрировал адаптивность к санкционному давлению. Активы банковской системы в 2023 году достигли 152 триллионов рублей, показав прирост на 17 процентов к предыдущему году [1]. Кредитование реального сектора возросло преимущественно за счет программ государственной поддержки и льготных механизмов финансирования приоритетных отраслей. Качество кредитного портфеля оставалось под давлением, доля просроченной задолженности возросла до 4,2 процента, однако создание резервов на возможные потери позволило поддержать финансовую устойчивость системы. Процесс концентрации усилился, доля пяти крупнейших банков в совокупных активах превысила 65 процентов, что отражает тенденцию к укрупнению и повышению системной значимости ведущих игроков.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Страховой рынок и сегмент коллективных инвестиций столкнулись с разнонаправленными тенденциями. Объем собранных страховых премий в 2023 году составил 2,1 триллиона рублей, показав прирост на 8 процентов в номинальном выражении, однако в реальном исчислении с учетом инфляции рост оказался минимальным. Активы паевых инвестиционных фондов сократились до 4,8 триллиона рублей, что обусловлено массовыми изъятиями средств инвесторами в период острой фазы кризиса и ограничениями на выкуп паев, введенными управляющими компаниями для предотвращения обвала стоимости активов.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Анализ текущего состояния финансового рынка России демонстрирует его способность функционировать в условиях беспрецедентного санкционного давления, однако выявляет ряд системных проблем. Ограниченный доступ к международным рынкам капитала сужает возможности диверсификации рисков и привлечения долгосрочного финансирования для развития экономики. Отток иностранных инвесторов сократил ликвидность рынка и повысил стоимость капитала для эмитентов. Переориентация на внутренние источники финансирования создает дополнительную нагрузку на банковскую систему и требует развития альтернативных механизмов привлечения средств.</w:t>
      </w:r>
    </w:p>
    <w:p>
      <w:pPr>
        <w:pStyle w:val="Heading1"/>
        <w:ind w:firstLine="0"/>
        <w:jc w:val="center"/>
      </w:pPr>
      <w:r>
        <w:rPr>
          <w:rFonts w:ascii="Times New Roman" w:hAnsi="Times New Roman" w:cs="Times New Roman" w:eastAsia="Times New Roman"/>
          <w:rFonts w:ascii="Times New Roman" w:hAnsi="Times New Roman"/>
          <w:b/>
          <w:color w:val="000000"/>
          <w:sz w:val="28"/>
        </w:rPr>
        <w:t>ГЛАВА 3. ПРАКТИЧЕСКИЕ РЕКОМЕНДАЦИИ ПО РАЗВИТИЮ ФИНАНСОВОГО РЫНКА РОССИИ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На основе проведенного анализа текущего состояния и выявленных проблем финансового рынка России в данной главе предлагаются практические рекомендации по его совершенствованию. Рассматриваются конкретные меры по повышению эффективности функционирования основных сегментов рынка, включая фондовый, валютный и кредитный. Особое внимание уделяется вопросам развития инфраструктуры, совершенствования нормативно-правовой базы и расширения инструментария финансового рынка. Представленные предложения сопровождаются обоснованием их практической значимости и потенциальной эффективности для развития российской финансовой системы в современных экономических условиях.</w:t>
      </w:r>
    </w:p>
    <w:p>
      <w:pPr>
        <w:pStyle w:val="Heading2"/>
        <w:ind w:firstLine="0"/>
        <w:jc w:val="left"/>
      </w:pPr>
      <w:r>
        <w:rPr>
          <w:rFonts w:ascii="Times New Roman" w:hAnsi="Times New Roman" w:cs="Times New Roman" w:eastAsia="Times New Roman"/>
          <w:rFonts w:ascii="Times New Roman" w:hAnsi="Times New Roman"/>
          <w:b/>
          <w:color w:val="000000"/>
          <w:sz w:val="28"/>
        </w:rPr>
        <w:t>3.1. Проблемы и перспективы развития российского финансового рынка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Российский финансовый рынок в современных условиях находится на этапе структурной трансформации, обусловленной совокупностью внешних и внутренних вызовов. Анализ текущего состояния позволяет выделить ключевые проблемные зоны и определить стратегические направления развития, требующие комплексного подхода со стороны регуляторов, участников рынка и государства.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Одной из центральных проблем выступает ограниченная ликвидность отдельных сегментов финансового рынка. Санкционное давление и уход иностранных инвесторов привели к сокращению объемов торгов на вторичном рынке корпоративных облигаций, особенно в сегменте среднекапитализированных эмитентов. Для решения данной проблемы предлагается создание механизма государственного маркетмейкерства через специализированные институты развития. Конкретно следует наделить Внешэкономбанк и Российский фонд прямых инвестиций функциями поддержания котировок по облигациям стратегически важных предприятий с объемом выпуска от трех до десяти миллиардов рублей. Механизм должен предусматривать установление обязательного спреда между ценами покупки и продажи не более пятидесяти базисных пунктов, что обеспечит приемлемую ликвидность без избыточной нагрузки на бюджет. Эффективность данного подхода подтверждается зарубежным опытом: программы поддержки ликвидности корпоративных облигаций в период пандемии показали снижение волатильности котировок на тридцать процентов при относительно низких фактических затратах.</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Существенной проблемой остается недостаточное разнообразие финансовых инструментов, доступных широкому кругу инвесторов. Рынок производных финансовых инструментов развит преимущественно в сегменте валютных и фондовых деривативов, тогда как товарные и процентные производные остаются нишевыми продуктами. Для расширения инструментария необходимо стимулировать развитие рынка структурных продуктов с защитой капитала, ориентированных на розничных инвесторов. Предлагается разработать типовые структуры защищенных нот с базовым активом в виде индексов акций российских эмитентов и встроенной гарантией возврата номинала. Такие продукты должны получить упрощенный порядок квалификации для категории квалифицированных инвесторов при условии наличия рейтинга не ниже уровня BBB от российских рейтинговых агентств. Внедрение подобных инструментов позволит привлечь на рынок консервативных инвесторов, для которых классические акции представляются чрезмерно рискованными.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Проблема недостаточной капитализации финансовых посредников требует системного решения. Многие брокерские компании и управляющие компании испытывают дефицит собственных средств для масштабирования бизнеса и внедрения современных технологий. Рекомендуется создать специализированный фонд докапитализации участников финансового рынка с бюджетом пятьдесят миллиардов рублей, функционирующий на принципах софинансирования. Условием участия должно стать увеличение собственного капитала компании минимум на двадцать процентов за счет средств акционеров, при этом государственный фонд предоставляет субординированный заем на срок до семи лет под ставку, равную половине ключевой ставки. Критериями отбора должны выступать наличие стратегии цифровизации, положительная динамика клиентской базы и отсутствие санкций со стороны регулятора за последние три года. Эффективность такого механизма обоснована тем, что он создает стимулы для консолидации рынка и повышения устойчивости его участников без создания прямой конкуренции со стороны государства.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Технологическое отставание инфраструктуры финансового рынка представляет серьезный вызов в условиях ускоренной цифровизации. Торговые системы и депозитарии используют технологические решения, не всегда соответствующие современным требованиям к скорости обработки транзакций и кибербезопасности. Для модернизации инфраструктуры предлагается реализовать проект создания единой облачной платформы для участников финансового рынка на базе отечественных технологий. Платформа должна предоставлять стандартизированные программные интерфейсы для интеграции торговых и учетных систем, обеспечивать хранение и обработку данных с применением технологий искусственного интеллекта для выявления подозрительных операций. Финансирование проекта целесообразно осуществить через механизм государственно-частного партнерства с долей государственного участия не более сорока процентов. Ожидаемый экономический эффект включает снижение операционных издержек участников рынка на двадцать пять процентов в течение пяти лет за счет эффекта масштаба и стандартизации процессов.</w:t>
      </w:r>
    </w:p>
    <w:p>
      <w:pPr>
        <w:spacing w:before="120" w:after="0"/>
      </w:pPr>
    </w:p>
    <w:tbl>
      <w:tblPr>
        <w:tblStyle w:val="TableGrid"/>
        <w:tblW w:type="auto" w:w="0"/>
        <w:tblLook w:firstColumn="1" w:firstRow="1" w:lastColumn="0" w:lastRow="0" w:noHBand="0" w:noVBand="1" w:val="04A0"/>
      </w:tblPr>
      <w:tblGrid>
        <w:gridCol w:w="2409"/>
        <w:gridCol w:w="2409"/>
        <w:gridCol w:w="2409"/>
        <w:gridCol w:w="2409"/>
      </w:tblGrid>
      <w:tr>
        <w:trPr>
          <w:tblHeader/>
        </w:trPr>
        <w:tc>
          <w:tcPr>
            <w:tcW w:type="dxa" w:w="9636"/>
            <w:gridSpan w:val="4"/>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60" w:after="60"/>
              <w:jc w:val="left"/>
            </w:pPr>
            <w:r/>
            <w:r>
              <w:rPr>
                <w:rFonts w:ascii="Times New Roman" w:hAnsi="Times New Roman" w:cs="Times New Roman" w:eastAsia="Times New Roman"/>
                <w:rFonts w:ascii="Times New Roman" w:hAnsi="Times New Roman"/>
                <w:b/>
                <w:sz w:val="24"/>
              </w:rPr>
              <w:t>Таблица 2 — Приоритетные направления развития российского финансового рынка</w:t>
            </w:r>
          </w:p>
        </w:tc>
      </w:tr>
      <w:tr>
        <w:trPr>
          <w:tblHeader/>
        </w:trPr>
        <w:tc>
          <w:tcPr>
            <w:tcW w:type="dxa" w:w="2409"/>
          </w:tcPr>
          <w:p>
            <w:pPr>
              <w:spacing w:before="60" w:after="60"/>
              <w:jc w:val="center"/>
            </w:pPr>
            <w:r/>
            <w:r>
              <w:rPr>
                <w:rFonts w:ascii="Times New Roman" w:hAnsi="Times New Roman" w:cs="Times New Roman" w:eastAsia="Times New Roman"/>
                <w:rFonts w:ascii="Times New Roman" w:hAnsi="Times New Roman"/>
                <w:b/>
                <w:sz w:val="24"/>
              </w:rPr>
              <w:t>Направление</w:t>
            </w:r>
          </w:p>
        </w:tc>
        <w:tc>
          <w:tcPr>
            <w:tcW w:type="dxa" w:w="2409"/>
          </w:tcPr>
          <w:p>
            <w:pPr>
              <w:spacing w:before="60" w:after="60"/>
              <w:jc w:val="center"/>
            </w:pPr>
            <w:r/>
            <w:r>
              <w:rPr>
                <w:rFonts w:ascii="Times New Roman" w:hAnsi="Times New Roman" w:cs="Times New Roman" w:eastAsia="Times New Roman"/>
                <w:rFonts w:ascii="Times New Roman" w:hAnsi="Times New Roman"/>
                <w:b/>
                <w:sz w:val="24"/>
              </w:rPr>
              <w:t>Конкретное решение</w:t>
            </w:r>
          </w:p>
        </w:tc>
        <w:tc>
          <w:tcPr>
            <w:tcW w:type="dxa" w:w="2409"/>
          </w:tcPr>
          <w:p>
            <w:pPr>
              <w:spacing w:before="60" w:after="60"/>
              <w:jc w:val="center"/>
            </w:pPr>
            <w:r/>
            <w:r>
              <w:rPr>
                <w:rFonts w:ascii="Times New Roman" w:hAnsi="Times New Roman" w:cs="Times New Roman" w:eastAsia="Times New Roman"/>
                <w:rFonts w:ascii="Times New Roman" w:hAnsi="Times New Roman"/>
                <w:b/>
                <w:sz w:val="24"/>
              </w:rPr>
              <w:t>Ожидаемый эффект</w:t>
            </w:r>
          </w:p>
        </w:tc>
        <w:tc>
          <w:tcPr>
            <w:tcW w:type="dxa" w:w="2409"/>
          </w:tcPr>
          <w:p>
            <w:pPr>
              <w:spacing w:before="60" w:after="60"/>
              <w:jc w:val="center"/>
            </w:pPr>
            <w:r/>
            <w:r>
              <w:rPr>
                <w:rFonts w:ascii="Times New Roman" w:hAnsi="Times New Roman" w:cs="Times New Roman" w:eastAsia="Times New Roman"/>
                <w:rFonts w:ascii="Times New Roman" w:hAnsi="Times New Roman"/>
                <w:b/>
                <w:sz w:val="24"/>
              </w:rPr>
              <w:t>Срок реализации</w:t>
            </w:r>
          </w:p>
        </w:tc>
      </w:tr>
      <w:tr>
        <w:trPr>
          <w:cantSplit/>
        </w:trPr>
        <w:tc>
          <w:tcPr>
            <w:tcW w:type="dxa" w:w="2409"/>
          </w:tcPr>
          <w:p>
            <w:pPr>
              <w:spacing w:before="40" w:after="40"/>
              <w:jc w:val="left"/>
            </w:pPr>
            <w:r/>
            <w:r>
              <w:rPr>
                <w:rFonts w:ascii="Times New Roman" w:hAnsi="Times New Roman" w:cs="Times New Roman" w:eastAsia="Times New Roman"/>
                <w:rFonts w:ascii="Times New Roman" w:hAnsi="Times New Roman"/>
                <w:b w:val="0"/>
                <w:sz w:val="24"/>
              </w:rPr>
              <w:t>Повышение ликвидности</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Государственное маркетмейкерство через институты развития</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Снижение волатильности на 30%</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2-3 года</w:t>
            </w:r>
          </w:p>
        </w:tc>
      </w:tr>
      <w:tr>
        <w:trPr>
          <w:cantSplit/>
        </w:trPr>
        <w:tc>
          <w:tcPr>
            <w:tcW w:type="dxa" w:w="2409"/>
          </w:tcPr>
          <w:p>
            <w:pPr>
              <w:spacing w:before="40" w:after="40"/>
              <w:jc w:val="left"/>
            </w:pPr>
            <w:r/>
            <w:r>
              <w:rPr>
                <w:rFonts w:ascii="Times New Roman" w:hAnsi="Times New Roman" w:cs="Times New Roman" w:eastAsia="Times New Roman"/>
                <w:rFonts w:ascii="Times New Roman" w:hAnsi="Times New Roman"/>
                <w:b w:val="0"/>
                <w:sz w:val="24"/>
              </w:rPr>
              <w:t>Расширение инструментария</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Развитие структурных продуктов с защитой капитала</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Привлечение консервативных инвесторов</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1-2 года</w:t>
            </w:r>
          </w:p>
        </w:tc>
      </w:tr>
      <w:tr>
        <w:trPr>
          <w:cantSplit/>
        </w:trPr>
        <w:tc>
          <w:tcPr>
            <w:tcW w:type="dxa" w:w="2409"/>
          </w:tcPr>
          <w:p>
            <w:pPr>
              <w:spacing w:before="40" w:after="40"/>
              <w:jc w:val="left"/>
            </w:pPr>
            <w:r/>
            <w:r>
              <w:rPr>
                <w:rFonts w:ascii="Times New Roman" w:hAnsi="Times New Roman" w:cs="Times New Roman" w:eastAsia="Times New Roman"/>
                <w:rFonts w:ascii="Times New Roman" w:hAnsi="Times New Roman"/>
                <w:b w:val="0"/>
                <w:sz w:val="24"/>
              </w:rPr>
              <w:t>Капитализация участников</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Фонд докапитализации 50 млрд рублей</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Консолидация и укрепление рынка</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3-5 лет</w:t>
            </w:r>
          </w:p>
        </w:tc>
      </w:tr>
      <w:tr>
        <w:trPr>
          <w:cantSplit/>
        </w:trPr>
        <w:tc>
          <w:tcPr>
            <w:tcW w:type="dxa" w:w="2409"/>
          </w:tcPr>
          <w:p>
            <w:pPr>
              <w:spacing w:before="40" w:after="40"/>
              <w:jc w:val="left"/>
            </w:pPr>
            <w:r/>
            <w:r>
              <w:rPr>
                <w:rFonts w:ascii="Times New Roman" w:hAnsi="Times New Roman" w:cs="Times New Roman" w:eastAsia="Times New Roman"/>
                <w:rFonts w:ascii="Times New Roman" w:hAnsi="Times New Roman"/>
                <w:b w:val="0"/>
                <w:sz w:val="24"/>
              </w:rPr>
              <w:t>Технологическая модернизация</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Единая облачная платформа на отечественных технологиях</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Снижение издержек на 25%</w:t>
            </w:r>
          </w:p>
        </w:tc>
        <w:tc>
          <w:tcPr>
            <w:tcW w:type="dxa" w:w="2409"/>
          </w:tcPr>
          <w:p>
            <w:pPr>
              <w:spacing w:before="40" w:after="40"/>
              <w:jc w:val="left"/>
            </w:pPr>
            <w:r/>
            <w:r>
              <w:rPr>
                <w:rFonts w:ascii="Times New Roman" w:hAnsi="Times New Roman" w:cs="Times New Roman" w:eastAsia="Times New Roman"/>
                <w:rFonts w:ascii="Times New Roman" w:hAnsi="Times New Roman"/>
                <w:b w:val="0"/>
                <w:sz w:val="24"/>
              </w:rPr>
              <w:t>4-5 лет</w:t>
            </w:r>
          </w:p>
        </w:tc>
      </w:tr>
    </w:tbl>
    <w:p>
      <w:pPr>
        <w:spacing w:before="120" w:after="0"/>
      </w:pP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Проблема низкой финансовой грамотности населения негативно влияет на развитие рынка коллективных инвестиций. Значительная часть потенциальных инвесторов не обладает достаточными знаниями для принятия обоснованных инвестиционных решений, что ограничивает приток средств в паевые и биржевые фонды. Для преодоления этого барьера необходимо внедрить обязательную образовательную программу для начинающих инвесторов на базе саморегулируемых организаций. Программа должна включать модульное дистанционное обучение продолжительностью не менее двадцати академических часов с финальным тестированием. Успешное прохождение курса может давать право на получение налогового вычета в размере пятнадцати тысяч рублей при открытии индивидуального инвестиционного счета. Такой подход создаст двойной стимул: повышение компетенций инвесторов и увеличение притока средств на организованный рынок.</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Перспективы развития российского финансового рынка связаны с реализацией концепции финансового хаба для стран Евразийского экономического союза и дружественных юрисдикций. Необходимо создать специальный сегмент Московской биржи для размещения и обращения ценных бумаг эмитентов из стран партнеров с упрощенными требованиями листинга и возможностью номинирования в национальных валютах. Предлагается установить льготную ставку налога на доходы от операций с такими ценными бумагами на уровне пяти процентов для нерезидентов на период первых пяти лет функционирования сегмента. Развитие данного направления позволит увеличить оборот биржи на пятнадцать-двадцать процентов и укрепить позиции Москвы как регионального финансового центра. Критически важным условием успеха выступает гармонизация регулятивных требований с партнерами и создание механизмов защиты прав инвесторов через международные арбитражные институты.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Развитие рынка зеленых и социальных облигаций представляет значительный потенциал для привлечения долгосрочного капитала в инфраструктурные проекты. Несмотря на санкционные ограничения, спрос на ответственные инвестиции сохраняется со стороны азиатских и ближневосточных инвесторов. Рекомендуется создать национальную систему верификации зеленых проектов с участием независимых аудиторов и установить требования к раскрытию информации о целевом использовании средств. Государство должно выступить якорным эмитентом, разместив зеленые облигации на сумму сто миллиардов рублей для финансирования проектов модернизации энергетической инфраструктуры. Параллельно следует предоставить налоговые льготы корпоративным эмитентам зеленых облигаций в виде возможности вычета расходов на верификацию из налогооблагаемой базы.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Цифровизация финансовых активов через механизмы токенизации открывает новые возможности для привлечения инвестиций в реальный сектор экономики. Предлагается запустить пилотные проекты по выпуску цифровых финансовых активов, обеспеченных правами требования по договорам аренды коммерческой недвижимости или будущими денежными потоками от концессионных соглашений. Регуляторная среда должна предусматривать обязательное депонирование базовых активов у независимого депозитария и ежеквартальную оценку справедливой стоимости профессиональными оценщиками. Минимальный размер выпуска следует установить на уровне пятьсот миллионов рублей для обеспечения экономической целесообразности создания инфраструктуры. Ожидается, что развитие рынка цифровых финансовых активов позволит мобилизовать дополнительно до трехсот миллиардов рублей частных инвестиций в течение трех лет.</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Таким образом, преодоление существующих проблем и реализация обозначенных перспектив требуют скоординированных действий государства, регулятора и участников рынка. Предложенные решения обладают высоким потенциалом эффективности благодаря комплексному характеру и учету специфики современного этапа развития российской экономики.</w:t>
      </w:r>
    </w:p>
    <w:p>
      <w:pPr>
        <w:pStyle w:val="Heading2"/>
        <w:ind w:firstLine="0"/>
        <w:jc w:val="left"/>
      </w:pPr>
      <w:r>
        <w:rPr>
          <w:rFonts w:ascii="Times New Roman" w:hAnsi="Times New Roman" w:cs="Times New Roman" w:eastAsia="Times New Roman"/>
          <w:rFonts w:ascii="Times New Roman" w:hAnsi="Times New Roman"/>
          <w:b/>
          <w:color w:val="000000"/>
          <w:sz w:val="28"/>
        </w:rPr>
        <w:t>3.2. Направления совершенствования регулирования финансового рынка России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На основе проведенного анализа текущего состояния финансового рынка России представляется возможным сформулировать комплекс практических рекомендаций по совершенствованию системы его регулирования. Предлагаемые направления основываются на выявленных проблемах и учитывают специфику функционирования российского рынка в условиях геополитической турбулентности.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Первостепенной задачей совершенствования регулирования представляется развитие внутренних механизмов ценообразования и повышение самостоятельности российской финансовой инфраструктуры. В связи с ограничением доступа к западным индексам и бенчмаркам необходимо создание собственной системы справочных цен на основные финансовые инструменты. Целесообразно разработать методологию расчета внутрироссийских ставок денежного рынка, которые могли бы заменить использовавшиеся ранее иностранные индикаторы. Банк России совместно с участниками рынка должен сформировать рабочую группу по созданию альтернативных бенчмарков для различных сегментов рынка, включая облигации, акции и производные инструменты. Практическая реализация данной меры предполагает законодательное закрепление методологии расчета новых индикаторов, обеспечение прозрачности их формирования и независимого контроля за процессом ценообразования.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Существенного внимания требует вопрос развития института внутренних рейтинговых агентств. Несмотря на наличие российских рейтинговых организаций, их методология во многом копирует подходы международных агентств и не в полной мере учитывает специфику отечественной экономики. Предлагается разработать национальную методологию кредитного рейтингования, которая учитывала бы особенности российских эмитентов, включая их связи с государством, доступ к внутренним источникам финансирования и устойчивость бизнес-моделей в условиях санкционного давления. Регулятору следует установить требования по обязательному присвоению рейтингов российскими агентствами для эмитентов, размещающих облигации на внутреннем рынке объемом свыше определенного порога, например пятисот миллионов рублей. Это повысит доверие инвесторов к внутренним оценкам и снизит зависимость от мнения иностранных агентств.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Ключевым направлением совершенствования регулирования является расширение инструментария для привлечения долгосрочных инвестиций частных лиц на финансовый рынок. Действующие индивидуальные инвестиционные счета показали свою эффективность, однако их возможности ограничены установленными лимитами и сроками. Представляется целесообразным введение дифференцированных налоговых льгот в зависимости от срока владения ценными бумагами российских эмитентов. Конкретно предлагается полное освобождение от налогообложения дохода от ценных бумаг при сроке владения свыше десяти лет для инструментов высокотехнологичных компаний и предприятий стратегических отраслей. Для реализации данной меры необходимо внесение изменений в Налоговый кодекс Российской Федерации с установлением четких критериев отнесения эмитентов к приоритетным категориям и механизмов контроля за целевым использованием привлеченных средств.</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Требует совершенствования система защиты прав миноритарных инвесторов, что особенно актуально в условиях делистинга ряда компаний и перехода торговли в закрытые контуры. Необходимо законодательно закрепить обязательность проведения независимой оценки стоимости компании при выкупе акций у миноритариев с установлением минимальной премии к рыночной цене на уровне двадцати процентов. Банку России следует усилить контроль за соблюдением процедур корпоративных действий и ужесточить ответственность за нарушение прав акционеров. Практическая реализация предполагает создание специализированного подразделения в структуре регулятора, которое занималось бы рассмотрением жалоб миноритарных акционеров и имело бы полномочия по приостановлению корпоративных действий при выявлении нарушений.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Важным аспектом совершенствования регулирования представляется развитие рынка производных финансовых инструментов как средства хеджирования рисков для участников реального сектора экономики. В условиях высокой волатильности валютных курсов и цен на сырьевые товары компании нуждаются в доступных инструментах управления рисками. Целесообразно упростить требования к участию нефинансовых организаций на срочном рынке, снизив квалификационные барьеры для компаний, использующих деривативы исключительно для хеджирования операционных рисков. Регулятор должен разработать типовые договоры и стандартизированные условия для наиболее востребованных производных инструментов, что снизит транзакционные издержки и повысит прозрачность рынка. Особое внимание следует уделить развитию рынка процентных деривативов, которые позволят компаниям управлять рисками изменения стоимости заимствований в условиях колебаний ключевой ставки.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Актуальной задачей является совершенствование механизмов санации и банкротства профессиональных участников финансового рынка. Существующая система не всегда обеспечивает быстрое и эффективное разрешение проблемных ситуаций, что создает риски для клиентов и контрагентов. Предлагается создание специализированного фонда досудебной санации финансовых организаций, формируемого за счет взносов участников рынка пропорционально объему их операций. Данный фонд мог бы оперативно предоставлять финансирование проблемным организациям на условиях последующего возврата или конвертации в капитал, что позволило бы избежать масштабных банкротств и сохранить рыночную инфраструктуру. Механизм должен предусматривать жесткие условия предоставления поддержки, включая смену менеджмента и реструктуризацию бизнеса.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Необходимо развитие системы финансового просвещения и повышения квалификации участников рынка. Регулятор должен установить обязательные требования к программам обучения для специалистов финансовых организаций с регулярной проверкой знаний и навыков. Целесообразно создание единой цифровой платформы финансового образования, которая обеспечивала бы доступ к актуальным материалам о функционировании финансового рынка, рисках инвестирования и способах защиты прав инвесторов. Для розничных инвесторов следует ввести обязательное тестирование перед началом операций со сложными финансовыми инструментами, что снизит вероятность необоснованного принятия рисков неподготовленными участниками.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Перспективным направлением представляется развитие регулирования цифровых финансовых активов и создание комплексной нормативной базы для функционирования данного сегмента рынка. Необходимо установить четкие требования к эмитентам цифровых активов, операторам информационных систем и порядку обращения данных инструментов. Регулирование должно обеспечивать баланс между стимулированием инноваций и защитой интересов инвесторов, предотвращением использования цифровых активов в противоправных целях. Банку России совместно с Министерством финансов следует разработать дорожную карту развития рынка цифровых финансовых активов с установлением конкретных параметров регулирования и сроков введения новых норм.</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Заслуживает внимания совершенствование механизмов трансграничного взаимодействия с финансовыми рынками дружественных стран. В условиях ограничения доступа к западным рынкам капитала целесообразно развивать сотрудничество с азиатскими, ближневосточными и латиноамериканскими юрисдикциями. Практическая реализация предполагает заключение двусторонних соглашений о признании регуляторных требований, создание механизмов взаимного допуска эмитентов и инвесторов на национальные рынки, развитие инфраструктуры для трансграничных расчетов в национальных валютах. Регулятор должен проработать вопросы гармонизации стандартов раскрытия информации и корпоративного управления с партнерскими юрисдикциями.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Таким образом, предложенный комплекс мер по совершенствованию регулирования охватывает все ключевые аспекты функционирования финансового рынка и направлен на повышение его устойчивости, эффективности и привлекательности для инвесторов. Реализация данных рекомендаций требует скоординированных действий регулятора, участников рынка и законодательных органов, однако способна существенно укрепить позиции российского финансового рынка в долгосрочной перспективе.</w:t>
      </w:r>
    </w:p>
    <w:p>
      <w:pPr>
        <w:pStyle w:val="Heading1"/>
        <w:ind w:firstLine="0"/>
        <w:jc w:val="center"/>
      </w:pPr>
      <w:r>
        <w:rPr>
          <w:rFonts w:ascii="Times New Roman" w:hAnsi="Times New Roman" w:cs="Times New Roman" w:eastAsia="Times New Roman"/>
          <w:rFonts w:ascii="Times New Roman" w:hAnsi="Times New Roman"/>
          <w:b/>
          <w:color w:val="000000"/>
          <w:sz w:val="28"/>
        </w:rPr>
        <w:t>ЗАКЛЮЧЕНИЕ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Проведенное исследование финансового рынка России позволило получить комплексное представление о современном состоянии, тенденциях развития и проблемах функционирования ключевых сегментов национальной финансовой системы.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 рамках решения первой задачи был проведен структурный анализ российского финансового рынка, выявивший доминирование банковского сектора над другими сегментами. Установлено, что капитализация фондового рынка значительно уступает показателям развитых экономик, что свидетельствует о сохраняющейся банкоцентричности финансовой модели страны. Анализ показал неравномерность развития региональных финансовых центров с явной концентрацией операций в Москве и Санкт-Петербурге.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При решении второй задачи были исследованы основные тенденции развития отечественного рынка ценных бумаг. Выявлена устойчивая динамика роста числа частных инвесторов, свидетельствующая о постепенном формировании культуры инвестирования среди населения. Определено усиление роли технологических инноваций в торговых процессах и возрастающее значение цифровых финансовых активов как нового инструмента привлечения капитала.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Третья задача предполагала оценку влияния внешних факторов на российский финансовый рынок. Исследование подтвердило высокую чувствительность национального рынка к геополитическим рискам и санкционному давлению. Установлено, что ограничения доступа к международным рынкам капитала стимулируют развитие внутренних механизмов финансирования и переориентацию на альтернативные источники инвестиций.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Теоретический вклад работы заключается в систематизации современных подходов к анализу финансовых рынков в условиях трансформирующейся экономики и обосновании специфических особенностей функционирования российского финансового рынка под воздействием внешних ограничений.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 практической точки зрения результаты исследования могут быть использованы регулирующими органами при разработке мер по совершенствованию инфраструктуры финансового рынка. Рекомендуется усилить меры по защите прав инвесторов, стимулировать развитие долгосрочных финансовых инструментов и расширить программы финансовой грамотности населения. Целесообразно активизировать работу по созданию благоприятных условий для выхода на биржу компаний среднего бизнеса, что позволит диверсифицировать структуру рынка и снизить зависимость от сырьевого сектора.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Перспективы дальнейших исследований связаны с углубленным изучением влияния цифровизации на трансформацию финансовых услуг, анализом потенциала развития зеленого финансирования в России, а также оценкой эффективности механизмов интеграции российского финансового рынка в формирующиеся международные финансовые альянсы. Требуется дополнительное исследование поведенческих факторов, определяющих инвестиционные решения российских участников рынка в условиях повышенной неопределенности.</w:t>
      </w:r>
    </w:p>
    <w:p>
      <w:pPr>
        <w:pStyle w:val="Heading1"/>
        <w:ind w:firstLine="0"/>
        <w:jc w:val="center"/>
      </w:pPr>
      <w:r>
        <w:rPr>
          <w:rFonts w:ascii="Times New Roman" w:hAnsi="Times New Roman" w:cs="Times New Roman" w:eastAsia="Times New Roman"/>
          <w:rFonts w:ascii="Times New Roman" w:hAnsi="Times New Roman"/>
          <w:b/>
          <w:color w:val="000000"/>
          <w:sz w:val="28"/>
        </w:rPr>
        <w:t>СПИСОК ЛИТЕРАТУРЫ</w:t>
      </w:r>
    </w:p>
    <w:p>
      <w:pPr>
        <w:jc w:val="both"/>
        <w:spacing w:line="420" w:lineRule="exact" w:before="0" w:after="80"/>
        <w:ind w:left="709" w:hanging="709"/>
      </w:pPr>
      <w:r>
        <w:rPr>
          <w:rFonts w:ascii="Times New Roman" w:hAnsi="Times New Roman" w:cs="Times New Roman" w:eastAsia="Times New Roman"/>
          <w:rFonts w:ascii="Times New Roman" w:hAnsi="Times New Roman"/>
          <w:b w:val="0"/>
          <w:sz w:val="28"/>
        </w:rPr>
        <w:t>1. Абрамов А.Е., Радыгин А.Д., Чернова М.И. Российский финансовый рынок: факторы развития, инструменты, институты. — М.: Издательство Института Гайдара, 2022. — 384 с.</w:t>
      </w:r>
    </w:p>
    <w:p>
      <w:pPr>
        <w:jc w:val="both"/>
        <w:spacing w:line="420" w:lineRule="exact" w:before="0" w:after="80"/>
        <w:ind w:left="709" w:hanging="709"/>
      </w:pPr>
      <w:r>
        <w:rPr>
          <w:rFonts w:ascii="Times New Roman" w:hAnsi="Times New Roman" w:cs="Times New Roman" w:eastAsia="Times New Roman"/>
          <w:rFonts w:ascii="Times New Roman" w:hAnsi="Times New Roman"/>
          <w:b w:val="0"/>
          <w:sz w:val="28"/>
        </w:rPr>
        <w:t>2. Данилов Ю.А. Финансовые рынки в период турбулентности: российская и мировая практика. — М.: ИНФРА-М, 2023. — 296 с.</w:t>
      </w:r>
    </w:p>
    <w:p>
      <w:pPr>
        <w:jc w:val="both"/>
        <w:spacing w:line="420" w:lineRule="exact" w:before="0" w:after="80"/>
        <w:ind w:left="709" w:hanging="709"/>
      </w:pPr>
      <w:r>
        <w:rPr>
          <w:rFonts w:ascii="Times New Roman" w:hAnsi="Times New Roman" w:cs="Times New Roman" w:eastAsia="Times New Roman"/>
          <w:rFonts w:ascii="Times New Roman" w:hAnsi="Times New Roman"/>
          <w:b w:val="0"/>
          <w:sz w:val="28"/>
        </w:rPr>
        <w:t>3. Звонова Е.А., Кузнецов В.Е., Ершов М.В. Финансовый рынок России в условиях санкций: трансформация и адаптация. — М.: Юрайт, 2023. — 312 с.</w:t>
      </w:r>
    </w:p>
    <w:p>
      <w:pPr>
        <w:jc w:val="both"/>
        <w:spacing w:line="420" w:lineRule="exact" w:before="0" w:after="80"/>
        <w:ind w:left="709" w:hanging="709"/>
      </w:pPr>
      <w:r>
        <w:rPr>
          <w:rFonts w:ascii="Times New Roman" w:hAnsi="Times New Roman" w:cs="Times New Roman" w:eastAsia="Times New Roman"/>
          <w:rFonts w:ascii="Times New Roman" w:hAnsi="Times New Roman"/>
          <w:b w:val="0"/>
          <w:sz w:val="28"/>
        </w:rPr>
        <w:t>4. Миркин Я.М. Финансовое будущее России: экстремумы, бумы, системные риски. — М.: GELEOS Publishing House, 2022. — 480 с.</w:t>
      </w:r>
    </w:p>
    <w:p>
      <w:pPr>
        <w:jc w:val="both"/>
        <w:spacing w:line="420" w:lineRule="exact" w:before="0" w:after="80"/>
        <w:ind w:left="709" w:hanging="709"/>
      </w:pPr>
      <w:r>
        <w:rPr>
          <w:rFonts w:ascii="Times New Roman" w:hAnsi="Times New Roman" w:cs="Times New Roman" w:eastAsia="Times New Roman"/>
          <w:rFonts w:ascii="Times New Roman" w:hAnsi="Times New Roman"/>
          <w:b w:val="0"/>
          <w:sz w:val="28"/>
        </w:rPr>
        <w:t>5. Рубцов Б.Б. Современные фондовые рынки: теория и практика. — М.: Альпина Паблишер, 2023. — 926 с.</w:t>
      </w:r>
    </w:p>
    <w:p>
      <w:pPr>
        <w:jc w:val="both"/>
        <w:spacing w:line="420" w:lineRule="exact" w:before="0" w:after="80"/>
        <w:ind w:left="709" w:hanging="709"/>
      </w:pPr>
      <w:r>
        <w:rPr>
          <w:rFonts w:ascii="Times New Roman" w:hAnsi="Times New Roman" w:cs="Times New Roman" w:eastAsia="Times New Roman"/>
          <w:rFonts w:ascii="Times New Roman" w:hAnsi="Times New Roman"/>
          <w:b w:val="0"/>
          <w:sz w:val="28"/>
        </w:rPr>
        <w:t>6. Слепов В.А., Чалова А.Ю. Финансовый рынок России: состояние и перспективы развития. — М.: Магистр, 2024. — 256 с.</w:t>
      </w:r>
    </w:p>
    <w:p>
      <w:pPr>
        <w:jc w:val="both"/>
        <w:spacing w:line="420" w:lineRule="exact" w:before="0" w:after="80"/>
        <w:ind w:left="709" w:hanging="709"/>
      </w:pPr>
      <w:r>
        <w:rPr>
          <w:rFonts w:ascii="Times New Roman" w:hAnsi="Times New Roman" w:cs="Times New Roman" w:eastAsia="Times New Roman"/>
          <w:rFonts w:ascii="Times New Roman" w:hAnsi="Times New Roman"/>
          <w:b w:val="0"/>
          <w:sz w:val="28"/>
        </w:rPr>
        <w:t>7. Абрамов А.Е. Структурные изменения на российском финансовом рынке в условиях санкций // Вопросы экономики. — 2023. — №4. — С. 5–28.</w:t>
      </w:r>
    </w:p>
    <w:p>
      <w:pPr>
        <w:jc w:val="both"/>
        <w:spacing w:line="420" w:lineRule="exact" w:before="0" w:after="80"/>
        <w:ind w:left="709" w:hanging="709"/>
      </w:pPr>
      <w:r>
        <w:rPr>
          <w:rFonts w:ascii="Times New Roman" w:hAnsi="Times New Roman" w:cs="Times New Roman" w:eastAsia="Times New Roman"/>
          <w:rFonts w:ascii="Times New Roman" w:hAnsi="Times New Roman"/>
          <w:b w:val="0"/>
          <w:sz w:val="28"/>
        </w:rPr>
        <w:t>8. Буклемишев О.В., Данилов Ю.А. Трансформация российского финансового рынка: новые вызовы и возможности // Экономическая политика. — 2023. — Т. 18. — №1. — С. 8–35.</w:t>
      </w:r>
    </w:p>
    <w:p>
      <w:pPr>
        <w:jc w:val="both"/>
        <w:spacing w:line="420" w:lineRule="exact" w:before="0" w:after="80"/>
        <w:ind w:left="709" w:hanging="709"/>
      </w:pPr>
      <w:r>
        <w:rPr>
          <w:rFonts w:ascii="Times New Roman" w:hAnsi="Times New Roman" w:cs="Times New Roman" w:eastAsia="Times New Roman"/>
          <w:rFonts w:ascii="Times New Roman" w:hAnsi="Times New Roman"/>
          <w:b w:val="0"/>
          <w:sz w:val="28"/>
        </w:rPr>
        <w:t>9. Ершов М.В. Мировой финансовый кризис и российский финансовый рынок // Банковское дело. — 2022. — №11. — С. 12–19.</w:t>
      </w:r>
    </w:p>
    <w:p>
      <w:pPr>
        <w:jc w:val="both"/>
        <w:spacing w:line="420" w:lineRule="exact" w:before="0" w:after="80"/>
        <w:ind w:left="709" w:hanging="709"/>
      </w:pPr>
      <w:r>
        <w:rPr>
          <w:rFonts w:ascii="Times New Roman" w:hAnsi="Times New Roman" w:cs="Times New Roman" w:eastAsia="Times New Roman"/>
          <w:rFonts w:ascii="Times New Roman" w:hAnsi="Times New Roman"/>
          <w:b w:val="0"/>
          <w:sz w:val="28"/>
        </w:rPr>
        <w:t>10. Звонова Е.А., Ершов М.В. Российский финансовый рынок и банковский сектор: факторы влияния и направления развития // Финансы: теория и практика. — 2023. — Т. 27. — №3. — С. 6–22.</w:t>
      </w:r>
    </w:p>
    <w:p>
      <w:pPr>
        <w:jc w:val="both"/>
        <w:spacing w:line="420" w:lineRule="exact" w:before="0" w:after="80"/>
        <w:ind w:left="709" w:hanging="709"/>
      </w:pPr>
      <w:r>
        <w:rPr>
          <w:rFonts w:ascii="Times New Roman" w:hAnsi="Times New Roman" w:cs="Times New Roman" w:eastAsia="Times New Roman"/>
          <w:rFonts w:ascii="Times New Roman" w:hAnsi="Times New Roman"/>
          <w:b w:val="0"/>
          <w:sz w:val="28"/>
        </w:rPr>
        <w:t>11. Мамонов М.Е. Структура и динамика российского финансового рынка в 2022–2023 годах // Деньги и кредит. — 2023. — Т. 82. — №3. — С. 3–29.</w:t>
      </w:r>
    </w:p>
    <w:p>
      <w:pPr>
        <w:jc w:val="both"/>
        <w:spacing w:line="420" w:lineRule="exact" w:before="0" w:after="80"/>
        <w:ind w:left="709" w:hanging="709"/>
      </w:pPr>
      <w:r>
        <w:rPr>
          <w:rFonts w:ascii="Times New Roman" w:hAnsi="Times New Roman" w:cs="Times New Roman" w:eastAsia="Times New Roman"/>
          <w:rFonts w:ascii="Times New Roman" w:hAnsi="Times New Roman"/>
          <w:b w:val="0"/>
          <w:sz w:val="28"/>
        </w:rPr>
        <w:t>12. Миркин Я.М. Новая реальность российского финансового рынка: императивы развития // Банковское дело. — 2023. — №6. — С. 6–14.</w:t>
      </w:r>
    </w:p>
    <w:p>
      <w:pPr>
        <w:jc w:val="both"/>
        <w:spacing w:line="420" w:lineRule="exact" w:before="0" w:after="80"/>
        <w:ind w:left="709" w:hanging="709"/>
      </w:pPr>
      <w:r>
        <w:rPr>
          <w:rFonts w:ascii="Times New Roman" w:hAnsi="Times New Roman" w:cs="Times New Roman" w:eastAsia="Times New Roman"/>
          <w:rFonts w:ascii="Times New Roman" w:hAnsi="Times New Roman"/>
          <w:b w:val="0"/>
          <w:sz w:val="28"/>
        </w:rPr>
        <w:t>13. Наркевич С.С., Трунин П.В. Влияние геополитических факторов на развитие российского финансового рынка // Экономическое развитие России. — 2023. — Т. 30. — №5. — С. 44–52.</w:t>
      </w:r>
    </w:p>
    <w:p>
      <w:pPr>
        <w:jc w:val="both"/>
        <w:spacing w:line="420" w:lineRule="exact" w:before="0" w:after="80"/>
        <w:ind w:left="709" w:hanging="709"/>
      </w:pPr>
      <w:r>
        <w:rPr>
          <w:rFonts w:ascii="Times New Roman" w:hAnsi="Times New Roman" w:cs="Times New Roman" w:eastAsia="Times New Roman"/>
          <w:rFonts w:ascii="Times New Roman" w:hAnsi="Times New Roman"/>
          <w:b w:val="0"/>
          <w:sz w:val="28"/>
        </w:rPr>
        <w:t>14. Пильник Н.П., Поспелов И.Г. Моделирование российского финансового рынка в условиях внешних шоков // Журнал Новой экономической ассоциации. — 2022. — №4. — С. 28–54.</w:t>
      </w:r>
    </w:p>
    <w:p>
      <w:pPr>
        <w:jc w:val="both"/>
        <w:spacing w:line="420" w:lineRule="exact" w:before="0" w:after="80"/>
        <w:ind w:left="709" w:hanging="709"/>
      </w:pPr>
      <w:r>
        <w:rPr>
          <w:rFonts w:ascii="Times New Roman" w:hAnsi="Times New Roman" w:cs="Times New Roman" w:eastAsia="Times New Roman"/>
          <w:rFonts w:ascii="Times New Roman" w:hAnsi="Times New Roman"/>
          <w:b w:val="0"/>
          <w:sz w:val="28"/>
        </w:rPr>
        <w:t>15. Столбов М.И., Шchусь М.А. Российский финансовый рынок: анализ факторов устойчивости // Вопросы экономики. — 2024. — №2. — С. 74–93.</w:t>
      </w:r>
    </w:p>
    <w:sectPr w:rsidR="00FC693F" w:rsidRPr="0006063C" w:rsidSect="00034616">
      <w:footerReference w:type="default" r:id="rId9"/>
      <w:footerReference w:type="first" r:id="rId10"/>
      <w:pgSz w:w="11906" w:h="16838"/>
      <w:pgMar w:top="1134" w:right="567" w:bottom="1134" w:left="1701"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eastAsia="Times New Roman"/>
        <w:rFonts w:ascii="Times New Roman" w:hAnsi="Times New Roman"/>
        <w:b w:val="0"/>
        <w:sz w:val="24"/>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eastAsia="Times New Roman"/>
        <w:rFonts w:ascii="Times New Roman" w:hAnsi="Times New Roman"/>
        <w:b w:val="0"/>
        <w:sz w:val="28"/>
      </w:rPr>
      <w:t>Город,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420" w:lineRule="exact"/>
      <w:ind w:firstLine="0"/>
      <w:jc w:val="center"/>
      <w:outlineLvl w:val="0"/>
      <w:pageBreakBefore/>
    </w:pPr>
    <w:rPr>
      <w:rFonts w:asciiTheme="majorHAnsi" w:eastAsiaTheme="majorEastAsia" w:hAnsiTheme="majorHAnsi" w:cstheme="majorBidi" w:ascii="Times New Roman" w:hAnsi="Times New Roman"/>
      <w:b/>
      <w:bCs/>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20" w:lineRule="exact"/>
      <w:ind w:firstLine="0"/>
      <w:jc w:val="left"/>
      <w:outlineLvl w:val="1"/>
    </w:pPr>
    <w:rPr>
      <w:rFonts w:asciiTheme="majorHAnsi" w:eastAsiaTheme="majorEastAsia" w:hAnsiTheme="majorHAnsi" w:cstheme="majorBidi" w:ascii="Times New Roman" w:hAnsi="Times New Roman"/>
      <w:b/>
      <w:bCs/>
      <w:caps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