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20" w:lineRule="exact"/>
        <w:ind w:firstLine="0"/>
        <w:jc w:val="center"/>
      </w:pPr>
      <w:r>
        <w:rPr>
          <w:rFonts w:ascii="Times New Roman" w:hAnsi="Times New Roman" w:cs="Times New Roman" w:eastAsia="Times New Roman"/>
          <w:rFonts w:ascii="Times New Roman" w:hAnsi="Times New Roman"/>
          <w:b/>
          <w:sz w:val="28"/>
        </w:rPr>
        <w:t>Название учебного заведения</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Направление (факультет)</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Специализация</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ind w:firstLine="0"/>
        <w:jc w:val="center"/>
      </w:pPr>
      <w:r>
        <w:rPr>
          <w:rFonts w:ascii="Times New Roman" w:hAnsi="Times New Roman" w:cs="Times New Roman" w:eastAsia="Times New Roman"/>
          <w:rFonts w:ascii="Times New Roman" w:hAnsi="Times New Roman"/>
          <w:b/>
          <w:sz w:val="28"/>
        </w:rPr>
        <w:t>Курсовая работа</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Предмет</w:t>
      </w:r>
    </w:p>
    <w:p>
      <w:pPr>
        <w:spacing w:before="0" w:after="0" w:line="420" w:lineRule="exact"/>
        <w:ind w:firstLine="0"/>
        <w:jc w:val="center"/>
      </w:pPr>
      <w:r>
        <w:rPr>
          <w:rFonts w:ascii="Times New Roman" w:hAnsi="Times New Roman" w:cs="Times New Roman" w:eastAsia="Times New Roman"/>
          <w:rFonts w:ascii="Times New Roman" w:hAnsi="Times New Roman"/>
          <w:b w:val="0"/>
          <w:sz w:val="28"/>
        </w:rPr>
        <w:t xml:space="preserve">На тему: </w:t>
      </w:r>
      <w:r>
        <w:rPr>
          <w:rFonts w:ascii="Times New Roman" w:hAnsi="Times New Roman" w:cs="Times New Roman" w:eastAsia="Times New Roman"/>
          <w:rFonts w:ascii="Times New Roman" w:hAnsi="Times New Roman"/>
          <w:b/>
          <w:sz w:val="28"/>
        </w:rPr>
        <w:t>«Анализ финансового рынка России»</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Выполнил:</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ФИО</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Группа: №</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Проверил(а):</w:t>
      </w:r>
    </w:p>
    <w:p>
      <w:pPr>
        <w:spacing w:before="0" w:after="0" w:line="420" w:lineRule="exact"/>
        <w:ind w:firstLine="0"/>
        <w:jc w:val="right"/>
      </w:pPr>
      <w:r>
        <w:rPr>
          <w:rFonts w:ascii="Times New Roman" w:hAnsi="Times New Roman" w:cs="Times New Roman" w:eastAsia="Times New Roman"/>
          <w:rFonts w:ascii="Times New Roman" w:hAnsi="Times New Roman"/>
          <w:b w:val="0"/>
          <w:sz w:val="28"/>
        </w:rPr>
        <w:t>ФИО</w:t>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pPr>
        <w:spacing w:before="0" w:after="0" w:line="420" w:lineRule="exact"/>
      </w:pPr>
      <w:r>
        <w:rPr>
          <w:rFonts w:ascii="Times New Roman" w:hAnsi="Times New Roman" w:cs="Times New Roman" w:eastAsia="Times New Roman"/>
          <w:rFonts w:ascii="Times New Roman" w:hAnsi="Times New Roman"/>
          <w:b w:val="0"/>
          <w:sz w:val="28"/>
        </w:rPr>
      </w:r>
    </w:p>
    <w:p>
      <w:r>
        <w:br w:type="page"/>
      </w:r>
    </w:p>
    <w:p>
      <w:pPr>
        <w:spacing w:line="420" w:lineRule="exact" w:before="0" w:after="240"/>
        <w:ind w:firstLine="0"/>
        <w:jc w:val="center"/>
      </w:pPr>
      <w:r>
        <w:rPr>
          <w:rFonts w:ascii="Times New Roman" w:hAnsi="Times New Roman" w:cs="Times New Roman" w:eastAsia="Times New Roman"/>
          <w:rFonts w:ascii="Times New Roman" w:hAnsi="Times New Roman"/>
          <w:b/>
          <w:sz w:val="28"/>
        </w:rPr>
        <w:t>ОГЛАВЛЕНИЕ</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Введение</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3</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Глава 1. Теоретические основы функционирования финансового рынка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4</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1.1. Понятие, структура и функции финансового рынка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5</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1.2. Участники финансового рынка и инструменты финансового рынка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7</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Глава 2. Анализ современного состояния финансового рынка России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10</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2.1. Характеристика основных сегментов финансового рынка России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11</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2.2. Оценка показателей развития финансового рынка России за 2021-2024 гг</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13</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Глава 3. Практические рекомендации по развитию финансового рынка России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15</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3.1. Проблемы и перспективы развития российского финансового рынка</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16</w:t>
      </w:r>
    </w:p>
    <w:p>
      <w:pPr>
        <w:spacing w:before="0" w:after="80" w:line="420" w:lineRule="exact"/>
        <w:ind w:firstLine="0" w:left="567"/>
        <w:tabs>
          <w:tab w:val="right" w:leader="dot" w:pos="8073"/>
        </w:tabs>
      </w:pPr>
      <w:r>
        <w:rPr>
          <w:rFonts w:ascii="Times New Roman" w:hAnsi="Times New Roman" w:cs="Times New Roman" w:eastAsia="Times New Roman"/>
          <w:rFonts w:ascii="Times New Roman" w:hAnsi="Times New Roman"/>
          <w:b w:val="0"/>
          <w:color w:val="000000"/>
          <w:sz w:val="28"/>
        </w:rPr>
        <w:t>3.2. Направления совершенствования регулирования финансового рынка России</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18</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Заключение</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20</w:t>
      </w:r>
    </w:p>
    <w:p>
      <w:pPr>
        <w:spacing w:before="0" w:after="80" w:line="420" w:lineRule="exact"/>
        <w:ind w:firstLine="0"/>
        <w:tabs>
          <w:tab w:val="right" w:leader="dot" w:pos="8640"/>
        </w:tabs>
      </w:pPr>
      <w:r>
        <w:rPr>
          <w:rFonts w:ascii="Times New Roman" w:hAnsi="Times New Roman" w:cs="Times New Roman" w:eastAsia="Times New Roman"/>
          <w:rFonts w:ascii="Times New Roman" w:hAnsi="Times New Roman"/>
          <w:b w:val="0"/>
          <w:color w:val="000000"/>
          <w:sz w:val="28"/>
        </w:rPr>
        <w:t>Список литературы</w:t>
      </w:r>
      <w:r>
        <w:rPr>
          <w:rFonts w:ascii="Times New Roman" w:hAnsi="Times New Roman" w:cs="Times New Roman" w:eastAsia="Times New Roman"/>
          <w:rFonts w:ascii="Times New Roman" w:hAnsi="Times New Roman"/>
          <w:b w:val="0"/>
          <w:sz w:val="28"/>
        </w:rPr>
        <w:tab/>
      </w:r>
      <w:r>
        <w:rPr>
          <w:rFonts w:ascii="Times New Roman" w:hAnsi="Times New Roman" w:cs="Times New Roman" w:eastAsia="Times New Roman"/>
          <w:rFonts w:ascii="Times New Roman" w:hAnsi="Times New Roman"/>
          <w:b w:val="0"/>
          <w:color w:val="000000"/>
          <w:sz w:val="28"/>
        </w:rPr>
        <w:t>21</w:t>
      </w:r>
    </w:p>
    <w:p>
      <w:pPr>
        <w:pStyle w:val="Heading1"/>
        <w:ind w:firstLine="0"/>
        <w:jc w:val="center"/>
      </w:pPr>
      <w:r>
        <w:rPr>
          <w:rFonts w:ascii="Times New Roman" w:hAnsi="Times New Roman" w:cs="Times New Roman" w:eastAsia="Times New Roman"/>
          <w:rFonts w:ascii="Times New Roman" w:hAnsi="Times New Roman"/>
          <w:b/>
          <w:color w:val="000000"/>
          <w:sz w:val="28"/>
        </w:rPr>
        <w:t>ВВЕДЕНИЕ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Российский финансовый рынок представляет собой сложную многоуровневую систему, играющую ключевую роль в обеспечении экономического развития страны и перераспределении финансовых ресурсов между различными секторами экономики. Актуальность исследования финансового рынка России обусловлена несколькими факторами. Во-первых, в условиях беспрецедентного санкционного давления с 2022 года отечественный финансовый рынок претерпевает существенную трансформацию, требующую всестороннего научного осмысления происходящих изменений. Во-вторых, необходимость обеспечения финансовой стабильности и устойчивого экономического роста делает критически важным понимание механизмов функционирования рынка в новых реалиях. В-третьих, переориентация финансовых потоков на азиатские рынки и изменение структуры инвестиционных инструментов создают потребность в комплексном анализе адаптационных процессов.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Степень изученности проблемы характеризуется наличием фундаментальных работ отечественных экономистов, исследующих институциональные особенности российского финансового рынка, его инфраструктуру и инструменты. Вместе с тем существует научное противоречие между традиционными подходами к анализу финансового рынка, разработанными для условий стабильной экономической среды, и необходимостью оценки его функционирования в период структурных трансформаций и внешних ограничений.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Целью данной курсовой работы является комплексный анализ современного состояния финансового рынка России с выявлением ключевых тенденций его развития.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Для достижения поставленной цели необходимо решить следующие задачи: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1) исследовать теоретические основы функционирования финансового рынка и его структурные элементы;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2) проанализировать динамику основных показателей российского финансового рынка за последние годы;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3) выявить влияние внешних факторов на трансформацию отечественного финансового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4) оценить состояние отдельных сегментов рынка, включая фондовый, валютный и срочный рынки;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5) определить проблемы и перспективы развития финансового рынка России;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6) разработать рекомендации по повышению эффективности функционирования национального финансового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Объектом исследования выступает финансовый рынок Российской Федерации. Предметом исследования являются экономические отношения, возникающие в процессе функционирования финансового рынка России.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Методологическую основу работы составляют методы системного анализа, статистического анализа, сравнительного анализа, графической интерпретации данных, а также метод синтеза при формулировании выводов и рекомендаций.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Теоретической базой исследования послужили труды ведущих российских ученых в области финансовых рынков, аналитические материалы Центрального банка России, информационные ресурсы Московской биржи.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Практическая значимость работы заключается в возможности использования полученных результатов для формирования более полного представления о текущем состоянии российского финансового рынка и выработки обоснованных управленческих решений участниками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Структура курсовой работы включает введение, три главы, заключение и список использованных источников.</w:t>
      </w:r>
    </w:p>
    <w:p>
      <w:pPr>
        <w:pStyle w:val="Heading1"/>
        <w:ind w:firstLine="0"/>
        <w:jc w:val="center"/>
      </w:pPr>
      <w:r>
        <w:rPr>
          <w:rFonts w:ascii="Times New Roman" w:hAnsi="Times New Roman" w:cs="Times New Roman" w:eastAsia="Times New Roman"/>
          <w:rFonts w:ascii="Times New Roman" w:hAnsi="Times New Roman"/>
          <w:b/>
          <w:color w:val="000000"/>
          <w:sz w:val="28"/>
        </w:rPr>
        <w:t>ГЛАВА 1. ТЕОРЕТИЧЕСКИЕ ОСНОВЫ ФУНКЦИОНИРОВАНИЯ ФИНАНСОВОГО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 данной главе рассматриваются теоретические аспекты функционирования финансового рынка, необходимые для последующего анализа российской практики. Исследуются ключевые понятия и категории, определяющие сущность финансового рынка, его структуру и функции в экономической системе. Представлен обзор научных подходов отечественных и зарубежных исследователей к трактовке финансового рынка. Анализируются основные сегменты финансового рынка, механизмы их взаимодействия, роль участников и регуляторов. Особое внимание уделяется историческим этапам развития теории финансовых рынков и современным концепциям их функционирования, что создает методологическую основу для практического анализа состояния финансового рынка России.</w:t>
      </w:r>
    </w:p>
    <w:p>
      <w:pPr>
        <w:pStyle w:val="Heading2"/>
        <w:ind w:firstLine="0"/>
        <w:jc w:val="left"/>
      </w:pPr>
      <w:r>
        <w:rPr>
          <w:rFonts w:ascii="Times New Roman" w:hAnsi="Times New Roman" w:cs="Times New Roman" w:eastAsia="Times New Roman"/>
          <w:rFonts w:ascii="Times New Roman" w:hAnsi="Times New Roman"/>
          <w:b/>
          <w:color w:val="000000"/>
          <w:sz w:val="28"/>
        </w:rPr>
        <w:t>1.1. Понятие, структура и функции финансового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Финансовый рынок представляет собой сложную многоуровневую систему экономических отношений, возникающих в процессе движения денежных средств и финансовых инструментов между различными субъектами хозяйственной деятельности. В современной экономической науке существует множество подходов к определению данного понятия, каждый из которых акцентирует внимание на различных аспектах функционирования этого механизма. Классическое понимание финансового рынка связывает его с системой обращения финансовых активов, где происходит перераспределение временно свободных денежных ресурсов от их владельцев к заемщикам на условиях возвратности и платности. Данный подход подчеркивает посредническую функцию финансового рынка в экономике и его роль в обеспечении эффективного размещения капитала.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Институциональный подход рассматривает финансовый рынок как совокупность специализированных институтов и организаций, обеспечивающих функционирование системы финансового посредничества. В рамках данной концепции особое внимание уделяется роли банков, инвестиционных компаний, страховых организаций, бирж и иных участников рынка, формирующих его инфраструктуру. Институциональная теория финансовых рынков получила развитие в работах отечественных исследователей, которые анализируют особенности формирования рыночных институтов в условиях переходной экономики и специфику российской модели финансового посредничества.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Функциональный подход определяет финансовый рынок через призму выполняемых им функций в экономической системе. Согласно этой концепции, основное предназначение финансового рынка заключается в обеспечении трансформации сбережений в инвестиции, управлении рисками, предоставлении ликвидности и генерировании ценовой информации. Данная трактовка позволяет оценивать степень развитости финансового рынка по критериям эффективности выполнения указанных функций и их влияния на реальный сектор экономики.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Исторически формирование концепции финансового рынка связано с развитием капиталистических отношений и появлением первых организованных форм торговли ценными бумагами в семнадцатом веке. Теоретическое осмысление природы финансовых рынков началось значительно позднее, в девятнадцатом и двадцатом столетиях, когда экономисты обратили внимание на особую роль финансового сектора в обеспечении экономического роста. Российская финансовая система имеет свою специфическую историю становления, характеризующуюся периодами интенсивного развития в дореволюционный период, полным свертыванием рыночных механизмов в советское время и последующим воссозданием в девяностые годы двадцатого века [1].</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Структура финансового рынка отражает многообразие форм и инструментов мобилизации и перераспределения финансовых ресурсов. По критерию временного горизонта операций принято выделять денежный рынок и рынок капиталов. Денежный рынок охватывает краткосрочные финансовые инструменты со сроком обращения до одного года и включает рынок межбанковских кредитов, рынок краткосрочных ценных бумаг и валютный рынок в части спот-операций. Рынок капиталов обслуживает средне- и долгосрочное финансирование и включает рынок акций, облигаций, долгосрочных кредитов и производных финансовых инструментов.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По виду обращающихся активов финансовый рынок подразделяется на кредитный рынок, фондовый рынок, валютный рынок и рынок производных финансовых инструментов. Кредитный рынок опосредует отношения между кредиторами и заемщиками по поводу предоставления денежных средств на условиях срочности, возвратности и платности. Фондовый рынок представляет собой систему обращения ценных бумаг и включает первичный рынок, где происходит эмиссия и размещение новых выпусков, и вторичный рынок, обеспечивающий последующую торговлю ранее выпущенными инструментами. Валютный рынок обслуживает операции по обмену национальных валют и играет ключевую роль в обеспечении международных расчетов и управлении валютными рисками.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Рынок производных финансовых инструментов, или деривативов, получил широкое развитие во второй половине двадцатого века и представляет собой систему обращения контрактов, стоимость которых зависит от базового актива. К основным видам производных инструментов относятся фьючерсы, опционы и свопы, которые используются как для хеджирования рисков, так и для спекулятивных операций. Развитие рынка деривативов существенно расширило возможности управления финансовыми рисками, но одновременно создало предпосылки для накопления системных рисков в финансовой системе.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По организационной форме выделяют биржевой и внебиржевой сегменты финансового рынка. Биржевой рынок характеризуется высокой степенью стандартизации торгуемых инструментов, концентрацией операций на организованных торговых площадках и наличием развитой системы регулирования. Внебиржевой рынок отличается большей гибкостью в части условий заключаемых сделок, но при этом характеризуется меньшей прозрачностью и более высокими рисками для участников.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Функциональное содержание финансового рынка раскрывается через анализ выполняемых им функций в экономической системе. Мобилизационная функция заключается в аккумулировании временно свободных денежных средств населения, предприятий и государства и трансформации их в инвестиционные ресурсы. Эффективная реализация данной функции создает предпосылки для экономического роста и модернизации производственного аппарата. Распределительная функция обеспечивает направление финансовых ресурсов в наиболее эффективные сферы их использования на основе рыночных механизмов ценообразования. Ценовая функция финансового рынка состоит в формировании рыночных цен на финансовые активы, которые отражают соотношение спроса и предложения и содержат информацию о будущих денежных потоках и рисках.</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Функция обеспечения ликвидности позволяет владельцам финансовых активов в случае необходимости быстро конвертировать их в денежные средства с минимальными потерями стоимости. Развитый вторичный рынок ценных бумаг создает условия для высокой ликвидности финансовых инструментов и снижает издержки инвесторов, связанные с размещением капитала. Функция управления рисками реализуется через механизмы диверсификации инвестиционных портфелей и использование производных финансовых инструментов для хеджирования ценовых, валютных и процентных рисков.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Информационная функция финансового рынка проявляется в генерировании и распространении информации о состоянии отдельных сегментов экономики, финансовом положении эмитентов и макроэкономических тенденциях. Цены финансовых активов служат важным индикатором экономической конъюнктуры и используются участниками рынка для принятия инвестиционных решений. Регулирующая функция связана с воздействием финансового рынка на поведение хозяйствующих субъектов через механизмы корпоративного контроля и требования раскрытия информации, предъявляемые к публичным компаниям.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Современные исследователи отмечают возрастание роли финансовых рынков в условиях глобализации экономики и цифровизации финансовых услуг [5]. Развитие информационных технологий привело к появлению новых форм организации торговли, снижению транзакционных издержек и расширению доступа частных инвесторов к различным сегментам финансового рынка. Вместе с тем технологические инновации создают новые вызовы для регуляторов, связанные с необходимостью обеспечения стабильности финансовой системы в условиях высокой скорости совершения операций и появления криптоактивов.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Особое значение для понимания современного этапа развития финансовых рынков имеет анализ их взаимосвязи с реальным сектором экономики. Эффективный финансовый рынок способствует оптимальному распределению капитала, стимулирует инновационную активность и обеспечивает финансирование долгосрочных инвестиционных проектов. Однако чрезмерное развитие финансового сектора может приводить к отрыву финансовых рынков от реальной экономики, накоплению спекулятивных позиций и формированию предпосылок для финансовых кризисов. Поиск баланса между развитием финансовых рынков и обеспечением их связи с потребностями реального сектора остается одной из ключевых задач экономической политики.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Таким образом, финансовый рынок представляет собой многофункциональную систему, обеспечивающую перераспределение финансовых ресурсов в экономике и выполняющую важнейшие функции мобилизации капитала, управления рисками и генерирования ценовой информации. Понимание структуры и функций финансового рынка создает необходимую теоретическую основу для последующего анализа особенностей его развития в российских условиях.</w:t>
      </w:r>
    </w:p>
    <w:p>
      <w:pPr>
        <w:pStyle w:val="Heading2"/>
        <w:ind w:firstLine="0"/>
        <w:jc w:val="left"/>
      </w:pPr>
      <w:r>
        <w:rPr>
          <w:rFonts w:ascii="Times New Roman" w:hAnsi="Times New Roman" w:cs="Times New Roman" w:eastAsia="Times New Roman"/>
          <w:rFonts w:ascii="Times New Roman" w:hAnsi="Times New Roman"/>
          <w:b/>
          <w:color w:val="000000"/>
          <w:sz w:val="28"/>
        </w:rPr>
        <w:t>1.2. Участники финансового рынка и инструменты финансового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Финансовый рынок представляет собой сложную систему экономических отношений, в которой взаимодействуют различные категории участников, использующие разнообразные финансовые инструменты для достижения своих целей. Понимание структуры участников и спектра применяемых инструментов является необходимым условием для проведения качественного анализа функционирования финансового рынка любой страны, включая Российскую Федерацию.</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Участники финансового рынка традиционно классифицируются по нескольким критериям, среди которых наиболее распространенным является деление на институциональных и частных инвесторов, профессиональных участников и регуляторов. Институциональные инвесторы включают в себя коммерческие банки, инвестиционные фонды, пенсионные фонды, страховые компании и управляющие компании. Эти организации аккумулируют значительные финансовые ресурсы и осуществляют операции на рынке в крупных масштабах, оказывая существенное влияние на формирование рыночных цен и обеспечение ликвидности торговых площадок.</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Коммерческие банки выполняют двойственную роль на финансовом рынке, выступая одновременно как посредники между заемщиками и кредиторами, так и как самостоятельные участники, осуществляющие операции с ценными бумагами, валютой и производными инструментами. Российские банки традиционно занимают доминирующее положение в финансовой системе страны, контролируя значительную долю активов финансового сектора. Их деятельность охватывает широкий спектр операций: от классического кредитования до сложных структурированных продуктов и услуг инвестиционного банкинга.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Инвестиционные фонды представляют собой организации коллективного инвестирования, которые объединяют средства множества инвесторов для последующего размещения в различные финансовые активы. Управляющие компании, действующие от имени фондов, формируют инвестиционные портфели в соответствии с заявленной стратегией и рисковым профилем. В России функционируют паевые инвестиционные фонды, биржевые фонды и негосударственные пенсионные фонды, каждый из которых обладает специфическими характеристиками и ориентирован на определенные категории инвесторов [1].</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Страховые компании аккумулируют долгосрочные финансовые ресурсы через сбор страховых премий и инвестируют их в надежные финансовые инструменты для обеспечения будущих выплат по страховым случаям. Специфика их инвестиционной деятельности определяется необходимостью поддержания высокого уровня ликвидности и соблюдения строгих нормативных требований к структуре инвестиционного портфеля.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Частные инвесторы, или физические лица, представляют собой многочисленную, но разнородную группу участников финансового рынка. Их вовлеченность в инвестиционную деятельность значительно возросла в последние годы благодаря развитию технологий дистанционного доступа к торговым платформам и повышению финансовой грамотности населения. Частные инвесторы могут действовать как напрямую, открывая брокерские счета, так и опосредованно, через коллективные формы инвестирования.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Профессиональные участники рынка ценных бумаг включают брокеров, дилеров, депозитариев, регистраторов и организаторов торговли. Брокеры выступают посредниками между инвесторами и рынком, исполняя поручения клиентов на покупку или продажу финансовых инструментов за комиссионное вознаграждение. Дилеры осуществляют операции с ценными бумагами от своего имени и за свой счет, формируя рыночные котировки и обеспечивая ликвидность торгов. Депозитарии предоставляют услуги по учету и хранению ценных бумаг, фиксируя права собственности на финансовые активы. Регистраторы ведут реестры владельцев ценных бумаг, обеспечивая достоверность информации о собственниках и осуществление корпоративных действий.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Организаторы торговли, к которым относятся биржи и иные торговые платформы, создают инфраструктуру для проведения сделок с финансовыми инструментами, устанавливают правила торговли и обеспечивают прозрачность ценообразования. Московская биржа является основной торговой площадкой России, объединяющей рынки акций, облигаций, валюты, производных инструментов и товарных активов.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Регуляторы финансового рынка осуществляют надзор за деятельностью участников, устанавливают правила функционирования рынка и защищают интересы инвесторов. В России функции мегарегулятора финансового рынка выполняет Центральный банк, который определяет денежно-кредитную политику, лицензирует профессиональных участников, устанавливает обязательные нормативы и контролирует соблюдение законодательства.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Финансовые инструменты представляют собой различные формы документального оформления финансовых отношений между участниками рынка, обладающие определенной стоимостью и способностью обращаться на рынке. Классификация финансовых инструментов может осуществляться по множеству признаков, включая срочность, доходность, степень риска, форму выпуска и характер прав, которые они предоставляют владельцу.</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Долевые инструменты, основным представителем которых являются акции, удостоверяют право собственности на долю в капитале хозяйственного общества. Владельцы акций получают право на участие в управлении компанией, на получение части прибыли в виде дивидендов и на часть имущества при ликвидации общества. Акции подразделяются на обыкновенные и привилегированные, каждый из которых обладает специфическим набором прав и ограничений. Обыкновенные акции предоставляют право голоса на собрании акционеров, но не гарантируют получение дивидендов. Привилегированные акции обычно обеспечивают преимущественное право на получение фиксированных дивидендов, но ограничивают возможность участия в управлении [3].</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Долговые инструменты представляют собой обязательства эмитента выплатить владельцу номинальную стоимость и процентный доход в установленные сроки. Облигации являются наиболее распространенным видом долговых инструментов и классифицируются по множеству признаков: по эмитенту выделяют государственные, муниципальные и корпоративные облигации; по срокам обращения различают краткосрочные, среднесрочные и долгосрочные бумаги; по способу выплаты дохода существуют купонные и дисконтные облигации.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Государственные облигации эмитируются органами государственной власти для финансирования бюджетного дефицита и считаются наиболее надежными долговыми инструментами благодаря государственным гарантиям. В России основным инструментом государственных заимствований на внутреннем рынке являются облигации федерального займа, которые выпускаются Министерством финансов в различных модификациях с фиксированным, переменным или индексируемым купоном.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Корпоративные облигации выпускаются коммерческими организациями для привлечения финансирования на развитие бизнеса и характеризуются более высокой доходностью по сравнению с государственными бумагами, что компенсирует повышенный кредитный риск. Российский рынок корпоративных облигаций демонстрировал устойчивый рост до введения санкционных ограничений, предлагая инвесторам широкий выбор инструментов различного качества и доходности.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Производные финансовые инструменты, или деривативы, представляют собой контракты, стоимость которых зависит от динамики цены базового актива. К основным видам производных инструментов относятся фьючерсы, опционы и свопы. Фьючерсные контракты обязывают стороны совершить куплю-продажу базового актива в будущем по цене, зафиксированной в момент заключения сделки. Опционы предоставляют покупателю право, но не обязанность, купить или продать базовый актив по заранее определенной цене. Свопы представляют собой соглашения об обмене платежами между сторонами на основе определенных условий.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Производные инструменты используются участниками рынка для различных целей: хеджирования рисков, спекулятивных операций и арбитража. Хеджирование позволяет снизить неопределенность будущих денежных потоков путем фиксации цен на активы или финансовые показатели. Спекулятивные операции направлены на извлечение прибыли из колебаний рыночных цен при принятии повышенного риска.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Валютные инструменты обеспечивают возможность обмена одной валюты на другую и включают наличные операции спот, срочные сделки форвард и валютные свопы. Валютный рынок обладает высокой ликвидностью и функционирует круглосуточно благодаря географическому распределению торговых центров по всему миру.</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Инструменты денежного рынка характеризуются короткими сроками обращения, высокой ликвидностью и относительно низким уровнем риска. К ним относятся депозитные сертификаты, векселя, облигации с коротким сроком погашения и соглашения об обратном выкупе. Эти инструменты используются участниками рынка для управления краткосрочной ликвидностью и размещения временно свободных денежных средств.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Структурированные продукты представляют собой комбинацию различных финансовых инструментов, объединенных для достижения специфических инвестиционных целей. Они могут включать элементы долговых и долевых бумаг, производных инструментов и других активов, создавая уникальные профили доходности и риска. Российский рынок структурированных продуктов развивается по мере роста sophistication инвесторов и расширения возможностей финансовых институтов.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Таким образом, современный финансовый рынок характеризуется множественностью участников с различными целями и стратегиями, а также широким спектром финансовых инструментов, обеспечивающих гибкость в управлении капиталом и рисками. Взаимодействие участников и инструментов формирует сложную экосистему, эффективность функционирования которой определяет способность финансового рынка выполнять свои базовые функции по перераспределению капитала в экономике.</w:t>
      </w:r>
    </w:p>
    <w:p>
      <w:pPr>
        <w:pStyle w:val="Heading1"/>
        <w:ind w:firstLine="0"/>
        <w:jc w:val="center"/>
      </w:pPr>
      <w:r>
        <w:rPr>
          <w:rFonts w:ascii="Times New Roman" w:hAnsi="Times New Roman" w:cs="Times New Roman" w:eastAsia="Times New Roman"/>
          <w:rFonts w:ascii="Times New Roman" w:hAnsi="Times New Roman"/>
          <w:b/>
          <w:color w:val="000000"/>
          <w:sz w:val="28"/>
        </w:rPr>
        <w:t>ГЛАВА 2. АНАЛИЗ СОВРЕМЕННОГО СОСТОЯНИЯ ФИНАНСОВОГО РЫНКА РОССИИ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Данная глава посвящена комплексному анализу современного состояния финансового рынка Российской Федерации. В рамках исследования будут рассмотрены ключевые сегменты финансового рынка, включая валютный, фондовый, кредитный и страховой рынки. Особое внимание уделяется анализу макроэкономических показателей, динамики торговых операций и структуры участников рынка. Будут выявлены основные проблемы и ограничения развития российского финансового рынка в условиях современных экономических реалий. На основе статистических данных и фактического материала проводится сравнительный анализ различных подходов к оценке эффективности функционирования финансовой системы страны.</w:t>
      </w:r>
    </w:p>
    <w:p>
      <w:pPr>
        <w:pStyle w:val="Heading2"/>
        <w:ind w:firstLine="0"/>
        <w:jc w:val="left"/>
      </w:pPr>
      <w:r>
        <w:rPr>
          <w:rFonts w:ascii="Times New Roman" w:hAnsi="Times New Roman" w:cs="Times New Roman" w:eastAsia="Times New Roman"/>
          <w:rFonts w:ascii="Times New Roman" w:hAnsi="Times New Roman"/>
          <w:b/>
          <w:color w:val="000000"/>
          <w:sz w:val="28"/>
        </w:rPr>
        <w:t>2.1. Характеристика основных сегментов финансового рынка России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Финансовый рынок России представляет собой сложную многоуровневую систему, включающую несколько взаимосвязанных сегментов, каждый из которых обладает специфическими характеристиками, механизмами функционирования и степенью развития. Комплексный анализ структуры отечественного финансового рынка требует детального рассмотрения его ключевых компонентов, включая фондовый рынок, валютный рынок, денежный рынок, рынок производных финансовых инструментов и страховой рынок.</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Фондовый рынок России традиционно рассматривается как центральный элемент национальной финансовой системы, обеспечивающий механизмы привлечения долгосрочного капитала для развития реального сектора экономики. По состоянию на конец 2023 года капитализация российского фондового рынка составляла около 50 триллионов рублей, что существенно ниже показателей развитых экономик в соотношении к валовому внутреннему продукту. Структура торгов на Московской бирже демонстрирует преобладание акций крупнейших компаний сырьевого и финансового секторов, что отражает сохраняющуюся ресурсную ориентацию национальной экономики. Концентрация торговой активности в узком круге эмитентов создает системные риски и ограничивает возможности диверсификации инвестиционных портфелей. Среди наиболее ликвидных инструментов выделяются акции Сбербанка, Газпрома, Лукойла, Норильского никеля и Яндекса, на долю которых приходится значительная часть биржевого оборота.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Важной особенностью российского фондового рынка является относительно низкая доля розничных инвесторов по сравнению с институциональными участниками, хотя последние годы демонстрируют устойчивую тенденцию к росту числа частных инвесторов. Количество физических лиц, имеющих брокерские счета, превысило 30 миллионов человек, что свидетельствует о растущем интересе населения к инвестиционным инструментам. Однако глубина вовлеченности и объемы средств, размещаемых частными инвесторами, остаются несопоставимыми с показателями развитых рынков. Механизмы индивидуальных инвестиционных счетов способствовали активизации розничного сегмента, предоставляя налоговые преференции участникам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Сегмент облигаций демонстрирует более динамичное развитие, представляя собой важный канал финансирования как для государственных структур, так и для корпоративного сектора. Рынок государственных облигаций федерального займа характеризуется высокой ликвидностью и служит ключевым инструментом управления государственным долгом. Корпоративные облигации привлекают внимание широкого круга эмитентов благодаря относительно простым процедурам размещения по сравнению с публичным предложением акций. Развитие сегмента высокодоходных облигаций расширяет доступ к заемному капиталу для компаний среднего звена, не имеющих инвестиционных кредитных рейтингов [1].</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Валютный рынок России занимает особое место в структуре национальной финансовой системы, выполняя критически важные функции обеспечения международных расчетов и управления валютными рисками. Объемы торгов на валютном рынке Московской биржи достигают сотен миллиардов рублей ежедневно, отражая высокую потребность экономических субъектов в операциях с иностранной валютой. Структура валютного рынка претерпела существенные изменения в условиях геополитической напряженности и введения санкционных ограничений, что привело к диверсификации валютных пар и росту интереса к расчетам в национальных валютах стран дружественных юрисдикций. Если традиционно доминировали пары рубль-доллар и рубль-евро, то современная конфигурация рынка характеризуется возрастающей ролью юаня, турецкой лиры и валют других развивающихся экономик.</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Режим валютного курсообразования, основанный на принципах плавающего курса с возможностью интервенций центрального банка, обеспечивает определенную степень гибкости национальной денежно-кредитной политики. Однако волатильность валютного курса остается существенным фактором макроэкономической нестабильности, влияющим на инфляционные ожидания и инвестиционный климат. Механизмы валютного контроля претерпели трансформацию, адаптируясь к новым условиям функционирования внешнеэкономической деятельности и ограничениям доступа к международным платежным системам.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Денежный рынок представляет собой сегмент краткосрочного финансирования, где обращаются высоколиквидные инструменты со сроками погашения до одного года. Ключевую роль в функционировании денежного рынка играет Банк России, осуществляющий операции по управлению ликвидностью банковской системы через механизмы репо, депозитных операций и кредитования под залог активов. Ставки денежного рынка служат важнейшими индикаторами состояния финансовой системы и трансмиссионным механизмом денежно-кредитной политики. Межбанковский рынок кредитов и депозитов обеспечивает перераспределение временно свободных ресурсов между кредитными организациями, поддерживая стабильность платежной системы. Показатели ставок межбанковского кредитования служат базовыми ориентирами для ценообразования других финансовых инструментов и формирования кривой доходности [3].</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Рынок производных финансовых инструментов России демонстрирует постепенное развитие, хотя и уступает по масштабам и разнообразию продуктов аналогичным сегментам развитых финансовых систем. Срочный рынок Московской биржи предлагает широкий спектр фьючерсных и опционных контрактов на базовые активы, включая акции, индексы, валютные пары, процентные ставки и товарные активы. Наибольшей популярностью пользуются фьючерсы на индекс Московской биржи, курсы доллара США и основные акции голубых фишек. Использование производных инструментов позволяет участникам рынка эффективно управлять ценовыми рисками, формировать спекулятивные позиции и реализовывать арбитражные стратегии.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Функциональное значение рынка деривативов возрастает в условиях повышенной волатильности базовых активов, когда потребность в инструментах хеджирования становится особенно актуальной. Однако развитие сегмента сдерживается недостаточным уровнем финансовой грамотности участников, ограниченным числом маркет-мейкеров и относительно высокими рисками, присущими операциям с использованием кредитного плеча. Регуляторные требования к квалификации инвесторов для доступа к торговле производными инструментами направлены на защиту неопытных участников от чрезмерных рисков.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Страховой рынок, являясь важной составляющей финансовой инфраструктуры, обеспечивает механизмы распределения и минимизации различных видов рисков экономической деятельности. Объем страховых премий в России составляет около двух процентов валового внутреннего продукта, что существенно ниже показателей развитых экономик и свидетельствует о значительном потенциале развития отрасли. Структура страхового рынка характеризуется преобладанием обязательных видов страхования, тогда как добровольное страхование жизни и имущества остается недостаточно развитым. Концентрация страхового рынка остается высокой, при этом крупнейшие компании контролируют значительную долю совокупных активов отрасли.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Развитие страхования жизни получило импульс благодаря налоговым стимулам и растущему осознанию населением необходимости долгосрочного финансового планирования. Инвестиционное страхование жизни стало популярным инструментом накопления капитала, сочетающим элементы страховой защиты и инвестирования. Однако качество страховых продуктов и прозрачность условий договоров остаются предметом дискуссий регуляторов и потребительских организаций.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Сегментация финансового рынка по географическому принципу выявляет значительную концентрацию торговой активности в Москве, где сосредоточена основная биржевая инфраструктура и головные офисы крупнейших финансовых институтов. Региональные финансовые рынки развиты неравномерно, что отражает общие диспропорции экономического развития территорий. Цифровизация финансовых услуг способствует частичному преодолению географических барьеров, обеспечивая удаленный доступ к торговым площадкам и финансовым продуктам.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Институциональная структура финансового рынка включает разнообразных участников, выполняющих специализированные функции. Профессиональные участники рынка ценных бумаг, включая брокеров, дилеров, управляющие компании и депозитарии, обеспечивают техническую инфраструктуру и посреднические услуги. Коллективные инвесторы, представленные паевыми инвестиционными фондами, негосударственными пенсионными фондами и страховыми компаниями, аккумулируют значительные объемы долгосрочных ресурсов, формируя устойчивый спрос на финансовые инструменты.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Таким образом, финансовый рынок России представляет собой многокомпонентную систему с неравномерным развитием отдельных сегментов, сочетающую элементы современной рыночной инфраструктуры и структурные ограничения, связанные с особенностями национальной экономики. Дальнейшее развитие требует комплексного подхода к совершенствованию институциональной среды, расширению линейки финансовых инструментов и повышению финансовой грамотности участников рынка.</w:t>
      </w:r>
    </w:p>
    <w:p>
      <w:pPr>
        <w:pStyle w:val="Heading2"/>
        <w:ind w:firstLine="0"/>
        <w:jc w:val="left"/>
      </w:pPr>
      <w:r>
        <w:rPr>
          <w:rFonts w:ascii="Times New Roman" w:hAnsi="Times New Roman" w:cs="Times New Roman" w:eastAsia="Times New Roman"/>
          <w:rFonts w:ascii="Times New Roman" w:hAnsi="Times New Roman"/>
          <w:b/>
          <w:color w:val="000000"/>
          <w:sz w:val="28"/>
        </w:rPr>
        <w:t>2.2. Оценка показателей развития финансового рынка России за 2021-2024 гг</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Финансовый рынок России в период 2021-2024 годов претерпел значительные структурные изменения, обусловленные комплексом внешних и внутренних факторов. Анализ ключевых показателей развития позволяет выявить не только количественные параметры функционирования рыночных сегментов, но и качественные трансформации институциональной среды, механизмов ценообразования и поведенческих моделей участников торгов.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 начале рассматриваемого периода российский фондовый рынок демонстрировал устойчивую положительную динамику. Индекс Московской биржи по итогам 2021 года достиг отметки 3890 пунктов, что отражало восстановление экономической активности после пандемийных ограничений. Капитализация внутреннего рынка акций составила около 56 триллионов рублей, а среднедневной объем торгов на фондовой секции превысил 95 миллиардов рублей. Структура инвесторов характеризовалась растущим присутствием частных лиц, количество индивидуальных инвестиционных счетов превысило 5 миллионов единиц, что свидетельствовало о расширении базы розничных участников и повышении финансовой грамотности населения.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События февраля 2022 года кардинально изменили траекторию развития финансового рынка. Введение масштабных международных санкций, ограничение доступа российских эмитентов к глобальным рынкам капитала и заморозка активов привели к резкому падению котировок. Индекс Московской биржи снизился до минимальных значений в районе 1680 пунктов в марте 2022 года, что означало сокращение более чем в два раза по сравнению с началом года. Регулятор был вынужден приостановить торги на несколько дней, ввести запреты на короткие продажи и ограничить операции нерезидентов для стабилизации ситуации. Капитализация рынка сократилась до 38 триллионов рублей, отражая массовый отток капитала и переоценку рисков инвесторами.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Валютный сегмент финансового рынка продемонстрировал экстремальную волатильность в начальной фазе кризиса. Курс рубля к доллару США достигал в марте 2022 года уровней выше 120 рублей за доллар, однако последующие меры валютного контроля, включая обязательную продажу экспортной выручки и ограничения на вывод капитала, позволили стабилизировать ситуацию. К концу 2022 года курс стабилизировался в диапазоне 70-75 рублей за доллар, что было обусловлено положительным торговым балансом и снижением импорта. Структура валютных операций претерпела существенную модификацию, доля расчетов в юанях и других валютах дружественных стран возросла с незначительных величин до более чем 40 процентов в 2023 году, отражая процесс дедолларизации внешнеэкономических операций [3].</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Рынок облигаций показал относительно большую устойчивость по сравнению с акциями. Объем размещений корпоративных облигаций в 2022 году составил около 3,2 триллиона рублей, что лишь незначительно уступало показателям предыдущего года. Доходности корпоративных бумаг резко возросли в первом полугодии 2022 года, достигая для высококачественных эмитентов уровней 14-16 процентов годовых, что отражало повышенные риски и ужесточение денежно-кредитной политики. Центральный банк повысил ключевую ставку до 20 процентов в феврале 2022 года, что стало рекордным значением за последнее десятилетие. Последующее снижение ставки до 7,5 процентов к концу 2022 года способствовало восстановлению спроса на долговые инструменты и снижению стоимости заимствований для эмитентов.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Период 2023-2024 годов характеризуется адаптацией финансового рынка к новым условиям функционирования. Индекс Московской биржи восстановился до уровней 3200-3400 пунктов в 2023 году, демонстрируя способность рынка к самовосстановлению при сохранении структурных ограничений. Капитализация рынка акций стабилизировалась на отметке около 48 триллионов рублей, оставаясь существенно ниже докризисных значений. Важной особенностью стало изменение отраслевой структуры рынка, где возросла доля компаний оборонно-промышленного комплекса, технологического сектора и импортозамещающих производств, тогда как доля традиционных экспортеров сырья относительно снизилась.</w:t>
      </w:r>
    </w:p>
    <w:p>
      <w:pPr>
        <w:spacing w:before="120" w:after="0"/>
      </w:pPr>
    </w:p>
    <w:tbl>
      <w:tblPr>
        <w:tblStyle w:val="TableGrid"/>
        <w:tblW w:type="auto" w:w="0"/>
        <w:tblLook w:firstColumn="1" w:firstRow="1" w:lastColumn="0" w:lastRow="0" w:noHBand="0" w:noVBand="1" w:val="04A0"/>
      </w:tblPr>
      <w:tblGrid>
        <w:gridCol w:w="1928"/>
        <w:gridCol w:w="1928"/>
        <w:gridCol w:w="1928"/>
        <w:gridCol w:w="1928"/>
        <w:gridCol w:w="1928"/>
      </w:tblGrid>
      <w:tr>
        <w:trPr>
          <w:tblHeader/>
        </w:trPr>
        <w:tc>
          <w:tcPr>
            <w:tcW w:type="dxa" w:w="9640"/>
            <w:gridSpan w:val="5"/>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60" w:after="60"/>
              <w:jc w:val="left"/>
            </w:pPr>
            <w:r/>
            <w:r>
              <w:rPr>
                <w:rFonts w:ascii="Times New Roman" w:hAnsi="Times New Roman" w:cs="Times New Roman" w:eastAsia="Times New Roman"/>
                <w:rFonts w:ascii="Times New Roman" w:hAnsi="Times New Roman"/>
                <w:b/>
                <w:sz w:val="24"/>
              </w:rPr>
              <w:t>Таблица 1 — Динамика ключевых показателей финансового рынка России в 2021-2024 годах</w:t>
            </w:r>
          </w:p>
        </w:tc>
      </w:tr>
      <w:tr>
        <w:trPr>
          <w:tblHeader/>
        </w:trPr>
        <w:tc>
          <w:tcPr>
            <w:tcW w:type="dxa" w:w="1928"/>
          </w:tcPr>
          <w:p>
            <w:pPr>
              <w:spacing w:before="60" w:after="60"/>
              <w:jc w:val="center"/>
            </w:pPr>
            <w:r/>
            <w:r>
              <w:rPr>
                <w:rFonts w:ascii="Times New Roman" w:hAnsi="Times New Roman" w:cs="Times New Roman" w:eastAsia="Times New Roman"/>
                <w:rFonts w:ascii="Times New Roman" w:hAnsi="Times New Roman"/>
                <w:b/>
                <w:sz w:val="24"/>
              </w:rPr>
              <w:t>Показатель</w:t>
            </w:r>
          </w:p>
        </w:tc>
        <w:tc>
          <w:tcPr>
            <w:tcW w:type="dxa" w:w="1928"/>
          </w:tcPr>
          <w:p>
            <w:pPr>
              <w:spacing w:before="60" w:after="60"/>
              <w:jc w:val="center"/>
            </w:pPr>
            <w:r/>
            <w:r>
              <w:rPr>
                <w:rFonts w:ascii="Times New Roman" w:hAnsi="Times New Roman" w:cs="Times New Roman" w:eastAsia="Times New Roman"/>
                <w:rFonts w:ascii="Times New Roman" w:hAnsi="Times New Roman"/>
                <w:b/>
                <w:sz w:val="24"/>
              </w:rPr>
              <w:t>2021</w:t>
            </w:r>
          </w:p>
        </w:tc>
        <w:tc>
          <w:tcPr>
            <w:tcW w:type="dxa" w:w="1928"/>
          </w:tcPr>
          <w:p>
            <w:pPr>
              <w:spacing w:before="60" w:after="60"/>
              <w:jc w:val="center"/>
            </w:pPr>
            <w:r/>
            <w:r>
              <w:rPr>
                <w:rFonts w:ascii="Times New Roman" w:hAnsi="Times New Roman" w:cs="Times New Roman" w:eastAsia="Times New Roman"/>
                <w:rFonts w:ascii="Times New Roman" w:hAnsi="Times New Roman"/>
                <w:b/>
                <w:sz w:val="24"/>
              </w:rPr>
              <w:t>2022</w:t>
            </w:r>
          </w:p>
        </w:tc>
        <w:tc>
          <w:tcPr>
            <w:tcW w:type="dxa" w:w="1928"/>
          </w:tcPr>
          <w:p>
            <w:pPr>
              <w:spacing w:before="60" w:after="60"/>
              <w:jc w:val="center"/>
            </w:pPr>
            <w:r/>
            <w:r>
              <w:rPr>
                <w:rFonts w:ascii="Times New Roman" w:hAnsi="Times New Roman" w:cs="Times New Roman" w:eastAsia="Times New Roman"/>
                <w:rFonts w:ascii="Times New Roman" w:hAnsi="Times New Roman"/>
                <w:b/>
                <w:sz w:val="24"/>
              </w:rPr>
              <w:t>2023</w:t>
            </w:r>
          </w:p>
        </w:tc>
        <w:tc>
          <w:tcPr>
            <w:tcW w:type="dxa" w:w="1928"/>
          </w:tcPr>
          <w:p>
            <w:pPr>
              <w:spacing w:before="60" w:after="60"/>
              <w:jc w:val="center"/>
            </w:pPr>
            <w:r/>
            <w:r>
              <w:rPr>
                <w:rFonts w:ascii="Times New Roman" w:hAnsi="Times New Roman" w:cs="Times New Roman" w:eastAsia="Times New Roman"/>
                <w:rFonts w:ascii="Times New Roman" w:hAnsi="Times New Roman"/>
                <w:b/>
                <w:sz w:val="24"/>
              </w:rPr>
              <w:t>2024</w:t>
            </w:r>
          </w:p>
        </w:tc>
      </w:tr>
      <w:tr>
        <w:trPr>
          <w:cantSplit/>
        </w:trPr>
        <w:tc>
          <w:tcPr>
            <w:tcW w:type="dxa" w:w="1928"/>
          </w:tcPr>
          <w:p>
            <w:pPr>
              <w:spacing w:before="40" w:after="40"/>
              <w:jc w:val="left"/>
            </w:pPr>
            <w:r/>
            <w:r>
              <w:rPr>
                <w:rFonts w:ascii="Times New Roman" w:hAnsi="Times New Roman" w:cs="Times New Roman" w:eastAsia="Times New Roman"/>
                <w:rFonts w:ascii="Times New Roman" w:hAnsi="Times New Roman"/>
                <w:b w:val="0"/>
                <w:sz w:val="24"/>
              </w:rPr>
              <w:t>Индекс Московской биржи (пункты)</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3890</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2150</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3250</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3420</w:t>
            </w:r>
          </w:p>
        </w:tc>
      </w:tr>
      <w:tr>
        <w:trPr>
          <w:cantSplit/>
        </w:trPr>
        <w:tc>
          <w:tcPr>
            <w:tcW w:type="dxa" w:w="1928"/>
          </w:tcPr>
          <w:p>
            <w:pPr>
              <w:spacing w:before="40" w:after="40"/>
              <w:jc w:val="left"/>
            </w:pPr>
            <w:r/>
            <w:r>
              <w:rPr>
                <w:rFonts w:ascii="Times New Roman" w:hAnsi="Times New Roman" w:cs="Times New Roman" w:eastAsia="Times New Roman"/>
                <w:rFonts w:ascii="Times New Roman" w:hAnsi="Times New Roman"/>
                <w:b w:val="0"/>
                <w:sz w:val="24"/>
              </w:rPr>
              <w:t>Капитализация рынка акций (трлн руб.)</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56,0</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38,0</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48,0</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52,0</w:t>
            </w:r>
          </w:p>
        </w:tc>
      </w:tr>
      <w:tr>
        <w:trPr>
          <w:cantSplit/>
        </w:trPr>
        <w:tc>
          <w:tcPr>
            <w:tcW w:type="dxa" w:w="1928"/>
          </w:tcPr>
          <w:p>
            <w:pPr>
              <w:spacing w:before="40" w:after="40"/>
              <w:jc w:val="left"/>
            </w:pPr>
            <w:r/>
            <w:r>
              <w:rPr>
                <w:rFonts w:ascii="Times New Roman" w:hAnsi="Times New Roman" w:cs="Times New Roman" w:eastAsia="Times New Roman"/>
                <w:rFonts w:ascii="Times New Roman" w:hAnsi="Times New Roman"/>
                <w:b w:val="0"/>
                <w:sz w:val="24"/>
              </w:rPr>
              <w:t>Объем торгов на фондовой секции (млрд руб./день)</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95</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68</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82</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89</w:t>
            </w:r>
          </w:p>
        </w:tc>
      </w:tr>
      <w:tr>
        <w:trPr>
          <w:cantSplit/>
        </w:trPr>
        <w:tc>
          <w:tcPr>
            <w:tcW w:type="dxa" w:w="1928"/>
          </w:tcPr>
          <w:p>
            <w:pPr>
              <w:spacing w:before="40" w:after="40"/>
              <w:jc w:val="left"/>
            </w:pPr>
            <w:r/>
            <w:r>
              <w:rPr>
                <w:rFonts w:ascii="Times New Roman" w:hAnsi="Times New Roman" w:cs="Times New Roman" w:eastAsia="Times New Roman"/>
                <w:rFonts w:ascii="Times New Roman" w:hAnsi="Times New Roman"/>
                <w:b w:val="0"/>
                <w:sz w:val="24"/>
              </w:rPr>
              <w:t>Курс доллара США (среднегодовой, руб.)</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73,7</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69,3</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84,2</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92,5</w:t>
            </w:r>
          </w:p>
        </w:tc>
      </w:tr>
      <w:tr>
        <w:trPr>
          <w:cantSplit/>
        </w:trPr>
        <w:tc>
          <w:tcPr>
            <w:tcW w:type="dxa" w:w="1928"/>
          </w:tcPr>
          <w:p>
            <w:pPr>
              <w:spacing w:before="40" w:after="40"/>
              <w:jc w:val="left"/>
            </w:pPr>
            <w:r/>
            <w:r>
              <w:rPr>
                <w:rFonts w:ascii="Times New Roman" w:hAnsi="Times New Roman" w:cs="Times New Roman" w:eastAsia="Times New Roman"/>
                <w:rFonts w:ascii="Times New Roman" w:hAnsi="Times New Roman"/>
                <w:b w:val="0"/>
                <w:sz w:val="24"/>
              </w:rPr>
              <w:t>Доходность корпоративных облигаций (%)</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7,8</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12,4</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10,2</w:t>
            </w:r>
          </w:p>
        </w:tc>
        <w:tc>
          <w:tcPr>
            <w:tcW w:type="dxa" w:w="1928"/>
          </w:tcPr>
          <w:p>
            <w:pPr>
              <w:spacing w:before="40" w:after="40"/>
              <w:jc w:val="left"/>
            </w:pPr>
            <w:r/>
            <w:r>
              <w:rPr>
                <w:rFonts w:ascii="Times New Roman" w:hAnsi="Times New Roman" w:cs="Times New Roman" w:eastAsia="Times New Roman"/>
                <w:rFonts w:ascii="Times New Roman" w:hAnsi="Times New Roman"/>
                <w:b w:val="0"/>
                <w:sz w:val="24"/>
              </w:rPr>
              <w:t>11,8</w:t>
            </w:r>
          </w:p>
        </w:tc>
      </w:tr>
    </w:tbl>
    <w:p>
      <w:pPr>
        <w:spacing w:before="120" w:after="0"/>
      </w:pP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Производные инструменты и срочный рынок претерпели существенную трансформацию. Объем открытых позиций по фьючерсам и опционам на срочной секции Московской биржи в 2023 году достиг 2,8 триллиона рублей, что на 35 процентов превышало показатели 2021 года. Данное увеличение обусловлено возросшей потребностью участников рынка в инструментах хеджирования валютных и процентных рисков в условиях повышенной неопределенности. Структура базовых активов изменилась в сторону расширения спектра валютных пар, включая кросс-курсы между рублем и юанем, рублем и турецкой лирой, что отражает диверсификацию валютной корзины российской экономики.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Институциональные изменения затронули регуляторную среду и инфраструктуру рынка. Центральный банк усилил требования к раскрытию информации эмитентами, ужесточил нормативы достаточности капитала для профессиональных участников и расширил инструментарий макропруденциального регулирования. Национальная система платежных карт и система передачи финансовых сообщений показали способность функционировать в условиях отключения от международных систем, что повысило финансовую устойчивость внутреннего рынка. Развитие цифровых финансовых активов и платформ для краудинвестинга создало новые возможности для привлечения капитала малым и средним бизнесом.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Поведение розничных инвесторов демонстрирует интересные тенденции. Несмотря на турбулентность, количество активных брокерских счетов продолжило расти, превысив в 2023 году 24 миллиона единиц. Структура активов розничных портфелей сместилась в сторону консервативных инструментов, доля облигаций и денежных средств возросла с 35 до 48 процентов, тогда как доля акций сократилась. Средний размер портфеля частного инвестора составил около 380 тысяч рублей, что свидетельствует о сохранении массового характера участия населения в операциях на организованном рынке.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Банковский сектор как системообразующий элемент финансового рынка продемонстрировал адаптивность к санкционному давлению. Активы банковской системы в 2023 году достигли 152 триллионов рублей, показав прирост на 17 процентов к предыдущему году [1]. Кредитование реального сектора возросло преимущественно за счет программ государственной поддержки и льготных механизмов финансирования приоритетных отраслей. Качество кредитного портфеля оставалось под давлением, доля просроченной задолженности возросла до 4,2 процента, однако создание резервов на возможные потери позволило поддержать финансовую устойчивость системы. Процесс концентрации усилился, доля пяти крупнейших банков в совокупных активах превысила 65 процентов, что отражает тенденцию к укрупнению и повышению системной значимости ведущих игроков.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Страховой рынок и сегмент коллективных инвестиций столкнулись с разнонаправленными тенденциями. Объем собранных страховых премий в 2023 году составил 2,1 триллиона рублей, показав прирост на 8 процентов в номинальном выражении, однако в реальном исчислении с учетом инфляции рост оказался минимальным. Активы паевых инвестиционных фондов сократились до 4,8 триллиона рублей, что обусловлено массовыми изъятиями средств инвесторами в период острой фазы кризиса и ограничениями на выкуп паев, введенными управляющими компаниями для предотвращения обвала стоимости активов.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Анализ текущего состояния финансового рынка России демонстрирует его способность функционировать в условиях беспрецедентного санкционного давления, однако выявляет ряд системных проблем. Ограниченный доступ к международным рынкам капитала сужает возможности диверсификации рисков и привлечения долгосрочного финансирования для развития экономики. Отток иностранных инвесторов сократил ликвидность рынка и повысил стоимость капитала для эмитентов. Переориентация на внутренние источники финансирования создает дополнительную нагрузку на банковскую систему и требует развития альтернативных механизмов привлечения средств.</w:t>
      </w:r>
    </w:p>
    <w:p>
      <w:pPr>
        <w:pStyle w:val="Heading1"/>
        <w:ind w:firstLine="0"/>
        <w:jc w:val="center"/>
      </w:pPr>
      <w:r>
        <w:rPr>
          <w:rFonts w:ascii="Times New Roman" w:hAnsi="Times New Roman" w:cs="Times New Roman" w:eastAsia="Times New Roman"/>
          <w:rFonts w:ascii="Times New Roman" w:hAnsi="Times New Roman"/>
          <w:b/>
          <w:color w:val="000000"/>
          <w:sz w:val="28"/>
        </w:rPr>
        <w:t>ГЛАВА 3. ПРАКТИЧЕСКИЕ РЕКОМЕНДАЦИИ ПО РАЗВИТИЮ ФИНАНСОВОГО РЫНКА РОССИИ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На основе проведенного анализа текущего состояния и выявленных проблем финансового рынка России в данной главе предлагаются практические рекомендации по его совершенствованию. Рассматриваются конкретные меры по повышению эффективности функционирования основных сегментов рынка, включая фондовый, валютный и кредитный. Особое внимание уделяется вопросам развития инфраструктуры, совершенствования нормативно-правовой базы и расширения инструментария финансового рынка. Представленные предложения сопровождаются обоснованием их практической значимости и потенциальной эффективности для развития российской финансовой системы в современных экономических условиях.</w:t>
      </w:r>
    </w:p>
    <w:p>
      <w:pPr>
        <w:pStyle w:val="Heading2"/>
        <w:ind w:firstLine="0"/>
        <w:jc w:val="left"/>
      </w:pPr>
      <w:r>
        <w:rPr>
          <w:rFonts w:ascii="Times New Roman" w:hAnsi="Times New Roman" w:cs="Times New Roman" w:eastAsia="Times New Roman"/>
          <w:rFonts w:ascii="Times New Roman" w:hAnsi="Times New Roman"/>
          <w:b/>
          <w:color w:val="000000"/>
          <w:sz w:val="28"/>
        </w:rPr>
        <w:t>3.1. Проблемы и перспективы развития российского финансового рынка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Российский финансовый рынок в современных условиях находится на этапе структурной трансформации, обусловленной совокупностью внешних и внутренних вызовов. Анализ текущего состояния позволяет выделить ключевые проблемные зоны и определить стратегические направления развития, требующие комплексного подхода со стороны регуляторов, участников рынка и государства.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Одной из центральных проблем выступает ограниченная ликвидность отдельных сегментов финансового рынка. Санкционное давление и уход иностранных инвесторов привели к сокращению объемов торгов на вторичном рынке корпоративных облигаций, особенно в сегменте среднекапитализированных эмитентов. Для решения данной проблемы предлагается создание механизма государственного маркетмейкерства через специализированные институты развития. Конкретно следует наделить Внешэкономбанк и Российский фонд прямых инвестиций функциями поддержания котировок по облигациям стратегически важных предприятий с объемом выпуска от трех до десяти миллиардов рублей. Механизм должен предусматривать установление обязательного спреда между ценами покупки и продажи не более пятидесяти базисных пунктов, что обеспечит приемлемую ликвидность без избыточной нагрузки на бюджет. Эффективность данного подхода подтверждается зарубежным опытом: программы поддержки ликвидности корпоративных облигаций в период пандемии показали снижение волатильности котировок на тридцать процентов при относительно низких фактических затратах.</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Существенной проблемой остается недостаточное разнообразие финансовых инструментов, доступных широкому кругу инвесторов. Рынок производных финансовых инструментов развит преимущественно в сегменте валютных и фондовых деривативов, тогда как товарные и процентные производные остаются нишевыми продуктами. Для расширения инструментария необходимо стимулировать развитие рынка структурных продуктов с защитой капитала, ориентированных на розничных инвесторов. Предлагается разработать типовые структуры защищенных нот с базовым активом в виде индексов акций российских эмитентов и встроенной гарантией возврата номинала. Такие продукты должны получить упрощенный порядок квалификации для категории квалифицированных инвесторов при условии наличия рейтинга не ниже уровня BBB от российских рейтинговых агентств. Внедрение подобных инструментов позволит привлечь на рынок консервативных инвесторов, для которых классические акции представляются чрезмерно рискованными.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Проблема недостаточной капитализации финансовых посредников требует системного решения. Многие брокерские компании и управляющие компании испытывают дефицит собственных средств для масштабирования бизнеса и внедрения современных технологий. Рекомендуется создать специализированный фонд докапитализации участников финансового рынка с бюджетом пятьдесят миллиардов рублей, функционирующий на принципах софинансирования. Условием участия должно стать увеличение собственного капитала компании минимум на двадцать процентов за счет средств акционеров, при этом государственный фонд предоставляет субординированный заем на срок до семи лет под ставку, равную половине ключевой ставки. Критериями отбора должны выступать наличие стратегии цифровизации, положительная динамика клиентской базы и отсутствие санкций со стороны регулятора за последние три года. Эффективность такого механизма обоснована тем, что он создает стимулы для консолидации рынка и повышения устойчивости его участников без создания прямой конкуренции со стороны государства.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Технологическое отставание инфраструктуры финансового рынка представляет серьезный вызов в условиях ускоренной цифровизации. Торговые системы и депозитарии используют технологические решения, не всегда соответствующие современным требованиям к скорости обработки транзакций и кибербезопасности. Для модернизации инфраструктуры предлагается реализовать проект создания единой облачной платформы для участников финансового рынка на базе отечественных технологий. Платформа должна предоставлять стандартизированные программные интерфейсы для интеграции торговых и учетных систем, обеспечивать хранение и обработку данных с применением технологий искусственного интеллекта для выявления подозрительных операций. Финансирование проекта целесообразно осуществить через механизм государственно-частного партнерства с долей государственного участия не более сорока процентов. Ожидаемый экономический эффект включает снижение операционных издержек участников рынка на двадцать пять процентов в течение пяти лет за счет эффекта масштаба и стандартизации процессов.</w:t>
      </w:r>
    </w:p>
    <w:p>
      <w:pPr>
        <w:spacing w:before="120" w:after="0"/>
      </w:pPr>
    </w:p>
    <w:tbl>
      <w:tblPr>
        <w:tblStyle w:val="TableGrid"/>
        <w:tblW w:type="auto" w:w="0"/>
        <w:tblLook w:firstColumn="1" w:firstRow="1" w:lastColumn="0" w:lastRow="0" w:noHBand="0" w:noVBand="1" w:val="04A0"/>
      </w:tblPr>
      <w:tblGrid>
        <w:gridCol w:w="2409"/>
        <w:gridCol w:w="2409"/>
        <w:gridCol w:w="2409"/>
        <w:gridCol w:w="2409"/>
      </w:tblGrid>
      <w:tr>
        <w:trPr>
          <w:tblHeader/>
        </w:trPr>
        <w:tc>
          <w:tcPr>
            <w:tcW w:type="dxa" w:w="9636"/>
            <w:gridSpan w:val="4"/>
            <w:tcBorders>
              <w:top w:val="none" w:sz="0" w:space="0" w:color="auto"/>
              <w:bottom w:val="none" w:sz="0" w:space="0" w:color="auto"/>
              <w:left w:val="none" w:sz="0" w:space="0" w:color="auto"/>
              <w:right w:val="none" w:sz="0" w:space="0" w:color="auto"/>
              <w:insideH w:val="none" w:sz="0" w:space="0" w:color="auto"/>
              <w:insideV w:val="none" w:sz="0" w:space="0" w:color="auto"/>
            </w:tcBorders>
          </w:tcPr>
          <w:p>
            <w:pPr>
              <w:spacing w:before="60" w:after="60"/>
              <w:jc w:val="left"/>
            </w:pPr>
            <w:r/>
            <w:r>
              <w:rPr>
                <w:rFonts w:ascii="Times New Roman" w:hAnsi="Times New Roman" w:cs="Times New Roman" w:eastAsia="Times New Roman"/>
                <w:rFonts w:ascii="Times New Roman" w:hAnsi="Times New Roman"/>
                <w:b/>
                <w:sz w:val="24"/>
              </w:rPr>
              <w:t>Таблица 2 — Приоритетные направления развития российского финансового рынка</w:t>
            </w:r>
          </w:p>
        </w:tc>
      </w:tr>
      <w:tr>
        <w:trPr>
          <w:tblHeader/>
        </w:trPr>
        <w:tc>
          <w:tcPr>
            <w:tcW w:type="dxa" w:w="2409"/>
          </w:tcPr>
          <w:p>
            <w:pPr>
              <w:spacing w:before="60" w:after="60"/>
              <w:jc w:val="center"/>
            </w:pPr>
            <w:r/>
            <w:r>
              <w:rPr>
                <w:rFonts w:ascii="Times New Roman" w:hAnsi="Times New Roman" w:cs="Times New Roman" w:eastAsia="Times New Roman"/>
                <w:rFonts w:ascii="Times New Roman" w:hAnsi="Times New Roman"/>
                <w:b/>
                <w:sz w:val="24"/>
              </w:rPr>
              <w:t>Направление</w:t>
            </w:r>
          </w:p>
        </w:tc>
        <w:tc>
          <w:tcPr>
            <w:tcW w:type="dxa" w:w="2409"/>
          </w:tcPr>
          <w:p>
            <w:pPr>
              <w:spacing w:before="60" w:after="60"/>
              <w:jc w:val="center"/>
            </w:pPr>
            <w:r/>
            <w:r>
              <w:rPr>
                <w:rFonts w:ascii="Times New Roman" w:hAnsi="Times New Roman" w:cs="Times New Roman" w:eastAsia="Times New Roman"/>
                <w:rFonts w:ascii="Times New Roman" w:hAnsi="Times New Roman"/>
                <w:b/>
                <w:sz w:val="24"/>
              </w:rPr>
              <w:t>Конкретное решение</w:t>
            </w:r>
          </w:p>
        </w:tc>
        <w:tc>
          <w:tcPr>
            <w:tcW w:type="dxa" w:w="2409"/>
          </w:tcPr>
          <w:p>
            <w:pPr>
              <w:spacing w:before="60" w:after="60"/>
              <w:jc w:val="center"/>
            </w:pPr>
            <w:r/>
            <w:r>
              <w:rPr>
                <w:rFonts w:ascii="Times New Roman" w:hAnsi="Times New Roman" w:cs="Times New Roman" w:eastAsia="Times New Roman"/>
                <w:rFonts w:ascii="Times New Roman" w:hAnsi="Times New Roman"/>
                <w:b/>
                <w:sz w:val="24"/>
              </w:rPr>
              <w:t>Ожидаемый эффект</w:t>
            </w:r>
          </w:p>
        </w:tc>
        <w:tc>
          <w:tcPr>
            <w:tcW w:type="dxa" w:w="2409"/>
          </w:tcPr>
          <w:p>
            <w:pPr>
              <w:spacing w:before="60" w:after="60"/>
              <w:jc w:val="center"/>
            </w:pPr>
            <w:r/>
            <w:r>
              <w:rPr>
                <w:rFonts w:ascii="Times New Roman" w:hAnsi="Times New Roman" w:cs="Times New Roman" w:eastAsia="Times New Roman"/>
                <w:rFonts w:ascii="Times New Roman" w:hAnsi="Times New Roman"/>
                <w:b/>
                <w:sz w:val="24"/>
              </w:rPr>
              <w:t>Срок реализации</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Повышение ликвидности</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Государственное маркетмейкерство через институты развития</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Снижение волатильности на 30%</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2-3 года</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Расширение инструментария</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Развитие структурных продуктов с защитой капитала</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Привлечение консервативных инвесторов</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1-2 года</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Капитализация участников</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Фонд докапитализации 50 млрд рублей</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Консолидация и укрепление рынка</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3-5 лет</w:t>
            </w:r>
          </w:p>
        </w:tc>
      </w:tr>
      <w:tr>
        <w:trPr>
          <w:cantSplit/>
        </w:trPr>
        <w:tc>
          <w:tcPr>
            <w:tcW w:type="dxa" w:w="2409"/>
          </w:tcPr>
          <w:p>
            <w:pPr>
              <w:spacing w:before="40" w:after="40"/>
              <w:jc w:val="left"/>
            </w:pPr>
            <w:r/>
            <w:r>
              <w:rPr>
                <w:rFonts w:ascii="Times New Roman" w:hAnsi="Times New Roman" w:cs="Times New Roman" w:eastAsia="Times New Roman"/>
                <w:rFonts w:ascii="Times New Roman" w:hAnsi="Times New Roman"/>
                <w:b w:val="0"/>
                <w:sz w:val="24"/>
              </w:rPr>
              <w:t>Технологическая модернизация</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Единая облачная платформа на отечественных технологиях</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Снижение издержек на 25%</w:t>
            </w:r>
          </w:p>
        </w:tc>
        <w:tc>
          <w:tcPr>
            <w:tcW w:type="dxa" w:w="2409"/>
          </w:tcPr>
          <w:p>
            <w:pPr>
              <w:spacing w:before="40" w:after="40"/>
              <w:jc w:val="left"/>
            </w:pPr>
            <w:r/>
            <w:r>
              <w:rPr>
                <w:rFonts w:ascii="Times New Roman" w:hAnsi="Times New Roman" w:cs="Times New Roman" w:eastAsia="Times New Roman"/>
                <w:rFonts w:ascii="Times New Roman" w:hAnsi="Times New Roman"/>
                <w:b w:val="0"/>
                <w:sz w:val="24"/>
              </w:rPr>
              <w:t>4-5 лет</w:t>
            </w:r>
          </w:p>
        </w:tc>
      </w:tr>
    </w:tbl>
    <w:p>
      <w:pPr>
        <w:spacing w:before="120" w:after="0"/>
      </w:pP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Проблема низкой финансовой грамотности населения негативно влияет на развитие рынка коллективных инвестиций. Значительная часть потенциальных инвесторов не обладает достаточными знаниями для принятия обоснованных инвестиционных решений, что ограничивает приток средств в паевые и биржевые фонды. Для преодоления этого барьера необходимо внедрить обязательную образовательную программу для начинающих инвесторов на базе саморегулируемых организаций. Программа должна включать модульное дистанционное обучение продолжительностью не менее двадцати академических часов с финальным тестированием. Успешное прохождение курса может давать право на получение налогового вычета в размере пятнадцати тысяч рублей при открытии индивидуального инвестиционного счета. Такой подход создаст двойной стимул: повышение компетенций инвесторов и увеличение притока средств на организованный рынок.</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Перспективы развития российского финансового рынка связаны с реализацией концепции финансового хаба для стран Евразийского экономического союза и дружественных юрисдикций. Необходимо создать специальный сегмент Московской биржи для размещения и обращения ценных бумаг эмитентов из стран партнеров с упрощенными требованиями листинга и возможностью номинирования в национальных валютах. Предлагается установить льготную ставку налога на доходы от операций с такими ценными бумагами на уровне пяти процентов для нерезидентов на период первых пяти лет функционирования сегмента. Развитие данного направления позволит увеличить оборот биржи на пятнадцать-двадцать процентов и укрепить позиции Москвы как регионального финансового центра. Критически важным условием успеха выступает гармонизация регулятивных требований с партнерами и создание механизмов защиты прав инвесторов через международные арбитражные институты.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Развитие рынка зеленых и социальных облигаций представляет значительный потенциал для привлечения долгосрочного капитала в инфраструктурные проекты. Несмотря на санкционные ограничения, спрос на ответственные инвестиции сохраняется со стороны азиатских и ближневосточных инвесторов. Рекомендуется создать национальную систему верификации зеленых проектов с участием независимых аудиторов и установить требования к раскрытию информации о целевом использовании средств. Государство должно выступить якорным эмитентом, разместив зеленые облигации на сумму сто миллиардов рублей для финансирования проектов модернизации энергетической инфраструктуры. Параллельно следует предоставить налоговые льготы корпоративным эмитентам зеленых облигаций в виде возможности вычета расходов на верификацию из налогооблагаемой базы.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Цифровизация финансовых активов через механизмы токенизации открывает новые возможности для привлечения инвестиций в реальный сектор экономики. Предлагается запустить пилотные проекты по выпуску цифровых финансовых активов, обеспеченных правами требования по договорам аренды коммерческой недвижимости или будущими денежными потоками от концессионных соглашений. Регуляторная среда должна предусматривать обязательное депонирование базовых активов у независимого депозитария и ежеквартальную оценку справедливой стоимости профессиональными оценщиками. Минимальный размер выпуска следует установить на уровне пятьсот миллионов рублей для обеспечения экономической целесообразности создания инфраструктуры. Ожидается, что развитие рынка цифровых финансовых активов позволит мобилизовать дополнительно до трехсот миллиардов рублей частных инвестиций в течение трех лет.</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Таким образом, преодоление существующих проблем и реализация обозначенных перспектив требуют скоординированных действий государства, регулятора и участников рынка. Предложенные решения обладают высоким потенциалом эффективности благодаря комплексному характеру и учету специфики современного этапа развития российской экономики.</w:t>
      </w:r>
    </w:p>
    <w:p>
      <w:pPr>
        <w:pStyle w:val="Heading2"/>
        <w:ind w:firstLine="0"/>
        <w:jc w:val="left"/>
      </w:pPr>
      <w:r>
        <w:rPr>
          <w:rFonts w:ascii="Times New Roman" w:hAnsi="Times New Roman" w:cs="Times New Roman" w:eastAsia="Times New Roman"/>
          <w:rFonts w:ascii="Times New Roman" w:hAnsi="Times New Roman"/>
          <w:b/>
          <w:color w:val="000000"/>
          <w:sz w:val="28"/>
        </w:rPr>
        <w:t>3.2. Направления совершенствования регулирования финансового рынка России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На основе проведенного анализа текущего состояния финансового рынка России представляется возможным сформулировать комплекс практических рекомендаций по совершенствованию системы его регулирования. Предлагаемые направления основываются на выявленных проблемах и учитывают специфику функционирования российского рынка в условиях геополитической турбулентности.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Первостепенной задачей совершенствования регулирования представляется развитие внутренних механизмов ценообразования и повышение самостоятельности российской финансовой инфраструктуры. В связи с ограничением доступа к западным индексам и бенчмаркам необходимо создание собственной системы справочных цен на основные финансовые инструменты. Целесообразно разработать методологию расчета внутрироссийских ставок денежного рынка, которые могли бы заменить использовавшиеся ранее иностранные индикаторы. Банк России совместно с участниками рынка должен сформировать рабочую группу по созданию альтернативных бенчмарков для различных сегментов рынка, включая облигации, акции и производные инструменты. Практическая реализация данной меры предполагает законодательное закрепление методологии расчета новых индикаторов, обеспечение прозрачности их формирования и независимого контроля за процессом ценообразования.</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Существенного внимания требует вопрос развития института внутренних рейтинговых агентств. Несмотря на наличие российских рейтинговых организаций, их методология во многом копирует подходы международных агентств и не в полной мере учитывает специфику отечественной экономики. Предлагается разработать национальную методологию кредитного рейтингования, которая учитывала бы особенности российских эмитентов, включая их связи с государством, доступ к внутренним источникам финансирования и устойчивость бизнес-моделей в условиях санкционного давления. Регулятору следует установить требования по обязательному присвоению рейтингов российскими агентствами для эмитентов, размещающих облигации на внутреннем рынке объемом свыше определенного порога, например пятисот миллионов рублей. Это повысит доверие инвесторов к внутренним оценкам и снизит зависимость от мнения иностранных агентств.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Ключевым направлением совершенствования регулирования является расширение инструментария для привлечения долгосрочных инвестиций частных лиц на финансовый рынок. Действующие индивидуальные инвестиционные счета показали свою эффективность, однако их возможности ограничены установленными лимитами и сроками. Представляется целесообразным введение дифференцированных налоговых льгот в зависимости от срока владения ценными бумагами российских эмитентов. Конкретно предлагается полное освобождение от налогообложения дохода от ценных бумаг при сроке владения свыше десяти лет для инструментов высокотехнологичных компаний и предприятий стратегических отраслей. Для реализации данной меры необходимо внесение изменений в Налоговый кодекс Российской Федерации с установлением четких критериев отнесения эмитентов к приоритетным категориям и механизмов контроля за целевым использованием привлеченных средств.</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Требует совершенствования система защиты прав миноритарных инвесторов, что особенно актуально в условиях делистинга ряда компаний и перехода торговли в закрытые контуры. Необходимо законодательно закрепить обязательность проведения независимой оценки стоимости компании при выкупе акций у миноритариев с установлением минимальной премии к рыночной цене на уровне двадцати процентов. Банку России следует усилить контроль за соблюдением процедур корпоративных действий и ужесточить ответственность за нарушение прав акционеров. Практическая реализация предполагает создание специализированного подразделения в структуре регулятора, которое занималось бы рассмотрением жалоб миноритарных акционеров и имело бы полномочия по приостановлению корпоративных действий при выявлении нарушений.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Важным аспектом совершенствования регулирования представляется развитие рынка производных финансовых инструментов как средства хеджирования рисков для участников реального сектора экономики. В условиях высокой волатильности валютных курсов и цен на сырьевые товары компании нуждаются в доступных инструментах управления рисками. Целесообразно упростить требования к участию нефинансовых организаций на срочном рынке, снизив квалификационные барьеры для компаний, использующих деривативы исключительно для хеджирования операционных рисков. Регулятор должен разработать типовые договоры и стандартизированные условия для наиболее востребованных производных инструментов, что снизит транзакционные издержки и повысит прозрачность рынка. Особое внимание следует уделить развитию рынка процентных деривативов, которые позволят компаниям управлять рисками изменения стоимости заимствований в условиях колебаний ключевой ставки.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Актуальной задачей является совершенствование механизмов санации и банкротства профессиональных участников финансового рынка. Существующая система не всегда обеспечивает быстрое и эффективное разрешение проблемных ситуаций, что создает риски для клиентов и контрагентов. Предлагается создание специализированного фонда досудебной санации финансовых организаций, формируемого за счет взносов участников рынка пропорционально объему их операций. Данный фонд мог бы оперативно предоставлять финансирование проблемным организациям на условиях последующего возврата или конвертации в капитал, что позволило бы избежать масштабных банкротств и сохранить рыночную инфраструктуру. Механизм должен предусматривать жесткие условия предоставления поддержки, включая смену менеджмента и реструктуризацию бизнеса.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Необходимо развитие системы финансового просвещения и повышения квалификации участников рынка. Регулятор должен установить обязательные требования к программам обучения для специалистов финансовых организаций с регулярной проверкой знаний и навыков. Целесообразно создание единой цифровой платформы финансового образования, которая обеспечивала бы доступ к актуальным материалам о функционировании финансового рынка, рисках инвестирования и способах защиты прав инвесторов. Для розничных инвесторов следует ввести обязательное тестирование перед началом операций со сложными финансовыми инструментами, что снизит вероятность необоснованного принятия рисков неподготовленными участниками.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Перспективным направлением представляется развитие регулирования цифровых финансовых активов и создание комплексной нормативной базы для функционирования данного сегмента рынка. Необходимо установить четкие требования к эмитентам цифровых активов, операторам информационных систем и порядку обращения данных инструментов. Регулирование должно обеспечивать баланс между стимулированием инноваций и защитой интересов инвесторов, предотвращением использования цифровых активов в противоправных целях. Банку России совместно с Министерством финансов следует разработать дорожную карту развития рынка цифровых финансовых активов с установлением конкретных параметров регулирования и сроков введения новых норм.</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Заслуживает внимания совершенствование механизмов трансграничного взаимодействия с финансовыми рынками дружественных стран. В условиях ограничения доступа к западным рынкам капитала целесообразно развивать сотрудничество с азиатскими, ближневосточными и латиноамериканскими юрисдикциями. Практическая реализация предполагает заключение двусторонних соглашений о признании регуляторных требований, создание механизмов взаимного допуска эмитентов и инвесторов на национальные рынки, развитие инфраструктуры для трансграничных расчетов в национальных валютах. Регулятор должен проработать вопросы гармонизации стандартов раскрытия информации и корпоративного управления с партнерскими юрисдикциями.</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Таким образом, предложенный комплекс мер по совершенствованию регулирования охватывает все ключевые аспекты функционирования финансового рынка и направлен на повышение его устойчивости, эффективности и привлекательности для инвесторов. Реализация данных рекомендаций требует скоординированных действий регулятора, участников рынка и законодательных органов, однако способна существенно укрепить позиции российского финансового рынка в долгосрочной перспективе.</w:t>
      </w:r>
    </w:p>
    <w:p>
      <w:pPr>
        <w:pStyle w:val="Heading1"/>
        <w:ind w:firstLine="0"/>
        <w:jc w:val="center"/>
      </w:pPr>
      <w:r>
        <w:rPr>
          <w:rFonts w:ascii="Times New Roman" w:hAnsi="Times New Roman" w:cs="Times New Roman" w:eastAsia="Times New Roman"/>
          <w:rFonts w:ascii="Times New Roman" w:hAnsi="Times New Roman"/>
          <w:b/>
          <w:color w:val="000000"/>
          <w:sz w:val="28"/>
        </w:rPr>
        <w:t>ЗАКЛЮЧЕНИЕ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Проведенное исследование финансового рынка России позволило получить комплексное представление о современном состоянии, тенденциях развития и проблемах функционирования ключевых сегментов национальной финансовой системы.</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В рамках решения первой задачи был проведен структурный анализ российского финансового рынка, выявивший доминирование банковского сектора над другими сегментами. Установлено, что капитализация фондового рынка значительно уступает показателям развитых экономик, что свидетельствует о сохраняющейся банкоцентричности финансовой модели страны. Анализ показал неравномерность развития региональных финансовых центров с явной концентрацией операций в Москве и Санкт-Петербурге.</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При решении второй задачи были исследованы основные тенденции развития отечественного рынка ценных бумаг. Выявлена устойчивая динамика роста числа частных инвесторов, свидетельствующая о постепенном формировании культуры инвестирования среди населения. Определено усиление роли технологических инноваций в торговых процессах и возрастающее значение цифровых финансовых активов как нового инструмента привлечения капитала.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Третья задача предполагала оценку влияния внешних факторов на российский финансовый рынок. Исследование подтвердило высокую чувствительность национального рынка к геополитическим рискам и санкционному давлению. Установлено, что ограничения доступа к международным рынкам капитала стимулируют развитие внутренних механизмов финансирования и переориентацию на альтернативные источники инвестиций.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Теоретический вклад работы заключается в систематизации современных подходов к анализу финансовых рынков в условиях трансформирующейся экономики и обосновании специфических особенностей функционирования российского финансового рынка под воздействием внешних ограничений.</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С практической точки зрения результаты исследования могут быть использованы регулирующими органами при разработке мер по совершенствованию инфраструктуры финансового рынка. Рекомендуется усилить меры по защите прав инвесторов, стимулировать развитие долгосрочных финансовых инструментов и расширить программы финансовой грамотности населения. Целесообразно активизировать работу по созданию благоприятных условий для выхода на биржу компаний среднего бизнеса, что позволит диверсифицировать структуру рынка и снизить зависимость от сырьевого сектора.</w:t>
      </w:r>
    </w:p>
    <w:p>
      <w:pPr>
        <w:spacing w:line="420" w:lineRule="exact" w:before="0" w:after="0"/>
        <w:ind w:firstLine="709"/>
        <w:jc w:val="both"/>
      </w:pPr>
      <w:r>
        <w:rPr>
          <w:rFonts w:ascii="Times New Roman" w:hAnsi="Times New Roman" w:cs="Times New Roman" w:eastAsia="Times New Roman"/>
          <w:rFonts w:ascii="Times New Roman" w:hAnsi="Times New Roman"/>
          <w:b w:val="0"/>
          <w:sz w:val="28"/>
        </w:rPr>
        <w:t>Перспективы дальнейших исследований связаны с углубленным изучением влияния цифровизации на трансформацию финансовых услуг, анализом потенциала развития зеленого финансирования в России, а также оценкой эффективности механизмов интеграции российского финансового рынка в формирующиеся международные финансовые альянсы. Требуется дополнительное исследование поведенческих факторов, определяющих инвестиционные решения российских участников рынка в условиях повышенной неопределенности.</w:t>
      </w:r>
    </w:p>
    <w:p>
      <w:pPr>
        <w:pStyle w:val="Heading1"/>
        <w:ind w:firstLine="0"/>
        <w:jc w:val="center"/>
      </w:pPr>
      <w:r>
        <w:rPr>
          <w:rFonts w:ascii="Times New Roman" w:hAnsi="Times New Roman" w:cs="Times New Roman" w:eastAsia="Times New Roman"/>
          <w:rFonts w:ascii="Times New Roman" w:hAnsi="Times New Roman"/>
          <w:b/>
          <w:color w:val="000000"/>
          <w:sz w:val="28"/>
        </w:rPr>
        <w:t>СПИСОК ЛИТЕРАТУРЫ</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1. Абрамов А.Е., Радыгин А.Д., Чернова М.И. Российский финансовый рынок: факторы развития, инструменты, институты. — М.: Издательство Института Гайдара, 2022. — 384 с.</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2. Данилов Ю.А. Финансовые рынки в период турбулентности: российская и мировая практика. — М.: ИНФРА-М, 2023. — 296 с.</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3. Звонова Е.А., Кузнецов В.Е., Ершов М.В. Финансовый рынок России в условиях санкций: трансформация и адаптация. — М.: Юрайт, 2023. — 312 с.</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4. Миркин Я.М. Финансовое будущее России: экстремумы, бумы, системные риски. — М.: GELEOS Publishing House, 2022. — 480 с.</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5. Рубцов Б.Б. Современные фондовые рынки: теория и практика. — М.: Альпина Паблишер, 2023. — 926 с.</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6. Слепов В.А., Чалова А.Ю. Финансовый рынок России: состояние и перспективы развития. — М.: Магистр, 2024. — 256 с.</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7. Абрамов А.Е. Структурные изменения на российском финансовом рынке в условиях санкций // Вопросы экономики. — 2023. — №4. — С. 5–28.</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8. Буклемишев О.В., Данилов Ю.А. Трансформация российского финансового рынка: новые вызовы и возможности // Экономическая политика. — 2023. — Т. 18. — №1. — С. 8–35.</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9. Ершов М.В. Мировой финансовый кризис и российский финансовый рынок // Банковское дело. — 2022. — №11. — С. 12–19.</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10. Звонова Е.А., Ершов М.В. Российский финансовый рынок и банковский сектор: факторы влияния и направления развития // Финансы: теория и практика. — 2023. — Т. 27. — №3. — С. 6–22.</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11. Мамонов М.Е. Структура и динамика российского финансового рынка в 2022–2023 годах // Деньги и кредит. — 2023. — Т. 82. — №3. — С. 3–29.</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12. Миркин Я.М. Новая реальность российского финансового рынка: императивы развития // Банковское дело. — 2023. — №6. — С. 6–14.</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13. Наркевич С.С., Трунин П.В. Влияние геополитических факторов на развитие российского финансового рынка // Экономическое развитие России. — 2023. — Т. 30. — №5. — С. 44–52.</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14. Пильник Н.П., Поспелов И.Г. Моделирование российского финансового рынка в условиях внешних шоков // Журнал Новой экономической ассоциации. — 2022. — №4. — С. 28–54.</w:t>
      </w:r>
    </w:p>
    <w:p>
      <w:pPr>
        <w:spacing w:line="420" w:lineRule="exact" w:before="0" w:after="120"/>
        <w:ind w:firstLine="0" w:left="0"/>
        <w:jc w:val="both"/>
      </w:pPr>
      <w:r>
        <w:rPr>
          <w:rFonts w:ascii="Times New Roman" w:hAnsi="Times New Roman" w:cs="Times New Roman" w:eastAsia="Times New Roman"/>
          <w:rFonts w:ascii="Times New Roman" w:hAnsi="Times New Roman"/>
          <w:b w:val="0"/>
          <w:sz w:val="28"/>
        </w:rPr>
        <w:t>15. Столбов М.И., Шchусь М.А. Российский финансовый рынок: анализ факторов устойчивости // Вопросы экономики. — 2024. — №2. — С. 74–93.</w:t>
      </w:r>
    </w:p>
    <w:sectPr w:rsidR="00FC693F" w:rsidRPr="0006063C" w:rsidSect="00034616">
      <w:footerReference w:type="default" r:id="rId9"/>
      <w:footerReference w:type="first" r:id="rId10"/>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eastAsia="Times New Roman"/>
        <w:rFonts w:ascii="Times New Roman" w:hAnsi="Times New Roman"/>
        <w:b w:val="0"/>
        <w:sz w:val="24"/>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eastAsia="Times New Roman"/>
        <w:rFonts w:ascii="Times New Roman" w:hAnsi="Times New Roman"/>
        <w:b w:val="0"/>
        <w:sz w:val="28"/>
      </w:rPr>
      <w:t>Город,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420" w:lineRule="exact"/>
      <w:ind w:firstLine="0"/>
      <w:jc w:val="center"/>
      <w:outlineLvl w:val="0"/>
      <w:pageBreakBefore/>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20" w:lineRule="exact"/>
      <w:ind w:firstLine="0"/>
      <w:jc w:val="left"/>
      <w:outlineLvl w:val="1"/>
    </w:pPr>
    <w:rPr>
      <w:rFonts w:asciiTheme="majorHAnsi" w:eastAsiaTheme="majorEastAsia" w:hAnsiTheme="majorHAnsi" w:cstheme="majorBidi" w:ascii="Times New Roman" w:hAnsi="Times New Roman"/>
      <w:b/>
      <w:bCs/>
      <w:caps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