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{propertyAddress}</w:t>
      </w:r>
      <w:r w:rsidDel="00000000" w:rsidR="00000000" w:rsidRPr="00000000">
        <w:rPr>
          <w:rtl w:val="0"/>
        </w:rPr>
        <w:t xml:space="preserve"> {propertyCity}, {propertyState} {propertyZip}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{Date}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Greetings,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writing to express my interest in structuring an all-cash offer on the property located at {propertyAddress} {propertyCity}, {propertyState} {propertyZip}.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Based on market conditions, comparable sales, and property profile, I would like to propose the following terms: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Offer Summary: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- Price: {offerPrice}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- Option Period: 7 days (excluding weekends and federal holidays)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Earnest Money Deposit (EMD): {earnestMoney}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Buyer’s Assignment Consideration (BAC): $10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Closing Date: On or before {closingDate}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Offer Highlights: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As-Is Condition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Buyer Pays All Closing Costs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Quick Close Available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Title Company: {titleCompany}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only able to acquire a limited number of properties at a time. This offer is only valid for 48 hours from the time it is received.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Warm regards,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{senderName}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True Soul Partners LLC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📞 817.500.1440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Letter of Intent to Purchase Real Estate outlines general intentions and is not legally binding. Terms are subject to further negotiation and approval. No party is obligated until a formal agreement is executed.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