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Rich fixture</w:t>
      </w:r>
    </w:p>
    <w:p>
      <w:r>
        <w:t xml:space="preserve">Plain text, then </w:t>
      </w:r>
      <w:r>
        <w:rPr>
          <w:b/>
        </w:rPr>
        <w:t>bold</w:t>
      </w:r>
      <w:r>
        <w:t xml:space="preserve">, then </w:t>
      </w:r>
      <w:r>
        <w:rPr>
          <w:i/>
          <w:color w:val="C00000"/>
        </w:rPr>
        <w:t>italic red</w:t>
      </w:r>
      <w:r>
        <w:t>.</w:t>
      </w:r>
    </w:p>
    <w:p>
      <w:pPr>
        <w:numPr>
          <w:ilvl w:val="0"/>
          <w:numId w:val="1"/>
        </w:numPr>
      </w:pPr>
      <w:r>
        <w:t>First list item</w:t>
      </w:r>
    </w:p>
    <w:p>
      <w:pPr>
        <w:numPr>
          <w:ilvl w:val="0"/>
          <w:numId w:val="1"/>
        </w:numPr>
      </w:pPr>
      <w:r>
        <w:t>Second list item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rPr>
                <w:b/>
              </w:rPr>
              <w:t>Header A</w:t>
            </w:r>
          </w:p>
        </w:tc>
        <w:tc>
          <w:tcPr>
            <w:tcW w:w="4675" w:type="dxa"/>
          </w:tcPr>
          <w:p>
            <w:r>
              <w:rPr>
                <w:b/>
              </w:rPr>
              <w:t>Header B</w:t>
            </w:r>
          </w:p>
        </w:tc>
      </w:tr>
      <w:tr>
        <w:tc>
          <w:tcPr>
            <w:tcW w:w="4675" w:type="dxa"/>
          </w:tcPr>
          <w:p>
            <w:r>
              <w:t>Cell A2</w:t>
            </w:r>
          </w:p>
        </w:tc>
        <w:tc>
          <w:tcPr>
            <w:tcW w:w="4675" w:type="dxa"/>
          </w:tcPr>
          <w:p>
            <w:r>
              <w:t>Cell B2</w:t>
            </w:r>
          </w:p>
        </w:tc>
      </w:tr>
    </w:tbl>
    <w:p/>
    <w:p>
      <w:r>
        <w:drawing>
          <wp:inline distT="0" distB="0" distL="0" distR="0"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"/>
      <w:footerReference w:type="default" r:id="rId6"/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t xml:space="preserve">Rich fixture footer, 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blGrid>
      <w:gridCol w:w="4675"/>
      <w:gridCol w:w="4675"/>
    </w:tblGrid>
    <w:tr>
      <w:tc>
        <w:tcPr>
          <w:tcW w:w="4675" w:type="dxa"/>
        </w:tcPr>
        <w:p>
          <w:r>
            <w:t>Rich fixture header</w:t>
          </w:r>
        </w:p>
      </w:tc>
      <w:tc>
        <w:tcPr>
          <w:tcW w:w="4675" w:type="dxa"/>
        </w:tcPr>
        <w:p>
          <w:pPr>
            <w:jc w:val="right"/>
          </w:pPr>
          <w:r>
            <w:t>Right cell</w:t>
          </w:r>
        </w:p>
      </w:tc>
    </w:tr>
  </w:tbl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Relationship Id="rId4" Type="http://schemas.openxmlformats.org/officeDocument/2006/relationships/fontTable" Target="fontTable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image1.png"/>
<Relationship Id="rId8" Type="http://schemas.openxmlformats.org/officeDocument/2006/relationships/theme" Target="theme/theme1.xml"/>
<Relationship Id="rId9" Type="http://schemas.openxmlformats.org/officeDocument/2006/relationships/oleObject" Target="embeddings/oleObject1.bin"/>
</Relationships>
</file>

<file path=word/theme/theme1.xml><?xml version="1.0" encoding="utf-8"?>
<a:theme xmlns:a="http://schemas.openxmlformats.org/drawingml/2006/main" name="ScriptorTest">
  <a:themeElements>
    <a:clrScheme name="ScriptorTes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criptorTest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ScriptorTes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Scriptor test fixture generator</Application>
  <Pages>1</Pages>
  <Words>18</Word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Scriptor rich test fixture</dc:title>
  <dc:creator>Scriptor test suite</dc:creator>
  <cp:lastModifiedBy>Scriptor test suite</cp:lastModifiedBy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riptorFixture">
    <vt:lpwstr>passthrough-marker</vt:lpwstr>
  </property>
  <property fmtid="{D5CDD505-2E9C-101B-9397-08002B2CF9AE}" pid="3" name="ScriptorFixtureVersion">
    <vt:i4>1</vt:i4>
  </property>
</Properties>
</file>