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4F72"/>
          <w:sz w:val="36"/>
          <w:szCs w:val="36"/>
        </w:rPr>
        <w:t xml:space="preserve">Kindora Enterprise Network Plan</w:t>
      </w:r>
    </w:p>
    <w:p>
      <w:pPr>
        <w:spacing w:after="200"/>
        <w:jc w:val="center"/>
      </w:pPr>
      <w:r>
        <w:rPr>
          <w:rFonts w:ascii="Arial" w:cs="Arial" w:eastAsia="Arial" w:hAnsi="Arial"/>
          <w:b/>
          <w:bCs/>
          <w:color w:val="1B4F72"/>
          <w:sz w:val="32"/>
          <w:szCs w:val="32"/>
        </w:rPr>
        <w:t xml:space="preserve">Order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Order Form No.</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ENT-001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Effective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_______________</w:t>
            </w:r>
          </w:p>
        </w:tc>
      </w:tr>
    </w:tbl>
    <w:p>
      <w:pPr>
        <w:spacing w:after="120"/>
      </w:pPr>
      <w:r>
        <w:rPr>
          <w:rFonts w:ascii="Arial" w:cs="Arial" w:eastAsia="Arial" w:hAnsi="Arial"/>
          <w:b w:val="false"/>
          <w:bCs w:val="false"/>
          <w:i w:val="false"/>
          <w:iCs w:val="false"/>
          <w:sz w:val="20"/>
          <w:szCs w:val="20"/>
        </w:rPr>
        <w:t xml:space="preserve"/>
      </w:r>
    </w:p>
    <w:p>
      <w:pPr>
        <w:spacing w:after="120"/>
      </w:pPr>
      <w:r>
        <w:rPr>
          <w:rFonts w:ascii="Arial" w:cs="Arial" w:eastAsia="Arial" w:hAnsi="Arial"/>
          <w:sz w:val="20"/>
          <w:szCs w:val="20"/>
        </w:rPr>
        <w:t xml:space="preserve">This Order Form is entered into between </w:t>
      </w:r>
      <w:r>
        <w:rPr>
          <w:rFonts w:ascii="Arial" w:cs="Arial" w:eastAsia="Arial" w:hAnsi="Arial"/>
          <w:b/>
          <w:bCs/>
          <w:sz w:val="20"/>
          <w:szCs w:val="20"/>
        </w:rPr>
        <w:t xml:space="preserve">Kindora, PBC</w:t>
      </w:r>
      <w:r>
        <w:rPr>
          <w:rFonts w:ascii="Arial" w:cs="Arial" w:eastAsia="Arial" w:hAnsi="Arial"/>
          <w:sz w:val="20"/>
          <w:szCs w:val="20"/>
        </w:rPr>
        <w:t xml:space="preserve"> (“Kindora”) and the Customer identified below, and is subject to Kindora’s Enterprise Standard Terms (available at kindora.co/terms/enterprise), which are incorporated herein by reference.</w:t>
      </w:r>
    </w:p>
    <w:p>
      <w:pPr>
        <w:pStyle w:val="Heading1"/>
        <w:spacing w:after="150" w:before="300"/>
      </w:pPr>
      <w:r>
        <w:rPr>
          <w:rFonts w:ascii="Arial" w:cs="Arial" w:eastAsia="Arial" w:hAnsi="Arial"/>
          <w:b/>
          <w:bCs/>
          <w:color w:val="1B4F72"/>
          <w:sz w:val="28"/>
          <w:szCs w:val="28"/>
        </w:rPr>
        <w:t xml:space="preserve">§1. Customer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Customer Name</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Camelback Ventures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_________________________________</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Billing Contact</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_________________________________</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Billing 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_________________________________</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Purchase Order No.</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(if applicable)</w:t>
            </w:r>
          </w:p>
        </w:tc>
      </w:tr>
    </w:tbl>
    <w:p>
      <w:pPr>
        <w:pStyle w:val="Heading1"/>
        <w:spacing w:after="150" w:before="300"/>
      </w:pPr>
      <w:r>
        <w:rPr>
          <w:rFonts w:ascii="Arial" w:cs="Arial" w:eastAsia="Arial" w:hAnsi="Arial"/>
          <w:b/>
          <w:bCs/>
          <w:color w:val="1B4F72"/>
          <w:sz w:val="28"/>
          <w:szCs w:val="28"/>
        </w:rPr>
        <w:t xml:space="preserve">§2. Kindora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Provider</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Kindora, PBC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Oakland, CA</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Billing Contact</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Justin Steele, CEO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Billing 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justin@kindora.co</w:t>
            </w:r>
          </w:p>
        </w:tc>
      </w:tr>
    </w:tbl>
    <w:p>
      <w:pPr>
        <w:pStyle w:val="Heading1"/>
        <w:spacing w:after="150" w:before="300"/>
      </w:pPr>
      <w:r>
        <w:rPr>
          <w:rFonts w:ascii="Arial" w:cs="Arial" w:eastAsia="Arial" w:hAnsi="Arial"/>
          <w:b/>
          <w:bCs/>
          <w:color w:val="1B4F72"/>
          <w:sz w:val="28"/>
          <w:szCs w:val="28"/>
        </w:rPr>
        <w:t xml:space="preserve">§3. Subscription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Plan</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Individual ($49/mo list price)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Target Org 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30 organizations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Discount</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Founding Enterprise Partner Rate (see billing option below)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Initial Term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12 months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Term Start Date</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_______________</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Term End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_______________</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Auto-Renewal</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Yes, for successive 12-month terms unless either party provides 60 days’ written notice of non-renewal</w:t>
            </w:r>
          </w:p>
        </w:tc>
      </w:tr>
    </w:tbl>
    <w:p>
      <w:pPr>
        <w:pStyle w:val="Heading1"/>
        <w:spacing w:after="150" w:before="300"/>
      </w:pPr>
      <w:r>
        <w:rPr>
          <w:rFonts w:ascii="Arial" w:cs="Arial" w:eastAsia="Arial" w:hAnsi="Arial"/>
          <w:b/>
          <w:bCs/>
          <w:color w:val="1B4F72"/>
          <w:sz w:val="28"/>
          <w:szCs w:val="28"/>
        </w:rPr>
        <w:t xml:space="preserve">§4. Billing Option</w:t>
      </w:r>
    </w:p>
    <w:p>
      <w:pPr>
        <w:spacing w:after="120"/>
      </w:pPr>
      <w:r>
        <w:rPr>
          <w:rFonts w:ascii="Arial" w:cs="Arial" w:eastAsia="Arial" w:hAnsi="Arial"/>
          <w:b w:val="false"/>
          <w:bCs w:val="false"/>
          <w:i/>
          <w:iCs/>
          <w:sz w:val="20"/>
          <w:szCs w:val="20"/>
        </w:rPr>
        <w:t xml:space="preserve">Select one:</w:t>
      </w:r>
    </w:p>
    <w:p>
      <w:pPr>
        <w:pStyle w:val="Heading2"/>
        <w:spacing w:after="150" w:before="300"/>
      </w:pPr>
      <w:r>
        <w:rPr>
          <w:rFonts w:ascii="Arial" w:cs="Arial" w:eastAsia="Arial" w:hAnsi="Arial"/>
          <w:b/>
          <w:bCs/>
          <w:color w:val="1B4F72"/>
          <w:sz w:val="24"/>
          <w:szCs w:val="24"/>
        </w:rPr>
        <w:t xml:space="preserve">☐ Option A: Full Prepay (20% Discount)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Per-Org Rate</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$39/mo (20% off $49 list)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Orgs Billed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30 (100% of target)</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Annual Amount</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$14,040 (30 × $39 × 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Invoicing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Single annual invoice at contract signing</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Payment Terms</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Net-30</w:t>
            </w:r>
          </w:p>
        </w:tc>
      </w:tr>
    </w:tbl>
    <w:p>
      <w:pPr>
        <w:pStyle w:val="Heading2"/>
        <w:spacing w:after="150" w:before="300"/>
      </w:pPr>
      <w:r>
        <w:rPr>
          <w:rFonts w:ascii="Arial" w:cs="Arial" w:eastAsia="Arial" w:hAnsi="Arial"/>
          <w:b/>
          <w:bCs/>
          <w:color w:val="1B4F72"/>
          <w:sz w:val="24"/>
          <w:szCs w:val="24"/>
        </w:rPr>
        <w:t xml:space="preserve">☐ Option B: Split Billing (15% Discount)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Annual Amount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Fixed commitment (2/3 of target)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20 orgs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$10,080 (20 × $42 × 12)</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Variable band (remaining 1/3)</w:t>
            </w:r>
          </w:p>
        </w:tc>
        <w:tc>
          <w:tcPr>
            <w:tcW w:type="dxa" w:w="243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Up to 10 orgs</w:t>
            </w:r>
          </w:p>
        </w:tc>
        <w:tc>
          <w:tcPr>
            <w:tcW w:type="dxa" w:w="343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Billed quarterly as activated at $42/mo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Overage (above 30 orgs)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Unlimited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Billed quarterly at $49/mo (list rate)</w:t>
            </w:r>
          </w:p>
        </w:tc>
      </w:tr>
    </w:tbl>
    <w:p>
      <w:pPr>
        <w:spacing w:after="120"/>
      </w:pPr>
      <w:r>
        <w:rPr>
          <w:rFonts w:ascii="Arial" w:cs="Arial" w:eastAsia="Arial" w:hAnsi="Arial"/>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Per-Org Rate</w:t>
            </w:r>
          </w:p>
        </w:tc>
        <w:tc>
          <w:tcPr>
            <w:tcW w:type="dxa" w:w="5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$42/mo (15% off $49 list)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Fixed Portion Invoicing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Single annual invoice at contract signing, net-30</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Variable Portion Invoicing</w:t>
            </w:r>
          </w:p>
        </w:tc>
        <w:tc>
          <w:tcPr>
            <w:tcW w:type="dxa" w:w="58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Quarterly invoice at end of each calendar quarter based on actual activations, net-30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Pro-rating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Variable charges pro-rated for mid-quarter activations</w:t>
            </w:r>
          </w:p>
        </w:tc>
      </w:tr>
    </w:tbl>
    <w:p>
      <w:pPr>
        <w:pStyle w:val="Heading1"/>
        <w:spacing w:after="150" w:before="300"/>
      </w:pPr>
      <w:r>
        <w:rPr>
          <w:rFonts w:ascii="Arial" w:cs="Arial" w:eastAsia="Arial" w:hAnsi="Arial"/>
          <w:b/>
          <w:bCs/>
          <w:color w:val="1B4F72"/>
          <w:sz w:val="28"/>
          <w:szCs w:val="28"/>
        </w:rPr>
        <w:t xml:space="preserve">§5. Redemption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Code</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CAMELBACK-2026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Redemption Cap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30 organizations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Expiration</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180 days from Term Start 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Distribution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Customer distributes code to Camelback fellows and portfolio organizations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i w:val="false"/>
                <w:iCs w:val="false"/>
                <w:sz w:val="20"/>
                <w:szCs w:val="20"/>
              </w:rPr>
              <w:t xml:space="preserve">Activation</w:t>
            </w:r>
          </w:p>
        </w:tc>
        <w:tc>
          <w:tcPr>
            <w:tcW w:type="dxa" w:w="6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Authorized Organization signs up at kindora.co, enters code during registration; Individual plan activates with no credit card required</w:t>
            </w:r>
          </w:p>
        </w:tc>
      </w:tr>
    </w:tbl>
    <w:p>
      <w:pPr>
        <w:pStyle w:val="Heading1"/>
        <w:spacing w:after="150" w:before="300"/>
      </w:pPr>
      <w:r>
        <w:rPr>
          <w:rFonts w:ascii="Arial" w:cs="Arial" w:eastAsia="Arial" w:hAnsi="Arial"/>
          <w:b/>
          <w:bCs/>
          <w:color w:val="1B4F72"/>
          <w:sz w:val="28"/>
          <w:szCs w:val="28"/>
        </w:rPr>
        <w:t xml:space="preserve">§6. Included Services</w:t>
      </w:r>
    </w:p>
    <w:p>
      <w:pPr>
        <w:pStyle w:val="ListParagraph"/>
        <w:numPr>
          <w:ilvl w:val="0"/>
          <w:numId w:val="2"/>
        </w:numPr>
        <w:spacing w:after="60"/>
      </w:pPr>
      <w:r>
        <w:rPr>
          <w:rFonts w:ascii="Arial" w:cs="Arial" w:eastAsia="Arial" w:hAnsi="Arial"/>
          <w:sz w:val="20"/>
          <w:szCs w:val="20"/>
        </w:rPr>
        <w:t xml:space="preserve"> Cohort onboarding session (1 group session, Kindora-led)</w:t>
      </w:r>
    </w:p>
    <w:p>
      <w:pPr>
        <w:pStyle w:val="ListParagraph"/>
        <w:numPr>
          <w:ilvl w:val="0"/>
          <w:numId w:val="2"/>
        </w:numPr>
        <w:spacing w:after="60"/>
      </w:pPr>
      <w:r>
        <w:rPr>
          <w:rFonts w:ascii="Arial" w:cs="Arial" w:eastAsia="Arial" w:hAnsi="Arial"/>
          <w:sz w:val="20"/>
          <w:szCs w:val="20"/>
        </w:rPr>
        <w:t xml:space="preserve"> Quarterly office hours for Authorized Organizations (group format)</w:t>
      </w:r>
    </w:p>
    <w:p>
      <w:pPr>
        <w:pStyle w:val="ListParagraph"/>
        <w:numPr>
          <w:ilvl w:val="0"/>
          <w:numId w:val="2"/>
        </w:numPr>
        <w:spacing w:after="60"/>
      </w:pPr>
      <w:r>
        <w:rPr>
          <w:rFonts w:ascii="Arial" w:cs="Arial" w:eastAsia="Arial" w:hAnsi="Arial"/>
          <w:sz w:val="20"/>
          <w:szCs w:val="20"/>
        </w:rPr>
        <w:t xml:space="preserve"> Sponsor Admin Dashboard (aggregate adoption metrics only)</w:t>
      </w:r>
    </w:p>
    <w:p>
      <w:pPr>
        <w:pStyle w:val="ListParagraph"/>
        <w:numPr>
          <w:ilvl w:val="0"/>
          <w:numId w:val="2"/>
        </w:numPr>
        <w:spacing w:after="60"/>
      </w:pPr>
      <w:r>
        <w:rPr>
          <w:rFonts w:ascii="Arial" w:cs="Arial" w:eastAsia="Arial" w:hAnsi="Arial"/>
          <w:sz w:val="20"/>
          <w:szCs w:val="20"/>
        </w:rPr>
        <w:t xml:space="preserve"> Dedicated email support</w:t>
      </w:r>
    </w:p>
    <w:p>
      <w:pPr>
        <w:pStyle w:val="ListParagraph"/>
        <w:numPr>
          <w:ilvl w:val="0"/>
          <w:numId w:val="2"/>
        </w:numPr>
        <w:spacing w:after="60"/>
      </w:pPr>
      <w:r>
        <w:rPr>
          <w:rFonts w:ascii="Arial" w:cs="Arial" w:eastAsia="Arial" w:hAnsi="Arial"/>
          <w:sz w:val="20"/>
          <w:szCs w:val="20"/>
        </w:rPr>
        <w:t xml:space="preserve"> Quarterly value review (30-min call with Customer team)</w:t>
      </w:r>
    </w:p>
    <w:p>
      <w:pPr>
        <w:pStyle w:val="ListParagraph"/>
        <w:numPr>
          <w:ilvl w:val="0"/>
          <w:numId w:val="2"/>
        </w:numPr>
        <w:spacing w:after="60"/>
      </w:pPr>
      <w:r>
        <w:rPr>
          <w:rFonts w:ascii="Arial" w:cs="Arial" w:eastAsia="Arial" w:hAnsi="Arial"/>
          <w:sz w:val="20"/>
          <w:szCs w:val="20"/>
        </w:rPr>
        <w:t xml:space="preserve"> Co-branded onboarding materials (optional, upon request)</w:t>
      </w:r>
    </w:p>
    <w:p>
      <w:pPr>
        <w:pStyle w:val="ListParagraph"/>
        <w:numPr>
          <w:ilvl w:val="0"/>
          <w:numId w:val="2"/>
        </w:numPr>
        <w:spacing w:after="120"/>
      </w:pPr>
      <w:r>
        <w:rPr>
          <w:rFonts w:ascii="Arial" w:cs="Arial" w:eastAsia="Arial" w:hAnsi="Arial"/>
          <w:sz w:val="20"/>
          <w:szCs w:val="20"/>
        </w:rPr>
        <w:t xml:space="preserve"> Cohort enablement templates (workflows, playbooks)</w:t>
      </w:r>
    </w:p>
    <w:p>
      <w:pPr>
        <w:pStyle w:val="Heading1"/>
        <w:spacing w:after="150" w:before="300"/>
      </w:pPr>
      <w:r>
        <w:rPr>
          <w:rFonts w:ascii="Arial" w:cs="Arial" w:eastAsia="Arial" w:hAnsi="Arial"/>
          <w:b/>
          <w:bCs/>
          <w:color w:val="1B4F72"/>
          <w:sz w:val="28"/>
          <w:szCs w:val="28"/>
        </w:rPr>
        <w:t xml:space="preserve">§7. Special Terms</w:t>
      </w:r>
    </w:p>
    <w:p>
      <w:pPr>
        <w:spacing w:after="60"/>
      </w:pPr>
      <w:r>
        <w:rPr>
          <w:rFonts w:ascii="Arial" w:cs="Arial" w:eastAsia="Arial" w:hAnsi="Arial"/>
          <w:b/>
          <w:bCs/>
          <w:sz w:val="20"/>
          <w:szCs w:val="20"/>
        </w:rPr>
        <w:t xml:space="preserve">Founding Enterprise Partner Status.</w:t>
      </w:r>
    </w:p>
    <w:p>
      <w:pPr>
        <w:spacing w:after="120"/>
      </w:pPr>
      <w:r>
        <w:rPr>
          <w:rFonts w:ascii="Arial" w:cs="Arial" w:eastAsia="Arial" w:hAnsi="Arial"/>
          <w:b w:val="false"/>
          <w:bCs w:val="false"/>
          <w:i w:val="false"/>
          <w:iCs w:val="false"/>
          <w:sz w:val="20"/>
          <w:szCs w:val="20"/>
        </w:rPr>
        <w:t xml:space="preserve">Customer is Kindora’s founding enterprise partner. Kindora may reference Customer in future enterprise sales conversations as a pricing and partnership benchmark, including statements such as “Camelback Ventures selected Kindora as their enterprise grant intelligence platform.” Any specific quotes, case studies, or use of Customer’s name in marketing materials require Customer’s prior written approval.</w:t>
      </w:r>
    </w:p>
    <w:p>
      <w:pPr>
        <w:spacing w:after="60"/>
      </w:pPr>
      <w:r>
        <w:rPr>
          <w:rFonts w:ascii="Arial" w:cs="Arial" w:eastAsia="Arial" w:hAnsi="Arial"/>
          <w:b/>
          <w:bCs/>
          <w:sz w:val="20"/>
          <w:szCs w:val="20"/>
        </w:rPr>
        <w:t xml:space="preserve">Data Privacy.</w:t>
      </w:r>
    </w:p>
    <w:p>
      <w:pPr>
        <w:spacing w:after="120"/>
      </w:pPr>
      <w:r>
        <w:rPr>
          <w:rFonts w:ascii="Arial" w:cs="Arial" w:eastAsia="Arial" w:hAnsi="Arial"/>
          <w:b w:val="false"/>
          <w:bCs w:val="false"/>
          <w:i w:val="false"/>
          <w:iCs w:val="false"/>
          <w:sz w:val="20"/>
          <w:szCs w:val="20"/>
        </w:rPr>
        <w:t xml:space="preserve">Customer acknowledges that the Sponsor Admin Dashboard provides aggregate metrics only. Customer does not have access to any individual Authorized Organization’s workspace, searches, pipeline, funder lists, Intel Briefs, grant applications, or strategic data. This isolation is an architectural commitment and is not configurable.</w:t>
      </w:r>
    </w:p>
    <w:p>
      <w:pPr>
        <w:spacing w:after="60"/>
      </w:pPr>
      <w:r>
        <w:rPr>
          <w:rFonts w:ascii="Arial" w:cs="Arial" w:eastAsia="Arial" w:hAnsi="Arial"/>
          <w:b/>
          <w:bCs/>
          <w:sz w:val="20"/>
          <w:szCs w:val="20"/>
        </w:rPr>
        <w:t xml:space="preserve">Renewal Rate Protection.</w:t>
      </w:r>
    </w:p>
    <w:p>
      <w:pPr>
        <w:spacing w:after="120"/>
      </w:pPr>
      <w:r>
        <w:rPr>
          <w:rFonts w:ascii="Arial" w:cs="Arial" w:eastAsia="Arial" w:hAnsi="Arial"/>
          <w:b w:val="false"/>
          <w:bCs w:val="false"/>
          <w:i w:val="false"/>
          <w:iCs w:val="false"/>
          <w:sz w:val="20"/>
          <w:szCs w:val="20"/>
        </w:rPr>
        <w:t xml:space="preserve">Customer’s Founding Enterprise Partner rate (Option A: 20% / Option B: 15%) is guaranteed for the initial Term and the first renewal Term. Subsequent renewals are subject to then-current enterprise pricing with at least 90 days’ advance notice of any change.</w:t>
      </w:r>
    </w:p>
    <w:p>
      <w:pPr>
        <w:pStyle w:val="Heading1"/>
        <w:spacing w:after="150" w:before="300"/>
      </w:pPr>
      <w:r>
        <w:rPr>
          <w:rFonts w:ascii="Arial" w:cs="Arial" w:eastAsia="Arial" w:hAnsi="Arial"/>
          <w:b/>
          <w:bCs/>
          <w:color w:val="1B4F72"/>
          <w:sz w:val="28"/>
          <w:szCs w:val="28"/>
        </w:rPr>
        <w:t xml:space="preserve">§8. Governing Terms</w:t>
      </w:r>
    </w:p>
    <w:p>
      <w:pPr>
        <w:spacing w:after="120"/>
      </w:pPr>
      <w:r>
        <w:rPr>
          <w:rFonts w:ascii="Arial" w:cs="Arial" w:eastAsia="Arial" w:hAnsi="Arial"/>
          <w:sz w:val="20"/>
          <w:szCs w:val="20"/>
        </w:rPr>
        <w:t xml:space="preserve">This Order Form is subject to and governed by Kindora’s Enterprise Standard Terms (Version 1.0, March 2026). In the event of a conflict between this Order Form and the Standard Terms, this Order Form shall control.</w:t>
      </w:r>
    </w:p>
    <w:p>
      <w:pPr>
        <w:spacing w:after="120"/>
      </w:pPr>
      <w:r>
        <w:rPr>
          <w:rFonts w:ascii="Arial" w:cs="Arial" w:eastAsia="Arial" w:hAnsi="Arial"/>
          <w:b w:val="false"/>
          <w:bCs w:val="false"/>
          <w:i w:val="false"/>
          <w:iCs w:val="false"/>
          <w:sz w:val="20"/>
          <w:szCs w:val="20"/>
        </w:rPr>
        <w:t xml:space="preserve">By signing below, each party agrees to the terms of this Order Form and the incorporated Standard Terms.</w:t>
      </w:r>
    </w:p>
    <w:p>
      <w:pPr>
        <w:pStyle w:val="Heading1"/>
        <w:spacing w:after="150" w:before="300"/>
      </w:pPr>
      <w:r>
        <w:rPr>
          <w:rFonts w:ascii="Arial" w:cs="Arial" w:eastAsia="Arial" w:hAnsi="Arial"/>
          <w:b/>
          <w:bCs/>
          <w:color w:val="1B4F72"/>
          <w:sz w:val="28"/>
          <w:szCs w:val="28"/>
        </w:rPr>
        <w:t xml:space="preserve">§9. Signatures</w:t>
      </w:r>
    </w:p>
    <w:p>
      <w:pPr>
        <w:spacing w:after="120"/>
      </w:pPr>
      <w:r>
        <w:rPr>
          <w:rFonts w:ascii="Arial" w:cs="Arial" w:eastAsia="Arial" w:hAnsi="Arial"/>
          <w:b w:val="false"/>
          <w:bCs w:val="false"/>
          <w:i w:val="false"/>
          <w:iCs w:val="false"/>
          <w:sz w:val="20"/>
          <w:szCs w:val="20"/>
        </w:rPr>
        <w:t xml:space="preserve"/>
      </w:r>
    </w:p>
    <w:p>
      <w:pPr>
        <w:spacing w:after="120"/>
      </w:pPr>
      <w:r>
        <w:rPr>
          <w:rFonts w:ascii="Arial" w:cs="Arial" w:eastAsia="Arial" w:hAnsi="Arial"/>
          <w:b/>
          <w:bCs/>
          <w:sz w:val="22"/>
          <w:szCs w:val="22"/>
        </w:rPr>
        <w:t xml:space="preserve">Kindora, PBC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Signature</w:t>
            </w:r>
          </w:p>
        </w:tc>
        <w:tc>
          <w:tcPr>
            <w:tcW w:type="dxa" w:w="736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_________________________________</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Name</w:t>
            </w:r>
          </w:p>
        </w:tc>
        <w:tc>
          <w:tcPr>
            <w:tcW w:type="dxa" w:w="736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Title</w:t>
            </w:r>
          </w:p>
        </w:tc>
        <w:tc>
          <w:tcPr>
            <w:tcW w:type="dxa" w:w="736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736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Arial" w:cs="Arial" w:eastAsia="Arial" w:hAnsi="Arial"/>
          <w:b w:val="false"/>
          <w:bCs w:val="false"/>
          <w:i w:val="false"/>
          <w:iCs w:val="false"/>
          <w:sz w:val="20"/>
          <w:szCs w:val="20"/>
        </w:rPr>
        <w:t xml:space="preserve"/>
      </w:r>
    </w:p>
    <w:p>
      <w:pPr>
        <w:spacing w:after="120"/>
      </w:pPr>
      <w:r>
        <w:rPr>
          <w:rFonts w:ascii="Arial" w:cs="Arial" w:eastAsia="Arial" w:hAnsi="Arial"/>
          <w:b w:val="false"/>
          <w:bCs w:val="false"/>
          <w:i w:val="false"/>
          <w:iCs w:val="false"/>
          <w:sz w:val="20"/>
          <w:szCs w:val="20"/>
        </w:rPr>
        <w:t xml:space="preserve"/>
      </w:r>
    </w:p>
    <w:p>
      <w:pPr>
        <w:spacing w:after="120"/>
      </w:pPr>
      <w:r>
        <w:rPr>
          <w:rFonts w:ascii="Arial" w:cs="Arial" w:eastAsia="Arial" w:hAnsi="Arial"/>
          <w:b/>
          <w:bCs/>
          <w:sz w:val="22"/>
          <w:szCs w:val="22"/>
        </w:rPr>
        <w:t xml:space="preserve">Camelback Ventures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Signature</w:t>
            </w:r>
          </w:p>
        </w:tc>
        <w:tc>
          <w:tcPr>
            <w:tcW w:type="dxa" w:w="736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_________________________________</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Name</w:t>
            </w:r>
          </w:p>
        </w:tc>
        <w:tc>
          <w:tcPr>
            <w:tcW w:type="dxa" w:w="736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Title</w:t>
            </w:r>
          </w:p>
        </w:tc>
        <w:tc>
          <w:tcPr>
            <w:tcW w:type="dxa" w:w="736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736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Arial" w:cs="Arial" w:eastAsia="Arial" w:hAnsi="Arial"/>
          <w:b w:val="false"/>
          <w:bCs w:val="false"/>
          <w:i w:val="false"/>
          <w:iCs w:val="false"/>
          <w:sz w:val="20"/>
          <w:szCs w:val="20"/>
        </w:rPr>
        <w:t xml:space="preserve"/>
      </w:r>
    </w:p>
    <w:p>
      <w:pPr>
        <w:spacing w:before="300"/>
        <w:jc w:val="center"/>
      </w:pPr>
      <w:r>
        <w:rPr>
          <w:rFonts w:ascii="Arial" w:cs="Arial" w:eastAsia="Arial" w:hAnsi="Arial"/>
          <w:i/>
          <w:iCs/>
          <w:color w:val="666666"/>
          <w:sz w:val="18"/>
          <w:szCs w:val="18"/>
        </w:rPr>
        <w:t xml:space="preserve">Kindora, PBC is a Delaware Public Benefit Corporation.</w:t>
      </w:r>
    </w:p>
    <w:p>
      <w:pPr>
        <w:jc w:val="center"/>
      </w:pPr>
      <w:r>
        <w:rPr>
          <w:rFonts w:ascii="Arial" w:cs="Arial" w:eastAsia="Arial" w:hAnsi="Arial"/>
          <w:i/>
          <w:iCs/>
          <w:color w:val="666666"/>
          <w:sz w:val="18"/>
          <w:szCs w:val="18"/>
        </w:rPr>
        <w:t xml:space="preserve">Our specific public benefit is to democratize philanthropic giving to under-resourced nonprofits.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Kindora, PBC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Kindora Enterprise Network Plan — Order Form ENT-001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Arial" w:cs="Arial" w:eastAsia="Arial" w:hAnsi="Arial"/>
      <w:b/>
      <w:bCs/>
      <w:color w:val="1B4F72"/>
      <w:sz w:val="28"/>
      <w:szCs w:val="28"/>
    </w:rPr>
  </w:style>
  <w:style w:type="paragraph" w:styleId="Heading2">
    <w:name w:val="Heading 2"/>
    <w:basedOn w:val="Normal"/>
    <w:next w:val="Normal"/>
    <w:qFormat/>
    <w:pPr>
      <w:spacing w:after="120" w:before="240"/>
    </w:pPr>
    <w:rPr>
      <w:rFonts w:ascii="Arial" w:cs="Arial" w:eastAsia="Arial" w:hAnsi="Arial"/>
      <w:b/>
      <w:bCs/>
      <w:color w:val="1B4F72"/>
      <w:sz w:val="24"/>
      <w:szCs w:val="24"/>
    </w:rPr>
  </w:style>
  <w:style w:type="paragraph" w:styleId="Heading3">
    <w:name w:val="Heading 3"/>
    <w:basedOn w:val="Normal"/>
    <w:next w:val="Normal"/>
    <w:qFormat/>
    <w:pPr>
      <w:spacing w:after="100" w:before="200"/>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2026-03-07T00:43:58.544Z</dcterms:created>
  <dcterms:modified xsi:type="dcterms:W3CDTF">2026-03-07T00:43:58.545Z</dcterms:modified>
</cp:coreProperties>
</file>

<file path=docProps/custom.xml><?xml version="1.0" encoding="utf-8"?>
<Properties xmlns="http://schemas.openxmlformats.org/officeDocument/2006/custom-properties" xmlns:vt="http://schemas.openxmlformats.org/officeDocument/2006/docPropsVTypes"/>
</file>