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2B5C8A"/>
          <w:sz w:val="32"/>
          <w:szCs w:val="32"/>
        </w:rPr>
        <w:t xml:space="preserve">KINDORA ENTERPRISE CLOUD SERVICE AGREEMENT</w:t>
      </w:r>
    </w:p>
    <w:p>
      <w:pPr>
        <w:spacing w:after="100"/>
        <w:jc w:val="center"/>
      </w:pPr>
      <w:r>
        <w:rPr>
          <w:rFonts w:ascii="Arial" w:cs="Arial" w:eastAsia="Arial" w:hAnsi="Arial"/>
          <w:color w:val="2B5C8A"/>
          <w:sz w:val="28"/>
          <w:szCs w:val="28"/>
        </w:rPr>
        <w:t xml:space="preserve">Standard Terms</w:t>
      </w:r>
    </w:p>
    <w:p>
      <w:pPr>
        <w:spacing w:after="400"/>
        <w:jc w:val="center"/>
      </w:pPr>
      <w:r>
        <w:rPr>
          <w:rFonts w:ascii="Arial" w:cs="Arial" w:eastAsia="Arial" w:hAnsi="Arial"/>
          <w:color w:val="666666"/>
          <w:sz w:val="20"/>
          <w:szCs w:val="20"/>
        </w:rPr>
        <w:t xml:space="preserve">Version 1.0  |  March 2026</w:t>
      </w:r>
    </w:p>
    <w:p>
      <w:pPr>
        <w:spacing w:after="200"/>
        <w:jc w:val="left"/>
      </w:pPr>
      <w:r>
        <w:rPr>
          <w:rFonts w:ascii="Arial" w:cs="Arial" w:eastAsia="Arial" w:hAnsi="Arial"/>
          <w:i/>
          <w:iCs/>
          <w:sz w:val="20"/>
          <w:szCs w:val="20"/>
        </w:rPr>
        <w:t xml:space="preserve">These Standard Terms govern all Kindora Enterprise Network Plan subscriptions. They are incorporated by reference into each Order Form executed between Kindora, PBC (“Kindora,” “we,” “us”) and the subscribing entity (“Customer,” “you”).</w:t>
      </w:r>
    </w:p>
    <w:p>
      <w:pPr>
        <w:spacing w:after="200"/>
        <w:jc w:val="left"/>
      </w:pPr>
      <w:r>
        <w:rPr>
          <w:rFonts w:ascii="Arial" w:cs="Arial" w:eastAsia="Arial" w:hAnsi="Arial"/>
          <w:i/>
          <w:iCs/>
          <w:sz w:val="20"/>
          <w:szCs w:val="20"/>
        </w:rPr>
        <w:t xml:space="preserve">Note: This document should be reviewed by legal counsel before use. The Security Overview document is provided for informational purposes only and is not incorporated into this Agreement unless expressly stated in an Order Form.</w:t>
      </w:r>
    </w:p>
    <w:p>
      <w:pPr>
        <w:pStyle w:val="Heading1"/>
        <w:spacing w:after="200" w:before="360"/>
      </w:pPr>
      <w:r>
        <w:rPr>
          <w:rFonts w:ascii="Arial" w:cs="Arial" w:eastAsia="Arial" w:hAnsi="Arial"/>
        </w:rPr>
        <w:t xml:space="preserve">1. Definitions</w:t>
      </w:r>
    </w:p>
    <w:p>
      <w:pPr>
        <w:spacing w:after="200"/>
        <w:jc w:val="left"/>
      </w:pPr>
      <w:r>
        <w:rPr>
          <w:rFonts w:ascii="Arial" w:cs="Arial" w:eastAsia="Arial" w:hAnsi="Arial"/>
          <w:b/>
          <w:bCs/>
          <w:sz w:val="20"/>
          <w:szCs w:val="20"/>
        </w:rPr>
        <w:t xml:space="preserve">“Affiliate”</w:t>
      </w:r>
      <w:r>
        <w:rPr>
          <w:rFonts w:ascii="Arial" w:cs="Arial" w:eastAsia="Arial" w:hAnsi="Arial"/>
          <w:sz w:val="20"/>
          <w:szCs w:val="20"/>
        </w:rPr>
        <w:t xml:space="preserve"> means any entity that controls, is controlled by, or is under common control with a party.</w:t>
      </w:r>
    </w:p>
    <w:p>
      <w:pPr>
        <w:spacing w:after="200"/>
        <w:jc w:val="left"/>
      </w:pPr>
      <w:r>
        <w:rPr>
          <w:rFonts w:ascii="Arial" w:cs="Arial" w:eastAsia="Arial" w:hAnsi="Arial"/>
          <w:b/>
          <w:bCs/>
          <w:sz w:val="20"/>
          <w:szCs w:val="20"/>
        </w:rPr>
        <w:t xml:space="preserve">“Customer Data”</w:t>
      </w:r>
      <w:r>
        <w:rPr>
          <w:rFonts w:ascii="Arial" w:cs="Arial" w:eastAsia="Arial" w:hAnsi="Arial"/>
          <w:sz w:val="20"/>
          <w:szCs w:val="20"/>
        </w:rPr>
        <w:t xml:space="preserve"> means all data, content, and information submitted to the Service by or on behalf of Customer, including data visible to Customer through the Sponsor Dashboard. For the avoidance of doubt, data created or submitted by an Authorized Organization within its own workspace (“Authorized Organization Data”) is owned by that Authorized Organization and is not accessible to Customer except in aggregate form through the Sponsor Dashboard.</w:t>
      </w:r>
    </w:p>
    <w:p>
      <w:pPr>
        <w:spacing w:after="200"/>
        <w:jc w:val="left"/>
      </w:pPr>
      <w:r>
        <w:rPr>
          <w:rFonts w:ascii="Arial" w:cs="Arial" w:eastAsia="Arial" w:hAnsi="Arial"/>
          <w:b/>
          <w:bCs/>
          <w:sz w:val="20"/>
          <w:szCs w:val="20"/>
        </w:rPr>
        <w:t xml:space="preserve">“Authorized Organization”</w:t>
      </w:r>
      <w:r>
        <w:rPr>
          <w:rFonts w:ascii="Arial" w:cs="Arial" w:eastAsia="Arial" w:hAnsi="Arial"/>
          <w:sz w:val="20"/>
          <w:szCs w:val="20"/>
        </w:rPr>
        <w:t xml:space="preserve"> means a nonprofit organization, social enterprise, or other entity that activates a Kindora subscription using a Redemption Code provided under the applicable Order Form.</w:t>
      </w:r>
    </w:p>
    <w:p>
      <w:pPr>
        <w:spacing w:after="200"/>
        <w:jc w:val="left"/>
      </w:pPr>
      <w:r>
        <w:rPr>
          <w:rFonts w:ascii="Arial" w:cs="Arial" w:eastAsia="Arial" w:hAnsi="Arial"/>
          <w:b/>
          <w:bCs/>
          <w:sz w:val="20"/>
          <w:szCs w:val="20"/>
        </w:rPr>
        <w:t xml:space="preserve">“Order Form”</w:t>
      </w:r>
      <w:r>
        <w:rPr>
          <w:rFonts w:ascii="Arial" w:cs="Arial" w:eastAsia="Arial" w:hAnsi="Arial"/>
          <w:sz w:val="20"/>
          <w:szCs w:val="20"/>
        </w:rPr>
        <w:t xml:space="preserve"> means the ordering document executed by the parties that references these Standard Terms and specifies the subscription details, pricing, and term.</w:t>
      </w:r>
    </w:p>
    <w:p>
      <w:pPr>
        <w:spacing w:after="200"/>
        <w:jc w:val="left"/>
      </w:pPr>
      <w:r>
        <w:rPr>
          <w:rFonts w:ascii="Arial" w:cs="Arial" w:eastAsia="Arial" w:hAnsi="Arial"/>
          <w:b/>
          <w:bCs/>
          <w:sz w:val="20"/>
          <w:szCs w:val="20"/>
        </w:rPr>
        <w:t xml:space="preserve">“Redemption Code”</w:t>
      </w:r>
      <w:r>
        <w:rPr>
          <w:rFonts w:ascii="Arial" w:cs="Arial" w:eastAsia="Arial" w:hAnsi="Arial"/>
          <w:sz w:val="20"/>
          <w:szCs w:val="20"/>
        </w:rPr>
        <w:t xml:space="preserve"> means a unique alphanumeric code provided to Customer for distribution to Authorized Organizations to activate their Kindora subscriptions.</w:t>
      </w:r>
    </w:p>
    <w:p>
      <w:pPr>
        <w:spacing w:after="200"/>
        <w:jc w:val="left"/>
      </w:pPr>
      <w:r>
        <w:rPr>
          <w:rFonts w:ascii="Arial" w:cs="Arial" w:eastAsia="Arial" w:hAnsi="Arial"/>
          <w:b/>
          <w:bCs/>
          <w:sz w:val="20"/>
          <w:szCs w:val="20"/>
        </w:rPr>
        <w:t xml:space="preserve">“Service”</w:t>
      </w:r>
      <w:r>
        <w:rPr>
          <w:rFonts w:ascii="Arial" w:cs="Arial" w:eastAsia="Arial" w:hAnsi="Arial"/>
          <w:sz w:val="20"/>
          <w:szCs w:val="20"/>
        </w:rPr>
        <w:t xml:space="preserve"> means Kindora’s cloud-based grant intelligence platform, including all features, updates, and enhancements made generally available during the Term.</w:t>
      </w:r>
    </w:p>
    <w:p>
      <w:pPr>
        <w:spacing w:after="200"/>
        <w:jc w:val="left"/>
      </w:pPr>
      <w:r>
        <w:rPr>
          <w:rFonts w:ascii="Arial" w:cs="Arial" w:eastAsia="Arial" w:hAnsi="Arial"/>
          <w:b/>
          <w:bCs/>
          <w:sz w:val="20"/>
          <w:szCs w:val="20"/>
        </w:rPr>
        <w:t xml:space="preserve">“Sponsor Dashboard”</w:t>
      </w:r>
      <w:r>
        <w:rPr>
          <w:rFonts w:ascii="Arial" w:cs="Arial" w:eastAsia="Arial" w:hAnsi="Arial"/>
          <w:sz w:val="20"/>
          <w:szCs w:val="20"/>
        </w:rPr>
        <w:t xml:space="preserve"> means the administrative interface provided to Customer showing aggregate adoption and usage metrics for Authorized Organizations.</w:t>
      </w:r>
    </w:p>
    <w:p>
      <w:pPr>
        <w:spacing w:after="200"/>
        <w:jc w:val="left"/>
      </w:pPr>
      <w:r>
        <w:rPr>
          <w:rFonts w:ascii="Arial" w:cs="Arial" w:eastAsia="Arial" w:hAnsi="Arial"/>
          <w:b/>
          <w:bCs/>
          <w:sz w:val="20"/>
          <w:szCs w:val="20"/>
        </w:rPr>
        <w:t xml:space="preserve">“Term”</w:t>
      </w:r>
      <w:r>
        <w:rPr>
          <w:rFonts w:ascii="Arial" w:cs="Arial" w:eastAsia="Arial" w:hAnsi="Arial"/>
          <w:sz w:val="20"/>
          <w:szCs w:val="20"/>
        </w:rPr>
        <w:t xml:space="preserve"> means the subscription period specified in the Order Form.</w:t>
      </w:r>
    </w:p>
    <w:p>
      <w:pPr>
        <w:pStyle w:val="Heading1"/>
        <w:spacing w:after="200" w:before="360"/>
      </w:pPr>
      <w:r>
        <w:rPr>
          <w:rFonts w:ascii="Arial" w:cs="Arial" w:eastAsia="Arial" w:hAnsi="Arial"/>
        </w:rPr>
        <w:t xml:space="preserve">2. Service and Access</w:t>
      </w:r>
    </w:p>
    <w:p>
      <w:pPr>
        <w:pStyle w:val="Heading2"/>
        <w:spacing w:after="200" w:before="240"/>
      </w:pPr>
      <w:r>
        <w:rPr>
          <w:rFonts w:ascii="Arial" w:cs="Arial" w:eastAsia="Arial" w:hAnsi="Arial"/>
        </w:rPr>
        <w:t xml:space="preserve">2.1 Grant of Access</w:t>
      </w:r>
    </w:p>
    <w:p>
      <w:pPr>
        <w:spacing w:after="200"/>
        <w:jc w:val="left"/>
      </w:pPr>
      <w:r>
        <w:rPr>
          <w:rFonts w:ascii="Arial" w:cs="Arial" w:eastAsia="Arial" w:hAnsi="Arial"/>
          <w:b w:val="false"/>
          <w:bCs w:val="false"/>
          <w:i w:val="false"/>
          <w:iCs w:val="false"/>
          <w:sz w:val="20"/>
          <w:szCs w:val="20"/>
        </w:rPr>
        <w:t xml:space="preserve">Subject to the terms of this Agreement and the applicable Order Form, Kindora grants Customer and its Authorized Organizations a non-exclusive, non-transferable right to access and use the Service during the Term.</w:t>
      </w:r>
    </w:p>
    <w:p>
      <w:pPr>
        <w:pStyle w:val="Heading2"/>
        <w:spacing w:after="200" w:before="240"/>
      </w:pPr>
      <w:r>
        <w:rPr>
          <w:rFonts w:ascii="Arial" w:cs="Arial" w:eastAsia="Arial" w:hAnsi="Arial"/>
        </w:rPr>
        <w:t xml:space="preserve">2.2 Authorized Organizations</w:t>
      </w:r>
    </w:p>
    <w:p>
      <w:pPr>
        <w:spacing w:after="200"/>
        <w:jc w:val="left"/>
      </w:pPr>
      <w:r>
        <w:rPr>
          <w:rFonts w:ascii="Arial" w:cs="Arial" w:eastAsia="Arial" w:hAnsi="Arial"/>
          <w:b w:val="false"/>
          <w:bCs w:val="false"/>
          <w:i w:val="false"/>
          <w:iCs w:val="false"/>
          <w:sz w:val="20"/>
          <w:szCs w:val="20"/>
        </w:rPr>
        <w:t xml:space="preserve">Each Authorized Organization that redeems a Redemption Code receives its own independent Kindora workspace with the plan tier specified in the Order Form. Authorized Organizations are independent users of the Service; Customer does not have access to any Authorized Organization’s workspace, data, searches, pipeline, or grant applications.</w:t>
      </w:r>
    </w:p>
    <w:p>
      <w:pPr>
        <w:pStyle w:val="Heading2"/>
        <w:spacing w:after="200" w:before="240"/>
      </w:pPr>
      <w:r>
        <w:rPr>
          <w:rFonts w:ascii="Arial" w:cs="Arial" w:eastAsia="Arial" w:hAnsi="Arial"/>
        </w:rPr>
        <w:t xml:space="preserve">2.3 Sponsor Dashboard</w:t>
      </w:r>
    </w:p>
    <w:p>
      <w:pPr>
        <w:spacing w:after="200"/>
        <w:jc w:val="left"/>
      </w:pPr>
      <w:r>
        <w:rPr>
          <w:rFonts w:ascii="Arial" w:cs="Arial" w:eastAsia="Arial" w:hAnsi="Arial"/>
          <w:b w:val="false"/>
          <w:bCs w:val="false"/>
          <w:i w:val="false"/>
          <w:iCs w:val="false"/>
          <w:sz w:val="20"/>
          <w:szCs w:val="20"/>
        </w:rPr>
        <w:t xml:space="preserve">Customer receives access to the Sponsor Dashboard, which displays only aggregate metrics: total Redemption Codes redeemed, number of active Authorized Organizations, and aggregate platform usage statistics. The Sponsor Dashboard does not display any Authorized Organization’s individual data, searches, funder lists, grant applications, or strategy. No organization-identifying information is visible to Customer through the Sponsor Dashboard unless the affected Authorized Organization has provided separate written opt-in consent. Until the Sponsor Dashboard is generally available, Kindora may satisfy this obligation by providing substantially equivalent aggregate reports.</w:t>
      </w:r>
    </w:p>
    <w:p>
      <w:pPr>
        <w:pStyle w:val="Heading2"/>
        <w:spacing w:after="200" w:before="240"/>
      </w:pPr>
      <w:r>
        <w:rPr>
          <w:rFonts w:ascii="Arial" w:cs="Arial" w:eastAsia="Arial" w:hAnsi="Arial"/>
        </w:rPr>
        <w:t xml:space="preserve">2.4 Authorized Organization Terms</w:t>
      </w:r>
    </w:p>
    <w:p>
      <w:pPr>
        <w:spacing w:after="200"/>
        <w:jc w:val="left"/>
      </w:pPr>
      <w:r>
        <w:rPr>
          <w:rFonts w:ascii="Arial" w:cs="Arial" w:eastAsia="Arial" w:hAnsi="Arial"/>
          <w:b w:val="false"/>
          <w:bCs w:val="false"/>
          <w:i w:val="false"/>
          <w:iCs w:val="false"/>
          <w:sz w:val="20"/>
          <w:szCs w:val="20"/>
        </w:rPr>
        <w:t xml:space="preserve">Each Authorized Organization must accept Kindora’s standard clickthrough Terms of Service and Privacy Policy at the time of account creation. The relationship between Kindora and each Authorized Organization is governed by those terms, not by this Agreement. Customer is not liable for the independent acts or omissions of an Authorized Organization unless Customer directed or specifically authorized the conduct giving rise to the claim.</w:t>
      </w:r>
    </w:p>
    <w:p>
      <w:pPr>
        <w:pStyle w:val="Heading2"/>
        <w:spacing w:after="200" w:before="240"/>
      </w:pPr>
      <w:r>
        <w:rPr>
          <w:rFonts w:ascii="Arial" w:cs="Arial" w:eastAsia="Arial" w:hAnsi="Arial"/>
        </w:rPr>
        <w:t xml:space="preserve">2.5 Redemption Code Limits</w:t>
      </w:r>
    </w:p>
    <w:p>
      <w:pPr>
        <w:spacing w:after="200"/>
        <w:jc w:val="left"/>
      </w:pPr>
      <w:r>
        <w:rPr>
          <w:rFonts w:ascii="Arial" w:cs="Arial" w:eastAsia="Arial" w:hAnsi="Arial"/>
          <w:b w:val="false"/>
          <w:bCs w:val="false"/>
          <w:i w:val="false"/>
          <w:iCs w:val="false"/>
          <w:sz w:val="20"/>
          <w:szCs w:val="20"/>
        </w:rPr>
        <w:t xml:space="preserve">Redemption Codes are subject to the redemption cap and expiration date specified in the Order Form. Codes may not be sold, transferred, or distributed beyond the Authorized Organization network described in the Order Form.</w:t>
      </w:r>
    </w:p>
    <w:p>
      <w:pPr>
        <w:pStyle w:val="Heading2"/>
        <w:spacing w:after="200" w:before="240"/>
      </w:pPr>
      <w:r>
        <w:rPr>
          <w:rFonts w:ascii="Arial" w:cs="Arial" w:eastAsia="Arial" w:hAnsi="Arial"/>
        </w:rPr>
        <w:t xml:space="preserve">2.6 Use Restrictions</w:t>
      </w:r>
    </w:p>
    <w:p>
      <w:pPr>
        <w:spacing w:after="200"/>
        <w:jc w:val="left"/>
      </w:pPr>
      <w:r>
        <w:rPr>
          <w:rFonts w:ascii="Arial" w:cs="Arial" w:eastAsia="Arial" w:hAnsi="Arial"/>
          <w:b w:val="false"/>
          <w:bCs w:val="false"/>
          <w:i w:val="false"/>
          <w:iCs w:val="false"/>
          <w:sz w:val="20"/>
          <w:szCs w:val="20"/>
        </w:rPr>
        <w:t xml:space="preserve">Customer and its Authorized Organizations shall not: (a) sublicense, resell, or redistribute access to the Service except through authorized Redemption Code distribution; (b) reverse engineer, decompile, or disassemble the Service; (c) use the Service in violation of applicable law; (d) transmit malicious code or interfere with the integrity or performance of the Service; or (e) use the Service to store or transmit content that infringes third-party intellectual property rights.</w:t>
      </w:r>
    </w:p>
    <w:p>
      <w:pPr>
        <w:pStyle w:val="Heading2"/>
        <w:spacing w:after="200" w:before="240"/>
      </w:pPr>
      <w:r>
        <w:rPr>
          <w:rFonts w:ascii="Arial" w:cs="Arial" w:eastAsia="Arial" w:hAnsi="Arial"/>
        </w:rPr>
        <w:t xml:space="preserve">2.7 Suspension</w:t>
      </w:r>
    </w:p>
    <w:p>
      <w:pPr>
        <w:spacing w:after="200"/>
        <w:jc w:val="left"/>
      </w:pPr>
      <w:r>
        <w:rPr>
          <w:rFonts w:ascii="Arial" w:cs="Arial" w:eastAsia="Arial" w:hAnsi="Arial"/>
          <w:b w:val="false"/>
          <w:bCs w:val="false"/>
          <w:i w:val="false"/>
          <w:iCs w:val="false"/>
          <w:sz w:val="20"/>
          <w:szCs w:val="20"/>
        </w:rPr>
        <w:t xml:space="preserve">Kindora may suspend access to the Service for any account that Kindora reasonably determines is being used in violation of Section 2.6, upon notice to Customer (or to the Authorized Organization directly, if the violation originates from that organization’s account). Kindora will use commercially reasonable efforts to limit the scope and duration of any suspension to the minimum necessary to address the violation.</w:t>
      </w:r>
    </w:p>
    <w:p>
      <w:pPr>
        <w:pStyle w:val="Heading2"/>
        <w:spacing w:after="200" w:before="240"/>
      </w:pPr>
      <w:r>
        <w:rPr>
          <w:rFonts w:ascii="Arial" w:cs="Arial" w:eastAsia="Arial" w:hAnsi="Arial"/>
        </w:rPr>
        <w:t xml:space="preserve">2.8 Service Availability</w:t>
      </w:r>
    </w:p>
    <w:p>
      <w:pPr>
        <w:spacing w:after="200"/>
        <w:jc w:val="left"/>
      </w:pPr>
      <w:r>
        <w:rPr>
          <w:rFonts w:ascii="Arial" w:cs="Arial" w:eastAsia="Arial" w:hAnsi="Arial"/>
          <w:b w:val="false"/>
          <w:bCs w:val="false"/>
          <w:i w:val="false"/>
          <w:iCs w:val="false"/>
          <w:sz w:val="20"/>
          <w:szCs w:val="20"/>
        </w:rPr>
        <w:t xml:space="preserve">Kindora will use commercially reasonable efforts to maintain Service availability of at least 99.5% measured monthly, excluding scheduled maintenance. Scheduled maintenance windows will be communicated at least 48 hours in advance via email or in-app notification.</w:t>
      </w:r>
    </w:p>
    <w:p>
      <w:pPr>
        <w:pStyle w:val="Heading1"/>
        <w:spacing w:after="200" w:before="360"/>
      </w:pPr>
      <w:r>
        <w:rPr>
          <w:rFonts w:ascii="Arial" w:cs="Arial" w:eastAsia="Arial" w:hAnsi="Arial"/>
        </w:rPr>
        <w:t xml:space="preserve">3. Fees and Payment</w:t>
      </w:r>
    </w:p>
    <w:p>
      <w:pPr>
        <w:pStyle w:val="Heading2"/>
        <w:spacing w:after="200" w:before="240"/>
      </w:pPr>
      <w:r>
        <w:rPr>
          <w:rFonts w:ascii="Arial" w:cs="Arial" w:eastAsia="Arial" w:hAnsi="Arial"/>
        </w:rPr>
        <w:t xml:space="preserve">3.1 Fees</w:t>
      </w:r>
    </w:p>
    <w:p>
      <w:pPr>
        <w:spacing w:after="200"/>
        <w:jc w:val="left"/>
      </w:pPr>
      <w:r>
        <w:rPr>
          <w:rFonts w:ascii="Arial" w:cs="Arial" w:eastAsia="Arial" w:hAnsi="Arial"/>
          <w:b w:val="false"/>
          <w:bCs w:val="false"/>
          <w:i w:val="false"/>
          <w:iCs w:val="false"/>
          <w:sz w:val="20"/>
          <w:szCs w:val="20"/>
        </w:rPr>
        <w:t xml:space="preserve">Customer shall pay the fees specified in the Order Form. All fees are in U.S. dollars and are exclusive of taxes.</w:t>
      </w:r>
    </w:p>
    <w:p>
      <w:pPr>
        <w:pStyle w:val="Heading2"/>
        <w:spacing w:after="200" w:before="240"/>
      </w:pPr>
      <w:r>
        <w:rPr>
          <w:rFonts w:ascii="Arial" w:cs="Arial" w:eastAsia="Arial" w:hAnsi="Arial"/>
        </w:rPr>
        <w:t xml:space="preserve">3.2 Payment Terms</w:t>
      </w:r>
    </w:p>
    <w:p>
      <w:pPr>
        <w:spacing w:after="200"/>
        <w:jc w:val="left"/>
      </w:pPr>
      <w:r>
        <w:rPr>
          <w:rFonts w:ascii="Arial" w:cs="Arial" w:eastAsia="Arial" w:hAnsi="Arial"/>
          <w:b w:val="false"/>
          <w:bCs w:val="false"/>
          <w:i w:val="false"/>
          <w:iCs w:val="false"/>
          <w:sz w:val="20"/>
          <w:szCs w:val="20"/>
        </w:rPr>
        <w:t xml:space="preserve">Invoices are due net-30 from the invoice date unless otherwise specified in the Order Form. Customer may designate a purchase order number for invoicing purposes.</w:t>
      </w:r>
    </w:p>
    <w:p>
      <w:pPr>
        <w:pStyle w:val="Heading2"/>
        <w:spacing w:after="200" w:before="240"/>
      </w:pPr>
      <w:r>
        <w:rPr>
          <w:rFonts w:ascii="Arial" w:cs="Arial" w:eastAsia="Arial" w:hAnsi="Arial"/>
        </w:rPr>
        <w:t xml:space="preserve">3.3 Fixed and Variable Billing</w:t>
      </w:r>
    </w:p>
    <w:p>
      <w:pPr>
        <w:spacing w:after="200"/>
        <w:jc w:val="left"/>
      </w:pPr>
      <w:r>
        <w:rPr>
          <w:rFonts w:ascii="Arial" w:cs="Arial" w:eastAsia="Arial" w:hAnsi="Arial"/>
          <w:b w:val="false"/>
          <w:bCs w:val="false"/>
          <w:i w:val="false"/>
          <w:iCs w:val="false"/>
          <w:sz w:val="20"/>
          <w:szCs w:val="20"/>
        </w:rPr>
        <w:t xml:space="preserve">If the Order Form specifies split billing (Option B), the fixed portion is invoiced at contract signing and the variable portion is invoiced quarterly in arrears. Once an Authorized Organization in the variable band activates via Redemption Code, it is billed at the per-org rate specified in the Order Form for each month (or partial month, pro-rated) it remains active through the end of the Term. Each quarterly variable invoice will include: the number of new activations during the quarter, the total number of active variable-band organizations, and the aggregate activation dates.</w:t>
      </w:r>
    </w:p>
    <w:p>
      <w:pPr>
        <w:pStyle w:val="Heading2"/>
        <w:spacing w:after="200" w:before="240"/>
      </w:pPr>
      <w:r>
        <w:rPr>
          <w:rFonts w:ascii="Arial" w:cs="Arial" w:eastAsia="Arial" w:hAnsi="Arial"/>
        </w:rPr>
        <w:t xml:space="preserve">3.4 Overages</w:t>
      </w:r>
    </w:p>
    <w:p>
      <w:pPr>
        <w:spacing w:after="200"/>
        <w:jc w:val="left"/>
      </w:pPr>
      <w:r>
        <w:rPr>
          <w:rFonts w:ascii="Arial" w:cs="Arial" w:eastAsia="Arial" w:hAnsi="Arial"/>
          <w:b w:val="false"/>
          <w:bCs w:val="false"/>
          <w:i w:val="false"/>
          <w:iCs w:val="false"/>
          <w:sz w:val="20"/>
          <w:szCs w:val="20"/>
        </w:rPr>
        <w:t xml:space="preserve">Activations exceeding the target org count specified in the Order Form are billed quarterly at the Individual plan list rate in effect on the Effective Date of the Order Form (currently $49/mo per org), unless Customer and Kindora agree in writing to a revised target count at the enterprise rate.</w:t>
      </w:r>
    </w:p>
    <w:p>
      <w:pPr>
        <w:pStyle w:val="Heading2"/>
        <w:spacing w:after="200" w:before="240"/>
      </w:pPr>
      <w:r>
        <w:rPr>
          <w:rFonts w:ascii="Arial" w:cs="Arial" w:eastAsia="Arial" w:hAnsi="Arial"/>
        </w:rPr>
        <w:t xml:space="preserve">3.5 Taxes</w:t>
      </w:r>
    </w:p>
    <w:p>
      <w:pPr>
        <w:spacing w:after="200"/>
        <w:jc w:val="left"/>
      </w:pPr>
      <w:r>
        <w:rPr>
          <w:rFonts w:ascii="Arial" w:cs="Arial" w:eastAsia="Arial" w:hAnsi="Arial"/>
          <w:b w:val="false"/>
          <w:bCs w:val="false"/>
          <w:i w:val="false"/>
          <w:iCs w:val="false"/>
          <w:sz w:val="20"/>
          <w:szCs w:val="20"/>
        </w:rPr>
        <w:t xml:space="preserve">Customer is responsible for all applicable taxes, duties, and levies imposed by governmental authorities, excluding taxes based on Kindora’s net income. If Customer is required to withhold taxes, the amount payable to Kindora shall be increased so that Kindora receives the full amount specified in the Order Form.</w:t>
      </w:r>
    </w:p>
    <w:p>
      <w:pPr>
        <w:pStyle w:val="Heading2"/>
        <w:spacing w:after="200" w:before="240"/>
      </w:pPr>
      <w:r>
        <w:rPr>
          <w:rFonts w:ascii="Arial" w:cs="Arial" w:eastAsia="Arial" w:hAnsi="Arial"/>
        </w:rPr>
        <w:t xml:space="preserve">3.6 Late Payments</w:t>
      </w:r>
    </w:p>
    <w:p>
      <w:pPr>
        <w:spacing w:after="200"/>
        <w:jc w:val="left"/>
      </w:pPr>
      <w:r>
        <w:rPr>
          <w:rFonts w:ascii="Arial" w:cs="Arial" w:eastAsia="Arial" w:hAnsi="Arial"/>
          <w:b w:val="false"/>
          <w:bCs w:val="false"/>
          <w:i w:val="false"/>
          <w:iCs w:val="false"/>
          <w:sz w:val="20"/>
          <w:szCs w:val="20"/>
        </w:rPr>
        <w:t xml:space="preserve">Amounts not paid when due accrue interest at 1.5% per month (or the maximum rate permitted by law, if less). If payment is more than 30 days past due, Kindora may suspend access to the Sponsor Dashboard and new Redemption Code activations upon 10 days’ written notice. Existing Authorized Organization access will not be suspended for late payment by Customer during the first 60 days past due.</w:t>
      </w:r>
    </w:p>
    <w:p>
      <w:pPr>
        <w:pStyle w:val="Heading2"/>
        <w:spacing w:after="200" w:before="240"/>
      </w:pPr>
      <w:r>
        <w:rPr>
          <w:rFonts w:ascii="Arial" w:cs="Arial" w:eastAsia="Arial" w:hAnsi="Arial"/>
        </w:rPr>
        <w:t xml:space="preserve">3.7 No Refunds</w:t>
      </w:r>
    </w:p>
    <w:p>
      <w:pPr>
        <w:spacing w:after="200"/>
        <w:jc w:val="left"/>
      </w:pPr>
      <w:r>
        <w:rPr>
          <w:rFonts w:ascii="Arial" w:cs="Arial" w:eastAsia="Arial" w:hAnsi="Arial"/>
          <w:b w:val="false"/>
          <w:bCs w:val="false"/>
          <w:i w:val="false"/>
          <w:iCs w:val="false"/>
          <w:sz w:val="20"/>
          <w:szCs w:val="20"/>
        </w:rPr>
        <w:t xml:space="preserve">Except as expressly set forth in this Agreement, fees are non-refundable.</w:t>
      </w:r>
    </w:p>
    <w:p>
      <w:pPr>
        <w:pStyle w:val="Heading1"/>
        <w:spacing w:after="200" w:before="360"/>
      </w:pPr>
      <w:r>
        <w:rPr>
          <w:rFonts w:ascii="Arial" w:cs="Arial" w:eastAsia="Arial" w:hAnsi="Arial"/>
        </w:rPr>
        <w:t xml:space="preserve">4. Term and Renewal</w:t>
      </w:r>
    </w:p>
    <w:p>
      <w:pPr>
        <w:pStyle w:val="Heading2"/>
        <w:spacing w:after="200" w:before="240"/>
      </w:pPr>
      <w:r>
        <w:rPr>
          <w:rFonts w:ascii="Arial" w:cs="Arial" w:eastAsia="Arial" w:hAnsi="Arial"/>
        </w:rPr>
        <w:t xml:space="preserve">4.1 Term</w:t>
      </w:r>
    </w:p>
    <w:p>
      <w:pPr>
        <w:spacing w:after="200"/>
        <w:jc w:val="left"/>
      </w:pPr>
      <w:r>
        <w:rPr>
          <w:rFonts w:ascii="Arial" w:cs="Arial" w:eastAsia="Arial" w:hAnsi="Arial"/>
          <w:b w:val="false"/>
          <w:bCs w:val="false"/>
          <w:i w:val="false"/>
          <w:iCs w:val="false"/>
          <w:sz w:val="20"/>
          <w:szCs w:val="20"/>
        </w:rPr>
        <w:t xml:space="preserve">The initial Term begins on the Effective Date specified in the Order Form and continues for the period specified therein (typically 12 months).</w:t>
      </w:r>
    </w:p>
    <w:p>
      <w:pPr>
        <w:pStyle w:val="Heading2"/>
        <w:spacing w:after="200" w:before="240"/>
      </w:pPr>
      <w:r>
        <w:rPr>
          <w:rFonts w:ascii="Arial" w:cs="Arial" w:eastAsia="Arial" w:hAnsi="Arial"/>
        </w:rPr>
        <w:t xml:space="preserve">4.2 Renewal</w:t>
      </w:r>
    </w:p>
    <w:p>
      <w:pPr>
        <w:spacing w:after="200"/>
        <w:jc w:val="left"/>
      </w:pPr>
      <w:r>
        <w:rPr>
          <w:rFonts w:ascii="Arial" w:cs="Arial" w:eastAsia="Arial" w:hAnsi="Arial"/>
          <w:b w:val="false"/>
          <w:bCs w:val="false"/>
          <w:i w:val="false"/>
          <w:iCs w:val="false"/>
          <w:sz w:val="20"/>
          <w:szCs w:val="20"/>
        </w:rPr>
        <w:t xml:space="preserve">The Agreement will automatically renew for successive 12-month periods unless either party provides written notice of non-renewal at least 60 days before the end of the then-current Term.</w:t>
      </w:r>
    </w:p>
    <w:p>
      <w:pPr>
        <w:pStyle w:val="Heading2"/>
        <w:spacing w:after="200" w:before="240"/>
      </w:pPr>
      <w:r>
        <w:rPr>
          <w:rFonts w:ascii="Arial" w:cs="Arial" w:eastAsia="Arial" w:hAnsi="Arial"/>
        </w:rPr>
        <w:t xml:space="preserve">4.3 Renewal Pricing</w:t>
      </w:r>
    </w:p>
    <w:p>
      <w:pPr>
        <w:spacing w:after="200"/>
        <w:jc w:val="left"/>
      </w:pPr>
      <w:r>
        <w:rPr>
          <w:rFonts w:ascii="Arial" w:cs="Arial" w:eastAsia="Arial" w:hAnsi="Arial"/>
          <w:b w:val="false"/>
          <w:bCs w:val="false"/>
          <w:i w:val="false"/>
          <w:iCs w:val="false"/>
          <w:sz w:val="20"/>
          <w:szCs w:val="20"/>
        </w:rPr>
        <w:t xml:space="preserve">Renewal pricing will be at the same per-org rate unless (a) the Authorized Organization count changes, requiring a tier adjustment per the Enterprise Network Plans, or (b) Kindora provides at least 90 days’ notice of a pricing change. Customer may terminate upon pricing change by providing written notice within 30 days of receiving the pricing change notice.</w:t>
      </w:r>
    </w:p>
    <w:p>
      <w:pPr>
        <w:pStyle w:val="Heading1"/>
        <w:spacing w:after="200" w:before="360"/>
      </w:pPr>
      <w:r>
        <w:rPr>
          <w:rFonts w:ascii="Arial" w:cs="Arial" w:eastAsia="Arial" w:hAnsi="Arial"/>
        </w:rPr>
        <w:t xml:space="preserve">5. Data Ownership and Privacy</w:t>
      </w:r>
    </w:p>
    <w:p>
      <w:pPr>
        <w:pStyle w:val="Heading2"/>
        <w:spacing w:after="200" w:before="240"/>
      </w:pPr>
      <w:r>
        <w:rPr>
          <w:rFonts w:ascii="Arial" w:cs="Arial" w:eastAsia="Arial" w:hAnsi="Arial"/>
        </w:rPr>
        <w:t xml:space="preserve">5.1 Customer Data Ownership</w:t>
      </w:r>
    </w:p>
    <w:p>
      <w:pPr>
        <w:spacing w:after="200"/>
        <w:jc w:val="left"/>
      </w:pPr>
      <w:r>
        <w:rPr>
          <w:rFonts w:ascii="Arial" w:cs="Arial" w:eastAsia="Arial" w:hAnsi="Arial"/>
          <w:b w:val="false"/>
          <w:bCs w:val="false"/>
          <w:i w:val="false"/>
          <w:iCs w:val="false"/>
          <w:sz w:val="20"/>
          <w:szCs w:val="20"/>
        </w:rPr>
        <w:t xml:space="preserve">As between the parties, Customer and its Authorized Organizations retain all right, title, and interest in Customer Data. Kindora receives a limited, non-exclusive license to use Customer Data solely to provide the Service and as described in this Agreement.</w:t>
      </w:r>
    </w:p>
    <w:p>
      <w:pPr>
        <w:pStyle w:val="Heading2"/>
        <w:spacing w:after="200" w:before="240"/>
      </w:pPr>
      <w:r>
        <w:rPr>
          <w:rFonts w:ascii="Arial" w:cs="Arial" w:eastAsia="Arial" w:hAnsi="Arial"/>
        </w:rPr>
        <w:t xml:space="preserve">5.2 Authorized Organization Data Isolation</w:t>
      </w:r>
    </w:p>
    <w:p>
      <w:pPr>
        <w:spacing w:after="200"/>
        <w:jc w:val="left"/>
      </w:pPr>
      <w:r>
        <w:rPr>
          <w:rFonts w:ascii="Arial" w:cs="Arial" w:eastAsia="Arial" w:hAnsi="Arial"/>
          <w:b w:val="false"/>
          <w:bCs w:val="false"/>
          <w:i w:val="false"/>
          <w:iCs w:val="false"/>
          <w:sz w:val="20"/>
          <w:szCs w:val="20"/>
        </w:rPr>
        <w:t xml:space="preserve">Each Authorized Organization’s data is logically isolated within the Service. Customer acknowledges and agrees that it does not have any right to access, view, or export any individual Authorized Organization’s data, including but not limited to funder searches, pipeline information, grant applications, Intel Briefs, or strategic plans.</w:t>
      </w:r>
    </w:p>
    <w:p>
      <w:pPr>
        <w:pStyle w:val="Heading2"/>
        <w:spacing w:after="200" w:before="240"/>
      </w:pPr>
      <w:r>
        <w:rPr>
          <w:rFonts w:ascii="Arial" w:cs="Arial" w:eastAsia="Arial" w:hAnsi="Arial"/>
        </w:rPr>
        <w:t xml:space="preserve">5.3 Aggregate Data</w:t>
      </w:r>
    </w:p>
    <w:p>
      <w:pPr>
        <w:spacing w:after="200"/>
        <w:jc w:val="left"/>
      </w:pPr>
      <w:r>
        <w:rPr>
          <w:rFonts w:ascii="Arial" w:cs="Arial" w:eastAsia="Arial" w:hAnsi="Arial"/>
          <w:b w:val="false"/>
          <w:bCs w:val="false"/>
          <w:i w:val="false"/>
          <w:iCs w:val="false"/>
          <w:sz w:val="20"/>
          <w:szCs w:val="20"/>
        </w:rPr>
        <w:t xml:space="preserve">Kindora may collect, use, and disclose aggregate, anonymized data derived from use of the Service for product improvement, benchmarking, and research purposes, provided such data does not identify Customer or any Authorized Organization.</w:t>
      </w:r>
    </w:p>
    <w:p>
      <w:pPr>
        <w:pStyle w:val="Heading2"/>
        <w:spacing w:after="200" w:before="240"/>
      </w:pPr>
      <w:r>
        <w:rPr>
          <w:rFonts w:ascii="Arial" w:cs="Arial" w:eastAsia="Arial" w:hAnsi="Arial"/>
        </w:rPr>
        <w:t xml:space="preserve">5.4 Privacy Policy</w:t>
      </w:r>
    </w:p>
    <w:p>
      <w:pPr>
        <w:spacing w:after="200"/>
        <w:jc w:val="left"/>
      </w:pPr>
      <w:r>
        <w:rPr>
          <w:rFonts w:ascii="Arial" w:cs="Arial" w:eastAsia="Arial" w:hAnsi="Arial"/>
          <w:b w:val="false"/>
          <w:bCs w:val="false"/>
          <w:i w:val="false"/>
          <w:iCs w:val="false"/>
          <w:sz w:val="20"/>
          <w:szCs w:val="20"/>
        </w:rPr>
        <w:t xml:space="preserve">Kindora’s collection, use, and disclosure of personal information is governed by Kindora’s Privacy Policy, available at kindora.co/privacy.</w:t>
      </w:r>
    </w:p>
    <w:p>
      <w:pPr>
        <w:pStyle w:val="Heading2"/>
        <w:spacing w:after="200" w:before="240"/>
      </w:pPr>
      <w:r>
        <w:rPr>
          <w:rFonts w:ascii="Arial" w:cs="Arial" w:eastAsia="Arial" w:hAnsi="Arial"/>
        </w:rPr>
        <w:t xml:space="preserve">5.5 Data Processing</w:t>
      </w:r>
    </w:p>
    <w:p>
      <w:pPr>
        <w:spacing w:after="200"/>
        <w:jc w:val="left"/>
      </w:pPr>
      <w:r>
        <w:rPr>
          <w:rFonts w:ascii="Arial" w:cs="Arial" w:eastAsia="Arial" w:hAnsi="Arial"/>
          <w:b w:val="false"/>
          <w:bCs w:val="false"/>
          <w:i w:val="false"/>
          <w:iCs w:val="false"/>
          <w:sz w:val="20"/>
          <w:szCs w:val="20"/>
        </w:rPr>
        <w:t xml:space="preserve">If Customer Data includes personal data subject to applicable data protection laws (including GDPR, CCPA/CPRA), the parties will execute a Data Processing Addendum. Kindora will provide a list of sub-processors upon request and will notify Customer at least 30 days before engaging a new sub-processor.</w:t>
      </w:r>
    </w:p>
    <w:p>
      <w:pPr>
        <w:pStyle w:val="Heading2"/>
        <w:spacing w:after="200" w:before="240"/>
      </w:pPr>
      <w:r>
        <w:rPr>
          <w:rFonts w:ascii="Arial" w:cs="Arial" w:eastAsia="Arial" w:hAnsi="Arial"/>
        </w:rPr>
        <w:t xml:space="preserve">5.6 Data Security</w:t>
      </w:r>
    </w:p>
    <w:p>
      <w:pPr>
        <w:spacing w:after="200"/>
        <w:jc w:val="left"/>
      </w:pPr>
      <w:r>
        <w:rPr>
          <w:rFonts w:ascii="Arial" w:cs="Arial" w:eastAsia="Arial" w:hAnsi="Arial"/>
          <w:b w:val="false"/>
          <w:bCs w:val="false"/>
          <w:i w:val="false"/>
          <w:iCs w:val="false"/>
          <w:sz w:val="20"/>
          <w:szCs w:val="20"/>
        </w:rPr>
        <w:t xml:space="preserve">Kindora maintains administrative, technical, and physical safeguards designed to protect Customer Data against unauthorized access, disclosure, alteration, or destruction. Kindora’s Security Overview document describes current security practices and is provided for informational purposes only; it is not incorporated into this Agreement unless an Order Form expressly states otherwise.</w:t>
      </w:r>
    </w:p>
    <w:p>
      <w:pPr>
        <w:pStyle w:val="Heading1"/>
        <w:spacing w:after="200" w:before="360"/>
      </w:pPr>
      <w:r>
        <w:rPr>
          <w:rFonts w:ascii="Arial" w:cs="Arial" w:eastAsia="Arial" w:hAnsi="Arial"/>
        </w:rPr>
        <w:t xml:space="preserve">6. Confidentiality</w:t>
      </w:r>
    </w:p>
    <w:p>
      <w:pPr>
        <w:pStyle w:val="Heading2"/>
        <w:spacing w:after="200" w:before="240"/>
      </w:pPr>
      <w:r>
        <w:rPr>
          <w:rFonts w:ascii="Arial" w:cs="Arial" w:eastAsia="Arial" w:hAnsi="Arial"/>
        </w:rPr>
        <w:t xml:space="preserve">6.1 Confidential Information</w:t>
      </w:r>
    </w:p>
    <w:p>
      <w:pPr>
        <w:spacing w:after="200"/>
        <w:jc w:val="left"/>
      </w:pPr>
      <w:r>
        <w:rPr>
          <w:rFonts w:ascii="Arial" w:cs="Arial" w:eastAsia="Arial" w:hAnsi="Arial"/>
          <w:b w:val="false"/>
          <w:bCs w:val="false"/>
          <w:i w:val="false"/>
          <w:iCs w:val="false"/>
          <w:sz w:val="20"/>
          <w:szCs w:val="20"/>
        </w:rPr>
        <w:t xml:space="preserve">Each party agrees to protect the other’s Confidential Information using the same degree of care it uses to protect its own confidential information (but no less than reasonable care). Confidential Information includes business plans, pricing, customer lists, technical data, and any information marked or reasonably understood to be confidential.</w:t>
      </w:r>
    </w:p>
    <w:p>
      <w:pPr>
        <w:pStyle w:val="Heading2"/>
        <w:spacing w:after="200" w:before="240"/>
      </w:pPr>
      <w:r>
        <w:rPr>
          <w:rFonts w:ascii="Arial" w:cs="Arial" w:eastAsia="Arial" w:hAnsi="Arial"/>
        </w:rPr>
        <w:t xml:space="preserve">6.2 Exclusions</w:t>
      </w:r>
    </w:p>
    <w:p>
      <w:pPr>
        <w:spacing w:after="200"/>
        <w:jc w:val="left"/>
      </w:pPr>
      <w:r>
        <w:rPr>
          <w:rFonts w:ascii="Arial" w:cs="Arial" w:eastAsia="Arial" w:hAnsi="Arial"/>
          <w:b w:val="false"/>
          <w:bCs w:val="false"/>
          <w:i w:val="false"/>
          <w:iCs w:val="false"/>
          <w:sz w:val="20"/>
          <w:szCs w:val="20"/>
        </w:rPr>
        <w:t xml:space="preserve">Confidential Information does not include information that: (a) is or becomes publicly available through no fault of the receiving party; (b) was known to the receiving party prior to disclosure; (c) is independently developed by the receiving party; or (d) is rightfully received from a third party without restriction.</w:t>
      </w:r>
    </w:p>
    <w:p>
      <w:pPr>
        <w:pStyle w:val="Heading2"/>
        <w:spacing w:after="200" w:before="240"/>
      </w:pPr>
      <w:r>
        <w:rPr>
          <w:rFonts w:ascii="Arial" w:cs="Arial" w:eastAsia="Arial" w:hAnsi="Arial"/>
        </w:rPr>
        <w:t xml:space="preserve">6.3 Required Disclosures</w:t>
      </w:r>
    </w:p>
    <w:p>
      <w:pPr>
        <w:spacing w:after="200"/>
        <w:jc w:val="left"/>
      </w:pPr>
      <w:r>
        <w:rPr>
          <w:rFonts w:ascii="Arial" w:cs="Arial" w:eastAsia="Arial" w:hAnsi="Arial"/>
          <w:b w:val="false"/>
          <w:bCs w:val="false"/>
          <w:i w:val="false"/>
          <w:iCs w:val="false"/>
          <w:sz w:val="20"/>
          <w:szCs w:val="20"/>
        </w:rPr>
        <w:t xml:space="preserve">A party may disclose Confidential Information to the extent required by law, regulation, or court order, provided it gives the other party reasonable prior notice (to the extent permitted by law) and cooperates in any effort to obtain protective treatment.</w:t>
      </w:r>
    </w:p>
    <w:p>
      <w:pPr>
        <w:pStyle w:val="Heading1"/>
        <w:spacing w:after="200" w:before="360"/>
      </w:pPr>
      <w:r>
        <w:rPr>
          <w:rFonts w:ascii="Arial" w:cs="Arial" w:eastAsia="Arial" w:hAnsi="Arial"/>
        </w:rPr>
        <w:t xml:space="preserve">7. Intellectual Property</w:t>
      </w:r>
    </w:p>
    <w:p>
      <w:pPr>
        <w:pStyle w:val="Heading2"/>
        <w:spacing w:after="200" w:before="240"/>
      </w:pPr>
      <w:r>
        <w:rPr>
          <w:rFonts w:ascii="Arial" w:cs="Arial" w:eastAsia="Arial" w:hAnsi="Arial"/>
        </w:rPr>
        <w:t xml:space="preserve">7.1 Kindora IP</w:t>
      </w:r>
    </w:p>
    <w:p>
      <w:pPr>
        <w:spacing w:after="200"/>
        <w:jc w:val="left"/>
      </w:pPr>
      <w:r>
        <w:rPr>
          <w:rFonts w:ascii="Arial" w:cs="Arial" w:eastAsia="Arial" w:hAnsi="Arial"/>
          <w:b w:val="false"/>
          <w:bCs w:val="false"/>
          <w:i w:val="false"/>
          <w:iCs w:val="false"/>
          <w:sz w:val="20"/>
          <w:szCs w:val="20"/>
        </w:rPr>
        <w:t xml:space="preserve">Kindora retains all right, title, and interest in the Service, including all software, algorithms, interfaces, documentation, and improvements, whether or not based on Customer feedback. No rights are granted to Customer except as expressly set forth in this Agreement.</w:t>
      </w:r>
    </w:p>
    <w:p>
      <w:pPr>
        <w:pStyle w:val="Heading2"/>
        <w:spacing w:after="200" w:before="240"/>
      </w:pPr>
      <w:r>
        <w:rPr>
          <w:rFonts w:ascii="Arial" w:cs="Arial" w:eastAsia="Arial" w:hAnsi="Arial"/>
        </w:rPr>
        <w:t xml:space="preserve">7.2 Feedback</w:t>
      </w:r>
    </w:p>
    <w:p>
      <w:pPr>
        <w:spacing w:after="200"/>
        <w:jc w:val="left"/>
      </w:pPr>
      <w:r>
        <w:rPr>
          <w:rFonts w:ascii="Arial" w:cs="Arial" w:eastAsia="Arial" w:hAnsi="Arial"/>
          <w:b w:val="false"/>
          <w:bCs w:val="false"/>
          <w:i w:val="false"/>
          <w:iCs w:val="false"/>
          <w:sz w:val="20"/>
          <w:szCs w:val="20"/>
        </w:rPr>
        <w:t xml:space="preserve">If Customer provides suggestions, ideas, or feedback regarding the Service, Kindora may use such feedback without restriction or obligation.</w:t>
      </w:r>
    </w:p>
    <w:p>
      <w:pPr>
        <w:pStyle w:val="Heading1"/>
        <w:spacing w:after="200" w:before="360"/>
      </w:pPr>
      <w:r>
        <w:rPr>
          <w:rFonts w:ascii="Arial" w:cs="Arial" w:eastAsia="Arial" w:hAnsi="Arial"/>
        </w:rPr>
        <w:t xml:space="preserve">8. Representations and Warranties</w:t>
      </w:r>
    </w:p>
    <w:p>
      <w:pPr>
        <w:pStyle w:val="Heading2"/>
        <w:spacing w:after="200" w:before="240"/>
      </w:pPr>
      <w:r>
        <w:rPr>
          <w:rFonts w:ascii="Arial" w:cs="Arial" w:eastAsia="Arial" w:hAnsi="Arial"/>
        </w:rPr>
        <w:t xml:space="preserve">8.1 Mutual Representations</w:t>
      </w:r>
    </w:p>
    <w:p>
      <w:pPr>
        <w:spacing w:after="200"/>
        <w:jc w:val="left"/>
      </w:pPr>
      <w:r>
        <w:rPr>
          <w:rFonts w:ascii="Arial" w:cs="Arial" w:eastAsia="Arial" w:hAnsi="Arial"/>
          <w:b w:val="false"/>
          <w:bCs w:val="false"/>
          <w:i w:val="false"/>
          <w:iCs w:val="false"/>
          <w:sz w:val="20"/>
          <w:szCs w:val="20"/>
        </w:rPr>
        <w:t xml:space="preserve">Each party represents and warrants that: (a) it has the authority to enter into this Agreement; and (b) its performance will not conflict with any other agreement.</w:t>
      </w:r>
    </w:p>
    <w:p>
      <w:pPr>
        <w:pStyle w:val="Heading2"/>
        <w:spacing w:after="200" w:before="240"/>
      </w:pPr>
      <w:r>
        <w:rPr>
          <w:rFonts w:ascii="Arial" w:cs="Arial" w:eastAsia="Arial" w:hAnsi="Arial"/>
        </w:rPr>
        <w:t xml:space="preserve">8.2 Kindora Warranties</w:t>
      </w:r>
    </w:p>
    <w:p>
      <w:pPr>
        <w:spacing w:after="200"/>
        <w:jc w:val="left"/>
      </w:pPr>
      <w:r>
        <w:rPr>
          <w:rFonts w:ascii="Arial" w:cs="Arial" w:eastAsia="Arial" w:hAnsi="Arial"/>
          <w:b w:val="false"/>
          <w:bCs w:val="false"/>
          <w:i w:val="false"/>
          <w:iCs w:val="false"/>
          <w:sz w:val="20"/>
          <w:szCs w:val="20"/>
        </w:rPr>
        <w:t xml:space="preserve">Kindora warrants that: (a) the Service will perform materially in accordance with its documentation during the Term; and (b) it will not materially decrease the overall functionality of the Service during the Term.</w:t>
      </w:r>
    </w:p>
    <w:p>
      <w:pPr>
        <w:pStyle w:val="Heading2"/>
        <w:spacing w:after="200" w:before="240"/>
      </w:pPr>
      <w:r>
        <w:rPr>
          <w:rFonts w:ascii="Arial" w:cs="Arial" w:eastAsia="Arial" w:hAnsi="Arial"/>
        </w:rPr>
        <w:t xml:space="preserve">8.3 Disclaimer</w:t>
      </w:r>
    </w:p>
    <w:p>
      <w:pPr>
        <w:spacing w:after="200"/>
        <w:jc w:val="left"/>
      </w:pPr>
      <w:r>
        <w:rPr>
          <w:rFonts w:ascii="Arial" w:cs="Arial" w:eastAsia="Arial" w:hAnsi="Arial"/>
          <w:b w:val="false"/>
          <w:bCs w:val="false"/>
          <w:i w:val="false"/>
          <w:iCs w:val="false"/>
          <w:sz w:val="20"/>
          <w:szCs w:val="20"/>
        </w:rPr>
        <w:t xml:space="preserve">EXCEPT AS EXPRESSLY SET FORTH IN THIS AGREEMENT, THE SERVICE IS PROVIDED "AS IS." KINDORA DISCLAIMS ALL OTHER WARRANTIES, EXPRESS OR IMPLIED, INCLUDING WARRANTIES OF MERCHANTABILITY, FITNESS FOR A PARTICULAR PURPOSE, AND NON-INFRINGEMENT.</w:t>
      </w:r>
    </w:p>
    <w:p>
      <w:pPr>
        <w:pStyle w:val="Heading1"/>
        <w:spacing w:after="200" w:before="360"/>
      </w:pPr>
      <w:r>
        <w:rPr>
          <w:rFonts w:ascii="Arial" w:cs="Arial" w:eastAsia="Arial" w:hAnsi="Arial"/>
        </w:rPr>
        <w:t xml:space="preserve">9. Limitation of Liability</w:t>
      </w:r>
    </w:p>
    <w:p>
      <w:pPr>
        <w:pStyle w:val="Heading2"/>
        <w:spacing w:after="200" w:before="240"/>
      </w:pPr>
      <w:r>
        <w:rPr>
          <w:rFonts w:ascii="Arial" w:cs="Arial" w:eastAsia="Arial" w:hAnsi="Arial"/>
        </w:rPr>
        <w:t xml:space="preserve">9.1 Liability Cap</w:t>
      </w:r>
    </w:p>
    <w:p>
      <w:pPr>
        <w:spacing w:after="200"/>
        <w:jc w:val="left"/>
      </w:pPr>
      <w:r>
        <w:rPr>
          <w:rFonts w:ascii="Arial" w:cs="Arial" w:eastAsia="Arial" w:hAnsi="Arial"/>
          <w:b w:val="false"/>
          <w:bCs w:val="false"/>
          <w:i w:val="false"/>
          <w:iCs w:val="false"/>
          <w:sz w:val="20"/>
          <w:szCs w:val="20"/>
        </w:rPr>
        <w:t xml:space="preserve">KINDORA’S TOTAL AGGREGATE LIABILITY ARISING OUT OF OR RELATED TO THIS AGREEMENT SHALL NOT EXCEED THE TOTAL FEES PAID BY CUSTOMER TO KINDORA IN THE 12 MONTHS PRECEDING THE EVENT GIVING RISE TO THE CLAIM.</w:t>
      </w:r>
    </w:p>
    <w:p>
      <w:pPr>
        <w:pStyle w:val="Heading2"/>
        <w:spacing w:after="200" w:before="240"/>
      </w:pPr>
      <w:r>
        <w:rPr>
          <w:rFonts w:ascii="Arial" w:cs="Arial" w:eastAsia="Arial" w:hAnsi="Arial"/>
        </w:rPr>
        <w:t xml:space="preserve">9.2 Exclusion of Consequential Damages</w:t>
      </w:r>
    </w:p>
    <w:p>
      <w:pPr>
        <w:spacing w:after="200"/>
        <w:jc w:val="left"/>
      </w:pPr>
      <w:r>
        <w:rPr>
          <w:rFonts w:ascii="Arial" w:cs="Arial" w:eastAsia="Arial" w:hAnsi="Arial"/>
          <w:b w:val="false"/>
          <w:bCs w:val="false"/>
          <w:i w:val="false"/>
          <w:iCs w:val="false"/>
          <w:sz w:val="20"/>
          <w:szCs w:val="20"/>
        </w:rPr>
        <w:t xml:space="preserve">IN NO EVENT SHALL EITHER PARTY BE LIABLE FOR ANY INDIRECT, INCIDENTAL, SPECIAL, CONSEQUENTIAL, OR PUNITIVE DAMAGES, INCLUDING LOSS OF PROFITS, REVENUE, DATA, OR BUSINESS OPPORTUNITIES, EVEN IF ADVISED OF THE POSSIBILITY OF SUCH DAMAGES.</w:t>
      </w:r>
    </w:p>
    <w:p>
      <w:pPr>
        <w:pStyle w:val="Heading2"/>
        <w:spacing w:after="200" w:before="240"/>
      </w:pPr>
      <w:r>
        <w:rPr>
          <w:rFonts w:ascii="Arial" w:cs="Arial" w:eastAsia="Arial" w:hAnsi="Arial"/>
        </w:rPr>
        <w:t xml:space="preserve">9.3 Exceptions</w:t>
      </w:r>
    </w:p>
    <w:p>
      <w:pPr>
        <w:spacing w:after="200"/>
        <w:jc w:val="left"/>
      </w:pPr>
      <w:r>
        <w:rPr>
          <w:rFonts w:ascii="Arial" w:cs="Arial" w:eastAsia="Arial" w:hAnsi="Arial"/>
          <w:b w:val="false"/>
          <w:bCs w:val="false"/>
          <w:i w:val="false"/>
          <w:iCs w:val="false"/>
          <w:sz w:val="20"/>
          <w:szCs w:val="20"/>
        </w:rPr>
        <w:t xml:space="preserve">The limitations in Sections 9.1 and 9.2 do not apply to: (a) either party’s indemnification obligations; (b) either party’s breach of confidentiality obligations; or (c) Customer’s payment obligations.</w:t>
      </w:r>
    </w:p>
    <w:p>
      <w:pPr>
        <w:spacing w:after="200"/>
        <w:jc w:val="left"/>
      </w:pPr>
      <w:r>
        <w:rPr>
          <w:rFonts w:ascii="Arial" w:cs="Arial" w:eastAsia="Arial" w:hAnsi="Arial"/>
          <w:i/>
          <w:iCs/>
          <w:color w:val="CC0000"/>
          <w:sz w:val="20"/>
          <w:szCs w:val="20"/>
        </w:rPr>
        <w:t xml:space="preserve">[Drafting note for counsel: The exceptions above leave indemnification and confidentiality exposure uncapped for both parties. Please advise whether a supercap (e.g., 2x or 3x the 12-month fees) should apply to confidentiality, data security, and/or IP indemnity claims, given Kindora’s stage and the deal size (~$10-15K/yr).]</w:t>
      </w:r>
    </w:p>
    <w:p>
      <w:pPr>
        <w:pStyle w:val="Heading1"/>
        <w:spacing w:after="200" w:before="360"/>
      </w:pPr>
      <w:r>
        <w:rPr>
          <w:rFonts w:ascii="Arial" w:cs="Arial" w:eastAsia="Arial" w:hAnsi="Arial"/>
        </w:rPr>
        <w:t xml:space="preserve">10. Indemnification</w:t>
      </w:r>
    </w:p>
    <w:p>
      <w:pPr>
        <w:pStyle w:val="Heading2"/>
        <w:spacing w:after="200" w:before="240"/>
      </w:pPr>
      <w:r>
        <w:rPr>
          <w:rFonts w:ascii="Arial" w:cs="Arial" w:eastAsia="Arial" w:hAnsi="Arial"/>
        </w:rPr>
        <w:t xml:space="preserve">10.1 By Kindora</w:t>
      </w:r>
    </w:p>
    <w:p>
      <w:pPr>
        <w:spacing w:after="200"/>
        <w:jc w:val="left"/>
      </w:pPr>
      <w:r>
        <w:rPr>
          <w:rFonts w:ascii="Arial" w:cs="Arial" w:eastAsia="Arial" w:hAnsi="Arial"/>
          <w:b w:val="false"/>
          <w:bCs w:val="false"/>
          <w:i w:val="false"/>
          <w:iCs w:val="false"/>
          <w:sz w:val="20"/>
          <w:szCs w:val="20"/>
        </w:rPr>
        <w:t xml:space="preserve">Kindora shall defend, indemnify, and hold harmless Customer from any third-party claim alleging that the Service infringes a valid U.S. patent, copyright, or trademark, provided Customer: (a) promptly notifies Kindora of the claim; (b) gives Kindora sole control of the defense; and (c) provides reasonable cooperation. If the Service is found to infringe, Kindora may, at its option: (i) obtain a license for continued use; (ii) modify the Service to be non-infringing; or (iii) terminate the Agreement and refund prepaid fees for the unused portion of the Term.</w:t>
      </w:r>
    </w:p>
    <w:p>
      <w:pPr>
        <w:pStyle w:val="Heading2"/>
        <w:spacing w:after="200" w:before="240"/>
      </w:pPr>
      <w:r>
        <w:rPr>
          <w:rFonts w:ascii="Arial" w:cs="Arial" w:eastAsia="Arial" w:hAnsi="Arial"/>
        </w:rPr>
        <w:t xml:space="preserve">10.2 By Customer</w:t>
      </w:r>
    </w:p>
    <w:p>
      <w:pPr>
        <w:spacing w:after="200"/>
        <w:jc w:val="left"/>
      </w:pPr>
      <w:r>
        <w:rPr>
          <w:rFonts w:ascii="Arial" w:cs="Arial" w:eastAsia="Arial" w:hAnsi="Arial"/>
          <w:b w:val="false"/>
          <w:bCs w:val="false"/>
          <w:i w:val="false"/>
          <w:iCs w:val="false"/>
          <w:sz w:val="20"/>
          <w:szCs w:val="20"/>
        </w:rPr>
        <w:t xml:space="preserve">Customer shall defend, indemnify, and hold harmless Kindora from any third-party claim arising from: (a) data submitted directly by Customer (excluding Authorized Organization Data); (b) Customer’s breach of this Agreement; or (c) Customer’s violation of applicable law. For the avoidance of doubt, Customer is not responsible under this section for claims arising solely from an Authorized Organization’s independent use of the Service.</w:t>
      </w:r>
    </w:p>
    <w:p>
      <w:pPr>
        <w:pStyle w:val="Heading1"/>
        <w:spacing w:after="200" w:before="360"/>
      </w:pPr>
      <w:r>
        <w:rPr>
          <w:rFonts w:ascii="Arial" w:cs="Arial" w:eastAsia="Arial" w:hAnsi="Arial"/>
        </w:rPr>
        <w:t xml:space="preserve">11. Termination</w:t>
      </w:r>
    </w:p>
    <w:p>
      <w:pPr>
        <w:pStyle w:val="Heading2"/>
        <w:spacing w:after="200" w:before="240"/>
      </w:pPr>
      <w:r>
        <w:rPr>
          <w:rFonts w:ascii="Arial" w:cs="Arial" w:eastAsia="Arial" w:hAnsi="Arial"/>
        </w:rPr>
        <w:t xml:space="preserve">11.1 Termination for Cause</w:t>
      </w:r>
    </w:p>
    <w:p>
      <w:pPr>
        <w:spacing w:after="200"/>
        <w:jc w:val="left"/>
      </w:pPr>
      <w:r>
        <w:rPr>
          <w:rFonts w:ascii="Arial" w:cs="Arial" w:eastAsia="Arial" w:hAnsi="Arial"/>
          <w:b w:val="false"/>
          <w:bCs w:val="false"/>
          <w:i w:val="false"/>
          <w:iCs w:val="false"/>
          <w:sz w:val="20"/>
          <w:szCs w:val="20"/>
        </w:rPr>
        <w:t xml:space="preserve">Either party may terminate this Agreement upon 30 days’ written notice if the other party materially breaches this Agreement and fails to cure such breach within the 30-day notice period.</w:t>
      </w:r>
    </w:p>
    <w:p>
      <w:pPr>
        <w:pStyle w:val="Heading2"/>
        <w:spacing w:after="200" w:before="240"/>
      </w:pPr>
      <w:r>
        <w:rPr>
          <w:rFonts w:ascii="Arial" w:cs="Arial" w:eastAsia="Arial" w:hAnsi="Arial"/>
        </w:rPr>
        <w:t xml:space="preserve">11.2 Termination for Non-Payment</w:t>
      </w:r>
    </w:p>
    <w:p>
      <w:pPr>
        <w:spacing w:after="200"/>
        <w:jc w:val="left"/>
      </w:pPr>
      <w:r>
        <w:rPr>
          <w:rFonts w:ascii="Arial" w:cs="Arial" w:eastAsia="Arial" w:hAnsi="Arial"/>
          <w:b w:val="false"/>
          <w:bCs w:val="false"/>
          <w:i w:val="false"/>
          <w:iCs w:val="false"/>
          <w:sz w:val="20"/>
          <w:szCs w:val="20"/>
        </w:rPr>
        <w:t xml:space="preserve">Kindora may terminate this Agreement immediately upon written notice if Customer fails to pay any undisputed amount within 60 days after the due date.</w:t>
      </w:r>
    </w:p>
    <w:p>
      <w:pPr>
        <w:pStyle w:val="Heading2"/>
        <w:spacing w:after="200" w:before="240"/>
      </w:pPr>
      <w:r>
        <w:rPr>
          <w:rFonts w:ascii="Arial" w:cs="Arial" w:eastAsia="Arial" w:hAnsi="Arial"/>
        </w:rPr>
        <w:t xml:space="preserve">11.3 Effect of Termination</w:t>
      </w:r>
    </w:p>
    <w:p>
      <w:pPr>
        <w:spacing w:after="200"/>
        <w:jc w:val="left"/>
      </w:pPr>
      <w:r>
        <w:rPr>
          <w:rFonts w:ascii="Arial" w:cs="Arial" w:eastAsia="Arial" w:hAnsi="Arial"/>
          <w:b w:val="false"/>
          <w:bCs w:val="false"/>
          <w:i w:val="false"/>
          <w:iCs w:val="false"/>
          <w:sz w:val="20"/>
          <w:szCs w:val="20"/>
        </w:rPr>
        <w:t xml:space="preserve">Upon termination or expiration:</w:t>
      </w:r>
    </w:p>
    <w:p>
      <w:pPr>
        <w:pStyle w:val="ListParagraph"/>
        <w:numPr>
          <w:ilvl w:val="0"/>
          <w:numId w:val="2"/>
        </w:numPr>
        <w:spacing w:after="120"/>
      </w:pPr>
      <w:r>
        <w:rPr>
          <w:rFonts w:ascii="Arial" w:cs="Arial" w:eastAsia="Arial" w:hAnsi="Arial"/>
          <w:sz w:val="20"/>
          <w:szCs w:val="20"/>
        </w:rPr>
        <w:t xml:space="preserve">All Redemption Codes are immediately deactivated (no new activations).</w:t>
      </w:r>
    </w:p>
    <w:p>
      <w:pPr>
        <w:pStyle w:val="ListParagraph"/>
        <w:numPr>
          <w:ilvl w:val="0"/>
          <w:numId w:val="2"/>
        </w:numPr>
        <w:spacing w:after="120"/>
      </w:pPr>
      <w:r>
        <w:rPr>
          <w:rFonts w:ascii="Arial" w:cs="Arial" w:eastAsia="Arial" w:hAnsi="Arial"/>
          <w:sz w:val="20"/>
          <w:szCs w:val="20"/>
        </w:rPr>
        <w:t xml:space="preserve">Authorized Organizations that have already activated retain access through the end of their current billing period (as paid by Customer).</w:t>
      </w:r>
    </w:p>
    <w:p>
      <w:pPr>
        <w:pStyle w:val="ListParagraph"/>
        <w:numPr>
          <w:ilvl w:val="0"/>
          <w:numId w:val="2"/>
        </w:numPr>
        <w:spacing w:after="120"/>
      </w:pPr>
      <w:r>
        <w:rPr>
          <w:rFonts w:ascii="Arial" w:cs="Arial" w:eastAsia="Arial" w:hAnsi="Arial"/>
          <w:sz w:val="20"/>
          <w:szCs w:val="20"/>
        </w:rPr>
        <w:t xml:space="preserve">Customer’s access to the Sponsor Dashboard terminates immediately.</w:t>
      </w:r>
    </w:p>
    <w:p>
      <w:pPr>
        <w:pStyle w:val="ListParagraph"/>
        <w:numPr>
          <w:ilvl w:val="0"/>
          <w:numId w:val="2"/>
        </w:numPr>
        <w:spacing w:after="120"/>
      </w:pPr>
      <w:r>
        <w:rPr>
          <w:rFonts w:ascii="Arial" w:cs="Arial" w:eastAsia="Arial" w:hAnsi="Arial"/>
          <w:sz w:val="20"/>
          <w:szCs w:val="20"/>
        </w:rPr>
        <w:t xml:space="preserve">Sponsor data export: Kindora will make Customer’s Sponsor Dashboard data and billing records available for export for 30 days following termination. After 30 days, Kindora will delete such data in accordance with its data retention policy.</w:t>
      </w:r>
    </w:p>
    <w:p>
      <w:pPr>
        <w:pStyle w:val="ListParagraph"/>
        <w:numPr>
          <w:ilvl w:val="0"/>
          <w:numId w:val="2"/>
        </w:numPr>
        <w:spacing w:after="120"/>
      </w:pPr>
      <w:r>
        <w:rPr>
          <w:rFonts w:ascii="Arial" w:cs="Arial" w:eastAsia="Arial" w:hAnsi="Arial"/>
          <w:sz w:val="20"/>
          <w:szCs w:val="20"/>
        </w:rPr>
        <w:t xml:space="preserve">Authorized Organization data: Each Authorized Organization may export its own workspace data pursuant to the terms governing its individual account. Customer does not have any right to export Authorized Organization Data on behalf of any Authorized Organization.</w:t>
      </w:r>
    </w:p>
    <w:p>
      <w:pPr>
        <w:pStyle w:val="Heading2"/>
        <w:spacing w:after="200" w:before="240"/>
      </w:pPr>
      <w:r>
        <w:rPr>
          <w:rFonts w:ascii="Arial" w:cs="Arial" w:eastAsia="Arial" w:hAnsi="Arial"/>
        </w:rPr>
        <w:t xml:space="preserve">11.4 Survival</w:t>
      </w:r>
    </w:p>
    <w:p>
      <w:pPr>
        <w:spacing w:after="200"/>
        <w:jc w:val="left"/>
      </w:pPr>
      <w:r>
        <w:rPr>
          <w:rFonts w:ascii="Arial" w:cs="Arial" w:eastAsia="Arial" w:hAnsi="Arial"/>
          <w:b w:val="false"/>
          <w:bCs w:val="false"/>
          <w:i w:val="false"/>
          <w:iCs w:val="false"/>
          <w:sz w:val="20"/>
          <w:szCs w:val="20"/>
        </w:rPr>
        <w:t xml:space="preserve">Sections 5 (Data Ownership), 6 (Confidentiality), 7 (IP), 9 (Limitation of Liability), 10 (Indemnification), and 12 (General) survive termination.</w:t>
      </w:r>
    </w:p>
    <w:p>
      <w:pPr>
        <w:pStyle w:val="Heading1"/>
        <w:spacing w:after="200" w:before="360"/>
      </w:pPr>
      <w:r>
        <w:rPr>
          <w:rFonts w:ascii="Arial" w:cs="Arial" w:eastAsia="Arial" w:hAnsi="Arial"/>
        </w:rPr>
        <w:t xml:space="preserve">12. General</w:t>
      </w:r>
    </w:p>
    <w:p>
      <w:pPr>
        <w:pStyle w:val="Heading2"/>
        <w:spacing w:after="200" w:before="240"/>
      </w:pPr>
      <w:r>
        <w:rPr>
          <w:rFonts w:ascii="Arial" w:cs="Arial" w:eastAsia="Arial" w:hAnsi="Arial"/>
        </w:rPr>
        <w:t xml:space="preserve">12.1 Governing Law</w:t>
      </w:r>
    </w:p>
    <w:p>
      <w:pPr>
        <w:spacing w:after="200"/>
        <w:jc w:val="left"/>
      </w:pPr>
      <w:r>
        <w:rPr>
          <w:rFonts w:ascii="Arial" w:cs="Arial" w:eastAsia="Arial" w:hAnsi="Arial"/>
          <w:b w:val="false"/>
          <w:bCs w:val="false"/>
          <w:i w:val="false"/>
          <w:iCs w:val="false"/>
          <w:sz w:val="20"/>
          <w:szCs w:val="20"/>
        </w:rPr>
        <w:t xml:space="preserve">This Agreement is governed by the laws of the State of Delaware, without regard to conflict of laws principles.</w:t>
      </w:r>
    </w:p>
    <w:p>
      <w:pPr>
        <w:pStyle w:val="Heading2"/>
        <w:spacing w:after="200" w:before="240"/>
      </w:pPr>
      <w:r>
        <w:rPr>
          <w:rFonts w:ascii="Arial" w:cs="Arial" w:eastAsia="Arial" w:hAnsi="Arial"/>
        </w:rPr>
        <w:t xml:space="preserve">12.2 Dispute Resolution</w:t>
      </w:r>
    </w:p>
    <w:p>
      <w:pPr>
        <w:spacing w:after="200"/>
        <w:jc w:val="left"/>
      </w:pPr>
      <w:r>
        <w:rPr>
          <w:rFonts w:ascii="Arial" w:cs="Arial" w:eastAsia="Arial" w:hAnsi="Arial"/>
          <w:b w:val="false"/>
          <w:bCs w:val="false"/>
          <w:i w:val="false"/>
          <w:iCs w:val="false"/>
          <w:sz w:val="20"/>
          <w:szCs w:val="20"/>
        </w:rPr>
        <w:t xml:space="preserve">Any dispute arising out of this Agreement shall first be submitted to good-faith negotiation between the parties’ senior executives for at least 30 days. If unresolved, disputes shall be resolved by binding arbitration administered by JAMS in San Francisco, California under JAMS Streamlined Arbitration Rules.</w:t>
      </w:r>
    </w:p>
    <w:p>
      <w:pPr>
        <w:pStyle w:val="Heading2"/>
        <w:spacing w:after="200" w:before="240"/>
      </w:pPr>
      <w:r>
        <w:rPr>
          <w:rFonts w:ascii="Arial" w:cs="Arial" w:eastAsia="Arial" w:hAnsi="Arial"/>
        </w:rPr>
        <w:t xml:space="preserve">12.3 Assignment</w:t>
      </w:r>
    </w:p>
    <w:p>
      <w:pPr>
        <w:spacing w:after="200"/>
        <w:jc w:val="left"/>
      </w:pPr>
      <w:r>
        <w:rPr>
          <w:rFonts w:ascii="Arial" w:cs="Arial" w:eastAsia="Arial" w:hAnsi="Arial"/>
          <w:b w:val="false"/>
          <w:bCs w:val="false"/>
          <w:i w:val="false"/>
          <w:iCs w:val="false"/>
          <w:sz w:val="20"/>
          <w:szCs w:val="20"/>
        </w:rPr>
        <w:t xml:space="preserve">Neither party may assign this Agreement without the other’s prior written consent, except in connection with a merger, acquisition, or sale of all or substantially all assets.</w:t>
      </w:r>
    </w:p>
    <w:p>
      <w:pPr>
        <w:pStyle w:val="Heading2"/>
        <w:spacing w:after="200" w:before="240"/>
      </w:pPr>
      <w:r>
        <w:rPr>
          <w:rFonts w:ascii="Arial" w:cs="Arial" w:eastAsia="Arial" w:hAnsi="Arial"/>
        </w:rPr>
        <w:t xml:space="preserve">12.4 Notices</w:t>
      </w:r>
    </w:p>
    <w:p>
      <w:pPr>
        <w:spacing w:after="200"/>
        <w:jc w:val="left"/>
      </w:pPr>
      <w:r>
        <w:rPr>
          <w:rFonts w:ascii="Arial" w:cs="Arial" w:eastAsia="Arial" w:hAnsi="Arial"/>
          <w:b w:val="false"/>
          <w:bCs w:val="false"/>
          <w:i w:val="false"/>
          <w:iCs w:val="false"/>
          <w:sz w:val="20"/>
          <w:szCs w:val="20"/>
        </w:rPr>
        <w:t xml:space="preserve">All notices must be in writing and delivered by email to the addresses specified in the Order Form, with confirmation of receipt.</w:t>
      </w:r>
    </w:p>
    <w:p>
      <w:pPr>
        <w:pStyle w:val="Heading2"/>
        <w:spacing w:after="200" w:before="240"/>
      </w:pPr>
      <w:r>
        <w:rPr>
          <w:rFonts w:ascii="Arial" w:cs="Arial" w:eastAsia="Arial" w:hAnsi="Arial"/>
        </w:rPr>
        <w:t xml:space="preserve">12.5 Entire Agreement</w:t>
      </w:r>
    </w:p>
    <w:p>
      <w:pPr>
        <w:spacing w:after="200"/>
        <w:jc w:val="left"/>
      </w:pPr>
      <w:r>
        <w:rPr>
          <w:rFonts w:ascii="Arial" w:cs="Arial" w:eastAsia="Arial" w:hAnsi="Arial"/>
          <w:b w:val="false"/>
          <w:bCs w:val="false"/>
          <w:i w:val="false"/>
          <w:iCs w:val="false"/>
          <w:sz w:val="20"/>
          <w:szCs w:val="20"/>
        </w:rPr>
        <w:t xml:space="preserve">This Agreement (including all Order Forms) constitutes the entire agreement between the parties and supersedes all prior agreements. Documents referenced for informational purposes (including the Security Overview) are not part of this Agreement unless an Order Form expressly incorporates them. Amendments must be in writing and signed by both parties.</w:t>
      </w:r>
    </w:p>
    <w:p>
      <w:pPr>
        <w:pStyle w:val="Heading2"/>
        <w:spacing w:after="200" w:before="240"/>
      </w:pPr>
      <w:r>
        <w:rPr>
          <w:rFonts w:ascii="Arial" w:cs="Arial" w:eastAsia="Arial" w:hAnsi="Arial"/>
        </w:rPr>
        <w:t xml:space="preserve">12.6 Severability</w:t>
      </w:r>
    </w:p>
    <w:p>
      <w:pPr>
        <w:spacing w:after="200"/>
        <w:jc w:val="left"/>
      </w:pPr>
      <w:r>
        <w:rPr>
          <w:rFonts w:ascii="Arial" w:cs="Arial" w:eastAsia="Arial" w:hAnsi="Arial"/>
          <w:b w:val="false"/>
          <w:bCs w:val="false"/>
          <w:i w:val="false"/>
          <w:iCs w:val="false"/>
          <w:sz w:val="20"/>
          <w:szCs w:val="20"/>
        </w:rPr>
        <w:t xml:space="preserve">If any provision is held unenforceable, the remaining provisions continue in full force and effect.</w:t>
      </w:r>
    </w:p>
    <w:p>
      <w:pPr>
        <w:pStyle w:val="Heading2"/>
        <w:spacing w:after="200" w:before="240"/>
      </w:pPr>
      <w:r>
        <w:rPr>
          <w:rFonts w:ascii="Arial" w:cs="Arial" w:eastAsia="Arial" w:hAnsi="Arial"/>
        </w:rPr>
        <w:t xml:space="preserve">12.7 Waiver</w:t>
      </w:r>
    </w:p>
    <w:p>
      <w:pPr>
        <w:spacing w:after="200"/>
        <w:jc w:val="left"/>
      </w:pPr>
      <w:r>
        <w:rPr>
          <w:rFonts w:ascii="Arial" w:cs="Arial" w:eastAsia="Arial" w:hAnsi="Arial"/>
          <w:b w:val="false"/>
          <w:bCs w:val="false"/>
          <w:i w:val="false"/>
          <w:iCs w:val="false"/>
          <w:sz w:val="20"/>
          <w:szCs w:val="20"/>
        </w:rPr>
        <w:t xml:space="preserve">Failure to enforce any provision does not constitute a waiver of future enforcement.</w:t>
      </w:r>
    </w:p>
    <w:p>
      <w:pPr>
        <w:pStyle w:val="Heading2"/>
        <w:spacing w:after="200" w:before="240"/>
      </w:pPr>
      <w:r>
        <w:rPr>
          <w:rFonts w:ascii="Arial" w:cs="Arial" w:eastAsia="Arial" w:hAnsi="Arial"/>
        </w:rPr>
        <w:t xml:space="preserve">12.8 Force Majeure</w:t>
      </w:r>
    </w:p>
    <w:p>
      <w:pPr>
        <w:spacing w:after="200"/>
        <w:jc w:val="left"/>
      </w:pPr>
      <w:r>
        <w:rPr>
          <w:rFonts w:ascii="Arial" w:cs="Arial" w:eastAsia="Arial" w:hAnsi="Arial"/>
          <w:b w:val="false"/>
          <w:bCs w:val="false"/>
          <w:i w:val="false"/>
          <w:iCs w:val="false"/>
          <w:sz w:val="20"/>
          <w:szCs w:val="20"/>
        </w:rPr>
        <w:t xml:space="preserve">Neither party is liable for delays caused by events beyond its reasonable control, including natural disasters, pandemics, government actions, or internet service disruptions.</w:t>
      </w:r>
    </w:p>
    <w:p>
      <w:pPr>
        <w:spacing w:before="400"/>
      </w:pPr>
    </w:p>
    <w:p>
      <w:pPr>
        <w:spacing w:after="200"/>
        <w:jc w:val="left"/>
      </w:pPr>
      <w:r>
        <w:rPr>
          <w:rFonts w:ascii="Arial" w:cs="Arial" w:eastAsia="Arial" w:hAnsi="Arial"/>
          <w:i/>
          <w:iCs/>
          <w:color w:val="666666"/>
          <w:sz w:val="20"/>
          <w:szCs w:val="20"/>
        </w:rPr>
        <w:t xml:space="preserve">Kindora, PBC is a Delaware Public Benefit Corporation. Our specific public benefit is to democratize philanthropic giving to under-resourced nonprofits.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Kindora, PBC — Enterprise Standard Terms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B5C8A"/>
      <w:sz w:val="28"/>
      <w:szCs w:val="28"/>
    </w:rPr>
  </w:style>
  <w:style w:type="paragraph" w:styleId="Heading2">
    <w:name w:val="Heading 2"/>
    <w:basedOn w:val="Normal"/>
    <w:next w:val="Normal"/>
    <w:qFormat/>
    <w:pPr>
      <w:spacing w:after="160" w:before="240"/>
      <w:outlineLvl w:val="1"/>
    </w:pPr>
    <w:rPr>
      <w:rFonts w:ascii="Arial" w:cs="Arial" w:eastAsia="Arial" w:hAnsi="Arial"/>
      <w:b/>
      <w:bCs/>
      <w:color w:val="2B5C8A"/>
      <w:sz w:val="24"/>
      <w:szCs w:val="24"/>
    </w:rPr>
  </w:style>
  <w:style w:type="paragraph" w:styleId="Heading3">
    <w:name w:val="Heading 3"/>
    <w:basedOn w:val="Normal"/>
    <w:next w:val="Normal"/>
    <w:qFormat/>
    <w:pPr>
      <w:spacing w:after="12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2026-03-07T00:31:19.095Z</dcterms:created>
  <dcterms:modified xsi:type="dcterms:W3CDTF">2026-03-07T00:31:19.096Z</dcterms:modified>
</cp:coreProperties>
</file>

<file path=docProps/custom.xml><?xml version="1.0" encoding="utf-8"?>
<Properties xmlns="http://schemas.openxmlformats.org/officeDocument/2006/custom-properties" xmlns:vt="http://schemas.openxmlformats.org/officeDocument/2006/docPropsVTypes"/>
</file>