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400"/>
      </w:pPr>
    </w:p>
    <w:p>
      <w:pPr>
        <w:spacing w:after="120"/>
        <w:jc w:val="center"/>
      </w:pPr>
      <w:r>
        <w:rPr>
          <w:rFonts w:ascii="Arial" w:cs="Arial" w:eastAsia="Arial" w:hAnsi="Arial"/>
          <w:color w:val="999999"/>
          <w:spacing w:val="200"/>
          <w:sz w:val="20"/>
          <w:szCs w:val="20"/>
        </w:rPr>
        <w:t xml:space="preserve">TRUE STEELE LABS</w:t>
      </w:r>
    </w:p>
    <w:p>
      <w:pPr>
        <w:spacing w:after="40"/>
        <w:jc w:val="center"/>
      </w:pPr>
      <w:r>
        <w:rPr>
          <w:rFonts w:ascii="Arial" w:cs="Arial" w:eastAsia="Arial" w:hAnsi="Arial"/>
          <w:b/>
          <w:bCs/>
          <w:color w:val="1A1A2E"/>
          <w:sz w:val="48"/>
          <w:szCs w:val="48"/>
        </w:rPr>
        <w:t xml:space="preserve">Voice Recording Pack</w:t>
      </w:r>
    </w:p>
    <w:p>
      <w:pPr>
        <w:spacing w:after="200"/>
        <w:jc w:val="center"/>
      </w:pPr>
      <w:r>
        <w:rPr>
          <w:rFonts w:ascii="Arial" w:cs="Arial" w:eastAsia="Arial" w:hAnsi="Arial"/>
          <w:color w:val="2E75B6"/>
          <w:sz w:val="36"/>
          <w:szCs w:val="36"/>
        </w:rPr>
        <w:t xml:space="preserve">Production Guide</w:t>
      </w:r>
    </w:p>
    <w:p>
      <w:pPr>
        <w:pBdr>
          <w:top w:val="single" w:color="2E75B6" w:sz="2" w:space="8"/>
        </w:pBdr>
        <w:spacing w:before="200" w:after="120"/>
        <w:jc w:val="center"/>
      </w:pPr>
      <w:r>
        <w:rPr>
          <w:rFonts w:ascii="Arial" w:cs="Arial" w:eastAsia="Arial" w:hAnsi="Arial"/>
          <w:color w:val="555555"/>
          <w:sz w:val="22"/>
          <w:szCs w:val="22"/>
        </w:rPr>
        <w:t xml:space="preserve">How to Build a Client-Specific Voice Recording Pack</w:t>
      </w:r>
    </w:p>
    <w:p>
      <w:pPr>
        <w:spacing w:after="40"/>
        <w:jc w:val="center"/>
      </w:pPr>
      <w:r>
        <w:rPr>
          <w:rFonts w:ascii="Arial" w:cs="Arial" w:eastAsia="Arial" w:hAnsi="Arial"/>
          <w:color w:val="555555"/>
          <w:sz w:val="22"/>
          <w:szCs w:val="22"/>
        </w:rPr>
        <w:t xml:space="preserve">from Web Research, Call Transcripts &amp; Background Materials</w:t>
      </w:r>
    </w:p>
    <w:p>
      <w:pPr>
        <w:spacing w:before="600" w:after="600"/>
      </w:pPr>
    </w:p>
    <w:p>
      <w:pPr>
        <w:spacing w:after="60"/>
        <w:jc w:val="center"/>
      </w:pPr>
      <w:r>
        <w:rPr>
          <w:rFonts w:ascii="Arial" w:cs="Arial" w:eastAsia="Arial" w:hAnsi="Arial"/>
          <w:color w:val="999999"/>
          <w:sz w:val="20"/>
          <w:szCs w:val="20"/>
        </w:rPr>
        <w:t xml:space="preserve">Internal Playbook  |  Version 1.0  |  February 2026</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A1A2E"/>
          <w:sz w:val="32"/>
          <w:szCs w:val="32"/>
        </w:rPr>
        <w:t xml:space="preserve">1. What This Guide Is For</w:t>
      </w:r>
    </w:p>
    <w:p>
      <w:pPr>
        <w:spacing w:before="80" w:after="80" w:line="276"/>
      </w:pPr>
      <w:r>
        <w:rPr>
          <w:rFonts w:ascii="Arial" w:cs="Arial" w:eastAsia="Arial" w:hAnsi="Arial"/>
          <w:b w:val="false"/>
          <w:bCs w:val="false"/>
          <w:i w:val="false"/>
          <w:iCs w:val="false"/>
          <w:color w:val="555555"/>
          <w:sz w:val="22"/>
          <w:szCs w:val="22"/>
        </w:rPr>
        <w:t xml:space="preserve">Every True Steele Labs client engagement starts the same way: we need to understand the organization deeply enough to write a build-ready product requirements document (PRD). The Voice Recording Pack is our primary discovery instrument — a set of guided prompts that the client records asynchronously, giving us structured insight into their vision, workflows, pain points, data, and constraints.</w:t>
      </w:r>
    </w:p>
    <w:p>
      <w:pPr>
        <w:spacing w:before="40" w:after="40"/>
      </w:pPr>
    </w:p>
    <w:p>
      <w:pPr>
        <w:spacing w:before="80" w:after="80" w:line="276"/>
      </w:pPr>
      <w:r>
        <w:rPr>
          <w:rFonts w:ascii="Arial" w:cs="Arial" w:eastAsia="Arial" w:hAnsi="Arial"/>
          <w:b w:val="false"/>
          <w:bCs w:val="false"/>
          <w:i w:val="false"/>
          <w:iCs w:val="false"/>
          <w:color w:val="555555"/>
          <w:sz w:val="22"/>
          <w:szCs w:val="22"/>
        </w:rPr>
        <w:t xml:space="preserve">This guide teaches you how to produce a customized Voice Recording Pack for any new client. A good pack feels effortless for the client (simple prompts, phone voice memos, under an hour) while extracting everything we need to spec the product correctly.</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75B6" w:sz="8"/>
              <w:bottom w:val="none"/>
              <w:right w:val="none"/>
            </w:tcBorders>
            <w:shd w:fill="E8F0F8" w:val="clear"/>
            <w:tcMar>
              <w:top w:type="dxa" w:w="120"/>
              <w:left w:type="dxa" w:w="200"/>
              <w:bottom w:type="dxa" w:w="120"/>
              <w:right w:type="dxa" w:w="200"/>
            </w:tcMar>
          </w:tcPr>
          <w:p>
            <w:pPr>
              <w:spacing w:before="0" w:after="80"/>
            </w:pPr>
            <w:r>
              <w:rPr>
                <w:rFonts w:ascii="Arial" w:cs="Arial" w:eastAsia="Arial" w:hAnsi="Arial"/>
                <w:b/>
                <w:bCs/>
                <w:color w:val="1A1A2E"/>
                <w:sz w:val="22"/>
                <w:szCs w:val="22"/>
              </w:rPr>
              <w:t xml:space="preserve">The Production Pipeline</w:t>
            </w:r>
          </w:p>
          <w:p>
            <w:pPr>
              <w:spacing w:before="40" w:after="40" w:line="276"/>
            </w:pPr>
            <w:r>
              <w:rPr>
                <w:rFonts w:ascii="Arial" w:cs="Arial" w:eastAsia="Arial" w:hAnsi="Arial"/>
                <w:color w:val="555555"/>
                <w:sz w:val="21"/>
                <w:szCs w:val="21"/>
              </w:rPr>
              <w:t xml:space="preserve">1. Gather inputs (web research, call transcripts, background materials)</w:t>
            </w:r>
          </w:p>
          <w:p>
            <w:pPr>
              <w:spacing w:before="40" w:after="40" w:line="276"/>
            </w:pPr>
            <w:r>
              <w:rPr>
                <w:rFonts w:ascii="Arial" w:cs="Arial" w:eastAsia="Arial" w:hAnsi="Arial"/>
                <w:color w:val="555555"/>
                <w:sz w:val="21"/>
                <w:szCs w:val="21"/>
              </w:rPr>
              <w:t xml:space="preserve">2. Build the client research dossier</w:t>
            </w:r>
          </w:p>
          <w:p>
            <w:pPr>
              <w:spacing w:before="40" w:after="40" w:line="276"/>
            </w:pPr>
            <w:r>
              <w:rPr>
                <w:rFonts w:ascii="Arial" w:cs="Arial" w:eastAsia="Arial" w:hAnsi="Arial"/>
                <w:color w:val="555555"/>
                <w:sz w:val="21"/>
                <w:szCs w:val="21"/>
              </w:rPr>
              <w:t xml:space="preserve">3. Identify the knowledge gaps</w:t>
            </w:r>
          </w:p>
          <w:p>
            <w:pPr>
              <w:spacing w:before="40" w:after="40" w:line="276"/>
            </w:pPr>
            <w:r>
              <w:rPr>
                <w:rFonts w:ascii="Arial" w:cs="Arial" w:eastAsia="Arial" w:hAnsi="Arial"/>
                <w:color w:val="555555"/>
                <w:sz w:val="21"/>
                <w:szCs w:val="21"/>
              </w:rPr>
              <w:t xml:space="preserve">4. Customize the module prompts</w:t>
            </w:r>
          </w:p>
          <w:p>
            <w:pPr>
              <w:spacing w:before="40" w:after="40" w:line="276"/>
            </w:pPr>
            <w:r>
              <w:rPr>
                <w:rFonts w:ascii="Arial" w:cs="Arial" w:eastAsia="Arial" w:hAnsi="Arial"/>
                <w:color w:val="555555"/>
                <w:sz w:val="21"/>
                <w:szCs w:val="21"/>
              </w:rPr>
              <w:t xml:space="preserve">5. Write the client-facing pack document</w:t>
            </w:r>
          </w:p>
          <w:p>
            <w:pPr>
              <w:spacing w:before="40" w:after="40" w:line="276"/>
            </w:pPr>
            <w:r>
              <w:rPr>
                <w:rFonts w:ascii="Arial" w:cs="Arial" w:eastAsia="Arial" w:hAnsi="Arial"/>
                <w:color w:val="555555"/>
                <w:sz w:val="21"/>
                <w:szCs w:val="21"/>
              </w:rPr>
              <w:t xml:space="preserve">6. Draft the delivery email</w:t>
            </w:r>
          </w:p>
          <w:p>
            <w:pPr>
              <w:spacing w:before="40" w:after="40" w:line="276"/>
            </w:pPr>
            <w:r>
              <w:rPr>
                <w:rFonts w:ascii="Arial" w:cs="Arial" w:eastAsia="Arial" w:hAnsi="Arial"/>
                <w:color w:val="555555"/>
                <w:sz w:val="21"/>
                <w:szCs w:val="21"/>
              </w:rPr>
              <w:t xml:space="preserve">7. Process returned recordings into a PRD</w:t>
            </w:r>
          </w:p>
        </w:tc>
      </w:tr>
    </w:tbl>
    <w:p>
      <w:pPr>
        <w:spacing w:before="120" w:after="120"/>
      </w:pPr>
    </w:p>
    <w:p>
      <w:pPr>
        <w:pStyle w:val="Heading1"/>
        <w:spacing w:before="360" w:after="200"/>
      </w:pPr>
      <w:r>
        <w:rPr>
          <w:rFonts w:ascii="Arial" w:cs="Arial" w:eastAsia="Arial" w:hAnsi="Arial"/>
          <w:b/>
          <w:bCs/>
          <w:color w:val="1A1A2E"/>
          <w:sz w:val="32"/>
          <w:szCs w:val="32"/>
        </w:rPr>
        <w:t xml:space="preserve">2. Gathering Your Inputs</w:t>
      </w:r>
    </w:p>
    <w:p>
      <w:pPr>
        <w:spacing w:before="80" w:after="80" w:line="276"/>
      </w:pPr>
      <w:r>
        <w:rPr>
          <w:rFonts w:ascii="Arial" w:cs="Arial" w:eastAsia="Arial" w:hAnsi="Arial"/>
          <w:b w:val="false"/>
          <w:bCs w:val="false"/>
          <w:i w:val="false"/>
          <w:iCs w:val="false"/>
          <w:color w:val="555555"/>
          <w:sz w:val="22"/>
          <w:szCs w:val="22"/>
        </w:rPr>
        <w:t xml:space="preserve">Before you write a single prompt, you need to know what you already know — and what you don’t. The quality of a Voice Recording Pack is directly proportional to the quality of your pre-research. The principle is simple: never ask the client to tell you something you could have looked up.</w:t>
      </w:r>
    </w:p>
    <w:p>
      <w:pPr>
        <w:spacing w:before="60" w:after="60"/>
      </w:pPr>
    </w:p>
    <w:p>
      <w:pPr>
        <w:pStyle w:val="Heading2"/>
        <w:spacing w:before="280" w:after="160"/>
      </w:pPr>
      <w:r>
        <w:rPr>
          <w:rFonts w:ascii="Arial" w:cs="Arial" w:eastAsia="Arial" w:hAnsi="Arial"/>
          <w:b/>
          <w:bCs/>
          <w:color w:val="2E75B6"/>
          <w:sz w:val="26"/>
          <w:szCs w:val="26"/>
        </w:rPr>
        <w:t xml:space="preserve">2A. Web Research (Deep Research Dossier)</w:t>
      </w:r>
    </w:p>
    <w:p>
      <w:pPr>
        <w:spacing w:before="80" w:after="80" w:line="276"/>
      </w:pPr>
      <w:r>
        <w:rPr>
          <w:rFonts w:ascii="Arial" w:cs="Arial" w:eastAsia="Arial" w:hAnsi="Arial"/>
          <w:b w:val="false"/>
          <w:bCs w:val="false"/>
          <w:i w:val="false"/>
          <w:iCs w:val="false"/>
          <w:color w:val="555555"/>
          <w:sz w:val="22"/>
          <w:szCs w:val="22"/>
        </w:rPr>
        <w:t xml:space="preserve">Run a comprehensive web research pass on the organization before doing anything else. Use the TSL Deep Research Framework or Claude’s deep research capability. You’re looking for seven categories of information:</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to Capture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b/>
                <w:bCs/>
                <w:color w:val="555555"/>
                <w:sz w:val="20"/>
                <w:szCs w:val="20"/>
              </w:rPr>
              <w:t xml:space="preserve">Mission &amp; Theory of Change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20" w:after="20"/>
            </w:pPr>
            <w:r>
              <w:rPr>
                <w:rFonts w:ascii="Arial" w:cs="Arial" w:eastAsia="Arial" w:hAnsi="Arial"/>
                <w:color w:val="555555"/>
                <w:sz w:val="20"/>
                <w:szCs w:val="20"/>
              </w:rPr>
              <w:t xml:space="preserve">What does the org do? Who do they serve? What’s their model?</w:t>
            </w:r>
          </w:p>
          <w:p>
            <w:pPr>
              <w:spacing w:before="20" w:after="20"/>
            </w:pPr>
            <w:r>
              <w:rPr>
                <w:rFonts w:ascii="Arial" w:cs="Arial" w:eastAsia="Arial" w:hAnsi="Arial"/>
                <w:color w:val="555555"/>
                <w:sz w:val="20"/>
                <w:szCs w:val="20"/>
              </w:rPr>
              <w:t xml:space="preserve">Public language they use to describe themselves.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b/>
                <w:bCs/>
                <w:color w:val="555555"/>
                <w:sz w:val="20"/>
                <w:szCs w:val="20"/>
              </w:rPr>
              <w:t xml:space="preserve">Programs &amp; Audiences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20" w:after="20"/>
            </w:pPr>
            <w:r>
              <w:rPr>
                <w:rFonts w:ascii="Arial" w:cs="Arial" w:eastAsia="Arial" w:hAnsi="Arial"/>
                <w:color w:val="555555"/>
                <w:sz w:val="20"/>
                <w:szCs w:val="20"/>
              </w:rPr>
              <w:t xml:space="preserve">List every program. For each: who participates, what’s the cadence,</w:t>
            </w:r>
          </w:p>
          <w:p>
            <w:pPr>
              <w:spacing w:before="20" w:after="20"/>
            </w:pPr>
            <w:r>
              <w:rPr>
                <w:rFonts w:ascii="Arial" w:cs="Arial" w:eastAsia="Arial" w:hAnsi="Arial"/>
                <w:color w:val="555555"/>
                <w:sz w:val="20"/>
                <w:szCs w:val="20"/>
              </w:rPr>
              <w:t xml:space="preserve">what are eligibility requirements, what’s the scale (if published).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b/>
                <w:bCs/>
                <w:color w:val="555555"/>
                <w:sz w:val="20"/>
                <w:szCs w:val="20"/>
              </w:rPr>
              <w:t xml:space="preserve">Digital Stack &amp; Tools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20" w:after="20"/>
            </w:pPr>
            <w:r>
              <w:rPr>
                <w:rFonts w:ascii="Arial" w:cs="Arial" w:eastAsia="Arial" w:hAnsi="Arial"/>
                <w:color w:val="555555"/>
                <w:sz w:val="20"/>
                <w:szCs w:val="20"/>
              </w:rPr>
              <w:t xml:space="preserve">Observable tools: forms (Google, Typeform), payment (Stripe,</w:t>
            </w:r>
          </w:p>
          <w:p>
            <w:pPr>
              <w:spacing w:before="20" w:after="20"/>
            </w:pPr>
            <w:r>
              <w:rPr>
                <w:rFonts w:ascii="Arial" w:cs="Arial" w:eastAsia="Arial" w:hAnsi="Arial"/>
                <w:color w:val="555555"/>
                <w:sz w:val="20"/>
                <w:szCs w:val="20"/>
              </w:rPr>
              <w:t xml:space="preserve">Givebutter), video (Zoom), LMS, CRM, Shopify, etc.</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b/>
                <w:bCs/>
                <w:color w:val="555555"/>
                <w:sz w:val="20"/>
                <w:szCs w:val="20"/>
              </w:rPr>
              <w:t xml:space="preserve">Financial &amp; Legal Structure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20" w:after="20"/>
            </w:pPr>
            <w:r>
              <w:rPr>
                <w:rFonts w:ascii="Arial" w:cs="Arial" w:eastAsia="Arial" w:hAnsi="Arial"/>
                <w:color w:val="555555"/>
                <w:sz w:val="20"/>
                <w:szCs w:val="20"/>
              </w:rPr>
              <w:t xml:space="preserve">501(c)(3) vs fiscal sponsor? EIN? Published revenue/budget?</w:t>
            </w:r>
          </w:p>
          <w:p>
            <w:pPr>
              <w:spacing w:before="20" w:after="20"/>
            </w:pPr>
            <w:r>
              <w:rPr>
                <w:rFonts w:ascii="Arial" w:cs="Arial" w:eastAsia="Arial" w:hAnsi="Arial"/>
                <w:color w:val="555555"/>
                <w:sz w:val="20"/>
                <w:szCs w:val="20"/>
              </w:rPr>
              <w:t xml:space="preserve">Funder relationships visible in sponsor pages or 990s.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b/>
                <w:bCs/>
                <w:color w:val="555555"/>
                <w:sz w:val="20"/>
                <w:szCs w:val="20"/>
              </w:rPr>
              <w:t xml:space="preserve">Ecosystem &amp; Partners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20" w:after="20"/>
            </w:pPr>
            <w:r>
              <w:rPr>
                <w:rFonts w:ascii="Arial" w:cs="Arial" w:eastAsia="Arial" w:hAnsi="Arial"/>
                <w:color w:val="555555"/>
                <w:sz w:val="20"/>
                <w:szCs w:val="20"/>
              </w:rPr>
              <w:t xml:space="preserve">Academic partners, corporate sponsors, government relationships,</w:t>
            </w:r>
          </w:p>
          <w:p>
            <w:pPr>
              <w:spacing w:before="20" w:after="20"/>
            </w:pPr>
            <w:r>
              <w:rPr>
                <w:rFonts w:ascii="Arial" w:cs="Arial" w:eastAsia="Arial" w:hAnsi="Arial"/>
                <w:color w:val="555555"/>
                <w:sz w:val="20"/>
                <w:szCs w:val="20"/>
              </w:rPr>
              <w:t xml:space="preserve">media coverage, awards, accelerator participation.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b/>
                <w:bCs/>
                <w:color w:val="555555"/>
                <w:sz w:val="20"/>
                <w:szCs w:val="20"/>
              </w:rPr>
              <w:t xml:space="preserve">Privacy &amp; Safety Signals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20" w:after="20"/>
            </w:pPr>
            <w:r>
              <w:rPr>
                <w:rFonts w:ascii="Arial" w:cs="Arial" w:eastAsia="Arial" w:hAnsi="Arial"/>
                <w:color w:val="555555"/>
                <w:sz w:val="20"/>
                <w:szCs w:val="20"/>
              </w:rPr>
              <w:t xml:space="preserve">Serves minors? Handles sensitive data (health, housing, legal)?</w:t>
            </w:r>
          </w:p>
          <w:p>
            <w:pPr>
              <w:spacing w:before="20" w:after="20"/>
            </w:pPr>
            <w:r>
              <w:rPr>
                <w:rFonts w:ascii="Arial" w:cs="Arial" w:eastAsia="Arial" w:hAnsi="Arial"/>
                <w:color w:val="555555"/>
                <w:sz w:val="20"/>
                <w:szCs w:val="20"/>
              </w:rPr>
              <w:t xml:space="preserve">Published privacy policy quality. Data sensitivity tiers.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b/>
                <w:bCs/>
                <w:color w:val="555555"/>
                <w:sz w:val="20"/>
                <w:szCs w:val="20"/>
              </w:rPr>
              <w:t xml:space="preserve">Platform Opportunity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20" w:after="20"/>
            </w:pPr>
            <w:r>
              <w:rPr>
                <w:rFonts w:ascii="Arial" w:cs="Arial" w:eastAsia="Arial" w:hAnsi="Arial"/>
                <w:color w:val="555555"/>
                <w:sz w:val="20"/>
                <w:szCs w:val="20"/>
              </w:rPr>
              <w:t xml:space="preserve">What did the client say they need? How does it map to what the</w:t>
            </w:r>
          </w:p>
          <w:p>
            <w:pPr>
              <w:spacing w:before="20" w:after="20"/>
            </w:pPr>
            <w:r>
              <w:rPr>
                <w:rFonts w:ascii="Arial" w:cs="Arial" w:eastAsia="Arial" w:hAnsi="Arial"/>
                <w:color w:val="555555"/>
                <w:sz w:val="20"/>
                <w:szCs w:val="20"/>
              </w:rPr>
              <w:t xml:space="preserve">research reveals? Where are the gaps between stated and observed?</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999999" w:sz="8"/>
              <w:bottom w:val="none"/>
              <w:right w:val="none"/>
            </w:tcBorders>
            <w:shd w:fill="F5F5F5" w:val="clear"/>
            <w:tcMar>
              <w:top w:type="dxa" w:w="120"/>
              <w:left w:type="dxa" w:w="200"/>
              <w:bottom w:type="dxa" w:w="120"/>
              <w:right w:type="dxa" w:w="200"/>
            </w:tcMar>
          </w:tcPr>
          <w:p>
            <w:pPr>
              <w:spacing w:before="0" w:after="80"/>
            </w:pPr>
            <w:r>
              <w:rPr>
                <w:rFonts w:ascii="Arial" w:cs="Arial" w:eastAsia="Arial" w:hAnsi="Arial"/>
                <w:b/>
                <w:bCs/>
                <w:color w:val="1A1A2E"/>
                <w:sz w:val="22"/>
                <w:szCs w:val="22"/>
              </w:rPr>
              <w:t xml:space="preserve">Rule of thumb</w:t>
            </w:r>
          </w:p>
          <w:p>
            <w:pPr>
              <w:spacing w:before="40" w:after="40" w:line="276"/>
            </w:pPr>
            <w:r>
              <w:rPr>
                <w:rFonts w:ascii="Arial" w:cs="Arial" w:eastAsia="Arial" w:hAnsi="Arial"/>
                <w:color w:val="555555"/>
                <w:sz w:val="21"/>
                <w:szCs w:val="21"/>
              </w:rPr>
              <w:t xml:space="preserve">Your deep research should answer 60–70% of the questions you’d otherwise ask in a discovery call. The Voice Recording Pack targets the remaining 30–40% — the insider knowledge that only the client can provide: how things actually work, where they break, what they’ve tried, and what they value.</w:t>
            </w:r>
          </w:p>
        </w:tc>
      </w:tr>
    </w:tbl>
    <w:p>
      <w:pPr>
        <w:spacing w:before="80" w:after="80"/>
      </w:pPr>
    </w:p>
    <w:p>
      <w:pPr>
        <w:pStyle w:val="Heading2"/>
        <w:spacing w:before="280" w:after="160"/>
      </w:pPr>
      <w:r>
        <w:rPr>
          <w:rFonts w:ascii="Arial" w:cs="Arial" w:eastAsia="Arial" w:hAnsi="Arial"/>
          <w:b/>
          <w:bCs/>
          <w:color w:val="2E75B6"/>
          <w:sz w:val="26"/>
          <w:szCs w:val="26"/>
        </w:rPr>
        <w:t xml:space="preserve">2B. Call Transcripts &amp; Meeting Notes</w:t>
      </w:r>
    </w:p>
    <w:p>
      <w:pPr>
        <w:spacing w:before="80" w:after="80" w:line="276"/>
      </w:pPr>
      <w:r>
        <w:rPr>
          <w:rFonts w:ascii="Arial" w:cs="Arial" w:eastAsia="Arial" w:hAnsi="Arial"/>
          <w:b w:val="false"/>
          <w:bCs w:val="false"/>
          <w:i w:val="false"/>
          <w:iCs w:val="false"/>
          <w:color w:val="555555"/>
          <w:sz w:val="22"/>
          <w:szCs w:val="22"/>
        </w:rPr>
        <w:t xml:space="preserve">If you’ve had an introductory call, discovery call, pitch meeting, or any other conversation with the client, process those transcripts before building the pack. Extract and tag information using these categories: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Tag</w:t>
            </w:r>
          </w:p>
        </w:tc>
        <w:tc>
          <w:tcPr>
            <w:tcW w:type="dxa" w:w="4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It Captures</w:t>
            </w:r>
          </w:p>
        </w:tc>
        <w:tc>
          <w:tcPr>
            <w:tcW w:type="dxa" w:w="3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b/>
                <w:bCs/>
                <w:color w:val="2D8C5A"/>
                <w:sz w:val="20"/>
                <w:szCs w:val="20"/>
              </w:rPr>
              <w:t xml:space="preserve">VISION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b w:val="false"/>
                <w:bCs w:val="false"/>
                <w:color w:val="555555"/>
                <w:sz w:val="20"/>
                <w:szCs w:val="20"/>
              </w:rPr>
              <w:t xml:space="preserve">What the client wants to exist in the world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b w:val="false"/>
                <w:bCs w:val="false"/>
                <w:color w:val="555555"/>
                <w:sz w:val="20"/>
                <w:szCs w:val="20"/>
              </w:rPr>
              <w:t xml:space="preserve">“I want Fellows to feel supported from day one”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b/>
                <w:bCs/>
                <w:color w:val="D4722A"/>
                <w:sz w:val="20"/>
                <w:szCs w:val="20"/>
              </w:rPr>
              <w:t xml:space="preserve">PAIN</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b w:val="false"/>
                <w:bCs w:val="false"/>
                <w:color w:val="555555"/>
                <w:sz w:val="20"/>
                <w:szCs w:val="20"/>
              </w:rPr>
              <w:t xml:space="preserve">Frustrations, broken workflows, wasted time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b w:val="false"/>
                <w:bCs w:val="false"/>
                <w:color w:val="555555"/>
                <w:sz w:val="20"/>
                <w:szCs w:val="20"/>
              </w:rPr>
              <w:t xml:space="preserve">“We’re doing everything in email and it’s chaos”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b/>
                <w:bCs/>
                <w:color w:val="2E75B6"/>
                <w:sz w:val="20"/>
                <w:szCs w:val="20"/>
              </w:rPr>
              <w:t xml:space="preserve">WORKFLOW</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b w:val="false"/>
                <w:bCs w:val="false"/>
                <w:color w:val="555555"/>
                <w:sz w:val="20"/>
                <w:szCs w:val="20"/>
              </w:rPr>
              <w:t xml:space="preserve">How something actually works today, step by step</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b w:val="false"/>
                <w:bCs w:val="false"/>
                <w:color w:val="555555"/>
                <w:sz w:val="20"/>
                <w:szCs w:val="20"/>
              </w:rPr>
              <w:t xml:space="preserve">“First I check the spreadsheet, then I email...”</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b/>
                <w:bCs/>
                <w:color w:val="1A1A2E"/>
                <w:sz w:val="20"/>
                <w:szCs w:val="20"/>
              </w:rPr>
              <w:t xml:space="preserve">DATA</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b w:val="false"/>
                <w:bCs w:val="false"/>
                <w:color w:val="555555"/>
                <w:sz w:val="20"/>
                <w:szCs w:val="20"/>
              </w:rPr>
              <w:t xml:space="preserve">What info they collect, where it lives, what’s missing</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b w:val="false"/>
                <w:bCs w:val="false"/>
                <w:color w:val="555555"/>
                <w:sz w:val="20"/>
                <w:szCs w:val="20"/>
              </w:rPr>
              <w:t xml:space="preserve">“We track research topics in a Google Sheet”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b/>
                <w:bCs/>
                <w:color w:val="CC3333"/>
                <w:sz w:val="20"/>
                <w:szCs w:val="20"/>
              </w:rPr>
              <w:t xml:space="preserve">BOUNDARY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b w:val="false"/>
                <w:bCs w:val="false"/>
                <w:color w:val="555555"/>
                <w:sz w:val="20"/>
                <w:szCs w:val="20"/>
              </w:rPr>
              <w:t xml:space="preserve">Non-negotiables, safety, consent, things to avoid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b w:val="false"/>
                <w:bCs w:val="false"/>
                <w:color w:val="555555"/>
                <w:sz w:val="20"/>
                <w:szCs w:val="20"/>
              </w:rPr>
              <w:t xml:space="preserve">“We can’t share participant info across programs”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b/>
                <w:bCs/>
                <w:color w:val="999999"/>
                <w:sz w:val="20"/>
                <w:szCs w:val="20"/>
              </w:rPr>
              <w:t xml:space="preserve">SCALE</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b w:val="false"/>
                <w:bCs w:val="false"/>
                <w:color w:val="555555"/>
                <w:sz w:val="20"/>
                <w:szCs w:val="20"/>
              </w:rPr>
              <w:t xml:space="preserve">Numbers: users, volume, frequency, budget, timeline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b w:val="false"/>
                <w:bCs w:val="false"/>
                <w:color w:val="555555"/>
                <w:sz w:val="20"/>
                <w:szCs w:val="20"/>
              </w:rPr>
              <w:t xml:space="preserve">“75 academics, 15–20 fellows per cohort”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b/>
                <w:bCs/>
                <w:color w:val="2E75B6"/>
                <w:sz w:val="20"/>
                <w:szCs w:val="20"/>
              </w:rPr>
              <w:t xml:space="preserve">TIMELINE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b w:val="false"/>
                <w:bCs w:val="false"/>
                <w:color w:val="555555"/>
                <w:sz w:val="20"/>
                <w:szCs w:val="20"/>
              </w:rPr>
              <w:t xml:space="preserve">Deadlines, launch targets, cohort cycles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b w:val="false"/>
                <w:bCs w:val="false"/>
                <w:color w:val="555555"/>
                <w:sz w:val="20"/>
                <w:szCs w:val="20"/>
              </w:rPr>
              <w:t xml:space="preserve">“We need this by April for the spring cohort”</w:t>
            </w:r>
          </w:p>
        </w:tc>
      </w:tr>
    </w:tbl>
    <w:p>
      <w:pPr>
        <w:spacing w:before="60" w:after="60"/>
      </w:pPr>
    </w:p>
    <w:p>
      <w:pPr>
        <w:spacing w:before="80" w:after="80" w:line="276"/>
      </w:pPr>
      <w:r>
        <w:rPr>
          <w:rFonts w:ascii="Arial" w:cs="Arial" w:eastAsia="Arial" w:hAnsi="Arial"/>
          <w:b w:val="false"/>
          <w:bCs w:val="false"/>
          <w:i w:val="false"/>
          <w:iCs w:val="false"/>
          <w:color w:val="555555"/>
          <w:sz w:val="22"/>
          <w:szCs w:val="22"/>
        </w:rPr>
        <w:t xml:space="preserve">The tagged transcript becomes your gap map. Whatever isn’t covered by the tags is what the Voice Recording Pack needs to extract.</w:t>
      </w:r>
    </w:p>
    <w:p>
      <w:pPr>
        <w:spacing w:before="80" w:after="80"/>
      </w:pPr>
    </w:p>
    <w:p>
      <w:pPr>
        <w:pStyle w:val="Heading2"/>
        <w:spacing w:before="280" w:after="160"/>
      </w:pPr>
      <w:r>
        <w:rPr>
          <w:rFonts w:ascii="Arial" w:cs="Arial" w:eastAsia="Arial" w:hAnsi="Arial"/>
          <w:b/>
          <w:bCs/>
          <w:color w:val="2E75B6"/>
          <w:sz w:val="26"/>
          <w:szCs w:val="26"/>
        </w:rPr>
        <w:t xml:space="preserve">2C. Background Materials</w:t>
      </w:r>
    </w:p>
    <w:p>
      <w:pPr>
        <w:spacing w:before="80" w:after="80" w:line="276"/>
      </w:pPr>
      <w:r>
        <w:rPr>
          <w:rFonts w:ascii="Arial" w:cs="Arial" w:eastAsia="Arial" w:hAnsi="Arial"/>
          <w:b w:val="false"/>
          <w:bCs w:val="false"/>
          <w:i w:val="false"/>
          <w:iCs w:val="false"/>
          <w:color w:val="555555"/>
          <w:sz w:val="22"/>
          <w:szCs w:val="22"/>
        </w:rPr>
        <w:t xml:space="preserve">Collect anything the client has already shared or that you’ve received from adjacent sources. Common materials and what they tell you:</w:t>
      </w:r>
    </w:p>
    <w:p>
      <w:pPr>
        <w:spacing w:before="40" w:after="40"/>
      </w:pPr>
    </w:p>
    <w:p>
      <w:pPr>
        <w:pStyle w:val="ListParagraph"/>
        <w:numPr>
          <w:ilvl w:val="0"/>
          <w:numId w:val="2"/>
        </w:numPr>
        <w:spacing w:before="50" w:after="50" w:line="276"/>
      </w:pPr>
      <w:r>
        <w:rPr>
          <w:rFonts w:ascii="Arial" w:cs="Arial" w:eastAsia="Arial" w:hAnsi="Arial"/>
          <w:b/>
          <w:bCs/>
          <w:color w:val="1A1A2E"/>
          <w:sz w:val="22"/>
          <w:szCs w:val="22"/>
        </w:rPr>
        <w:t xml:space="preserve">Application forms / intake forms: </w:t>
      </w:r>
      <w:r>
        <w:rPr>
          <w:rFonts w:ascii="Arial" w:cs="Arial" w:eastAsia="Arial" w:hAnsi="Arial"/>
          <w:color w:val="555555"/>
          <w:sz w:val="22"/>
          <w:szCs w:val="22"/>
        </w:rPr>
        <w:t xml:space="preserve">reveal what data they collect about participants and how they think about eligibility and segmentation.</w:t>
      </w:r>
    </w:p>
    <w:p>
      <w:pPr>
        <w:pStyle w:val="ListParagraph"/>
        <w:numPr>
          <w:ilvl w:val="0"/>
          <w:numId w:val="2"/>
        </w:numPr>
        <w:spacing w:before="50" w:after="50" w:line="276"/>
      </w:pPr>
      <w:r>
        <w:rPr>
          <w:rFonts w:ascii="Arial" w:cs="Arial" w:eastAsia="Arial" w:hAnsi="Arial"/>
          <w:b/>
          <w:bCs/>
          <w:color w:val="1A1A2E"/>
          <w:sz w:val="22"/>
          <w:szCs w:val="22"/>
        </w:rPr>
        <w:t xml:space="preserve">Email templates / comms samples: </w:t>
      </w:r>
      <w:r>
        <w:rPr>
          <w:rFonts w:ascii="Arial" w:cs="Arial" w:eastAsia="Arial" w:hAnsi="Arial"/>
          <w:color w:val="555555"/>
          <w:sz w:val="22"/>
          <w:szCs w:val="22"/>
        </w:rPr>
        <w:t xml:space="preserve">reveal tone, cadence, and automation maturity. Look for: are these clearly manual? Do they use mail merge? Formatted or plain text?</w:t>
      </w:r>
    </w:p>
    <w:p>
      <w:pPr>
        <w:pStyle w:val="ListParagraph"/>
        <w:numPr>
          <w:ilvl w:val="0"/>
          <w:numId w:val="2"/>
        </w:numPr>
        <w:spacing w:before="50" w:after="50" w:line="276"/>
      </w:pPr>
      <w:r>
        <w:rPr>
          <w:rFonts w:ascii="Arial" w:cs="Arial" w:eastAsia="Arial" w:hAnsi="Arial"/>
          <w:b/>
          <w:bCs/>
          <w:color w:val="1A1A2E"/>
          <w:sz w:val="22"/>
          <w:szCs w:val="22"/>
        </w:rPr>
        <w:t xml:space="preserve">Spreadsheets / rosters: </w:t>
      </w:r>
      <w:r>
        <w:rPr>
          <w:rFonts w:ascii="Arial" w:cs="Arial" w:eastAsia="Arial" w:hAnsi="Arial"/>
          <w:color w:val="555555"/>
          <w:sz w:val="22"/>
          <w:szCs w:val="22"/>
        </w:rPr>
        <w:t xml:space="preserve">reveal data model assumptions, how they categorize people, what fields matter, and what’s missing.</w:t>
      </w:r>
    </w:p>
    <w:p>
      <w:pPr>
        <w:pStyle w:val="ListParagraph"/>
        <w:numPr>
          <w:ilvl w:val="0"/>
          <w:numId w:val="2"/>
        </w:numPr>
        <w:spacing w:before="50" w:after="50" w:line="276"/>
      </w:pPr>
      <w:r>
        <w:rPr>
          <w:rFonts w:ascii="Arial" w:cs="Arial" w:eastAsia="Arial" w:hAnsi="Arial"/>
          <w:b/>
          <w:bCs/>
          <w:color w:val="1A1A2E"/>
          <w:sz w:val="22"/>
          <w:szCs w:val="22"/>
        </w:rPr>
        <w:t xml:space="preserve">Pitch decks / grant applications: </w:t>
      </w:r>
      <w:r>
        <w:rPr>
          <w:rFonts w:ascii="Arial" w:cs="Arial" w:eastAsia="Arial" w:hAnsi="Arial"/>
          <w:color w:val="555555"/>
          <w:sz w:val="22"/>
          <w:szCs w:val="22"/>
        </w:rPr>
        <w:t xml:space="preserve">reveal how they describe their own impact, which metrics they track (or claim to), and funder expectations.</w:t>
      </w:r>
    </w:p>
    <w:p>
      <w:pPr>
        <w:pStyle w:val="ListParagraph"/>
        <w:numPr>
          <w:ilvl w:val="0"/>
          <w:numId w:val="2"/>
        </w:numPr>
        <w:spacing w:before="50" w:after="50" w:line="276"/>
      </w:pPr>
      <w:r>
        <w:rPr>
          <w:rFonts w:ascii="Arial" w:cs="Arial" w:eastAsia="Arial" w:hAnsi="Arial"/>
          <w:b/>
          <w:bCs/>
          <w:color w:val="1A1A2E"/>
          <w:sz w:val="22"/>
          <w:szCs w:val="22"/>
        </w:rPr>
        <w:t xml:space="preserve">Screenshots / screen recordings: </w:t>
      </w:r>
      <w:r>
        <w:rPr>
          <w:rFonts w:ascii="Arial" w:cs="Arial" w:eastAsia="Arial" w:hAnsi="Arial"/>
          <w:color w:val="555555"/>
          <w:sz w:val="22"/>
          <w:szCs w:val="22"/>
        </w:rPr>
        <w:t xml:space="preserve">highest-value artifact. A 5-minute screen recording of someone doing the workflow is worth more than 30 minutes of verbal description.</w:t>
      </w:r>
    </w:p>
    <w:p>
      <w:pPr>
        <w:pStyle w:val="ListParagraph"/>
        <w:numPr>
          <w:ilvl w:val="0"/>
          <w:numId w:val="2"/>
        </w:numPr>
        <w:spacing w:before="50" w:after="50" w:line="276"/>
      </w:pPr>
      <w:r>
        <w:rPr>
          <w:rFonts w:ascii="Arial" w:cs="Arial" w:eastAsia="Arial" w:hAnsi="Arial"/>
          <w:b/>
          <w:bCs/>
          <w:color w:val="1A1A2E"/>
          <w:sz w:val="22"/>
          <w:szCs w:val="22"/>
        </w:rPr>
        <w:t xml:space="preserve">Org charts / role descriptions: </w:t>
      </w:r>
      <w:r>
        <w:rPr>
          <w:rFonts w:ascii="Arial" w:cs="Arial" w:eastAsia="Arial" w:hAnsi="Arial"/>
          <w:color w:val="555555"/>
          <w:sz w:val="22"/>
          <w:szCs w:val="22"/>
        </w:rPr>
        <w:t xml:space="preserve">reveal who does what, reporting lines, and implied permission structures.</w:t>
      </w:r>
    </w:p>
    <w:p>
      <w:pPr>
        <w:spacing w:before="200" w:after="200"/>
      </w:pPr>
    </w:p>
    <w:p>
      <w:r>
        <w:br w:type="page"/>
      </w:r>
    </w:p>
    <w:p>
      <w:pPr>
        <w:pStyle w:val="Heading1"/>
        <w:spacing w:before="360" w:after="200"/>
      </w:pPr>
      <w:r>
        <w:rPr>
          <w:rFonts w:ascii="Arial" w:cs="Arial" w:eastAsia="Arial" w:hAnsi="Arial"/>
          <w:b/>
          <w:bCs/>
          <w:color w:val="1A1A2E"/>
          <w:sz w:val="32"/>
          <w:szCs w:val="32"/>
        </w:rPr>
        <w:t xml:space="preserve">3. Identifying Knowledge Gaps</w:t>
      </w:r>
    </w:p>
    <w:p>
      <w:pPr>
        <w:spacing w:before="80" w:after="80" w:line="276"/>
      </w:pPr>
      <w:r>
        <w:rPr>
          <w:rFonts w:ascii="Arial" w:cs="Arial" w:eastAsia="Arial" w:hAnsi="Arial"/>
          <w:b w:val="false"/>
          <w:bCs w:val="false"/>
          <w:i w:val="false"/>
          <w:iCs w:val="false"/>
          <w:color w:val="555555"/>
          <w:sz w:val="22"/>
          <w:szCs w:val="22"/>
        </w:rPr>
        <w:t xml:space="preserve">With your research dossier, tagged transcripts, and background materials assembled, run a systematic gap analysis. For each PRD section you need to write, ask: do I have enough to draft this, or do I need the client’s voice?</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PRD Section</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Typically From Research</w:t>
            </w:r>
          </w:p>
        </w:tc>
        <w:tc>
          <w:tcPr>
            <w:tcW w:type="dxa" w:w="3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Must Come From Client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b/>
                <w:bCs/>
                <w:color w:val="555555"/>
                <w:sz w:val="20"/>
                <w:szCs w:val="20"/>
              </w:rPr>
              <w:t xml:space="preserve">Goals &amp; Success Metrics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20" w:after="20"/>
            </w:pPr>
            <w:r>
              <w:rPr>
                <w:rFonts w:ascii="Arial" w:cs="Arial" w:eastAsia="Arial" w:hAnsi="Arial"/>
                <w:color w:val="555555"/>
                <w:sz w:val="20"/>
                <w:szCs w:val="20"/>
              </w:rPr>
              <w:t xml:space="preserve">Mission language, published impact</w:t>
            </w:r>
          </w:p>
          <w:p>
            <w:pPr>
              <w:spacing w:before="20" w:after="20"/>
            </w:pPr>
            <w:r>
              <w:rPr>
                <w:rFonts w:ascii="Arial" w:cs="Arial" w:eastAsia="Arial" w:hAnsi="Arial"/>
                <w:color w:val="555555"/>
                <w:sz w:val="20"/>
                <w:szCs w:val="20"/>
              </w:rPr>
              <w:t xml:space="preserve">claims, funder expectations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20" w:after="20"/>
            </w:pPr>
            <w:r>
              <w:rPr>
                <w:rFonts w:ascii="Arial" w:cs="Arial" w:eastAsia="Arial" w:hAnsi="Arial"/>
                <w:color w:val="555555"/>
                <w:sz w:val="20"/>
                <w:szCs w:val="20"/>
              </w:rPr>
              <w:t xml:space="preserve">Prioritized goals, real success signals,</w:t>
            </w:r>
          </w:p>
          <w:p>
            <w:pPr>
              <w:spacing w:before="20" w:after="20"/>
            </w:pPr>
            <w:r>
              <w:rPr>
                <w:rFonts w:ascii="Arial" w:cs="Arial" w:eastAsia="Arial" w:hAnsi="Arial"/>
                <w:color w:val="555555"/>
                <w:sz w:val="20"/>
                <w:szCs w:val="20"/>
              </w:rPr>
              <w:t xml:space="preserve">what “winning” looks like internally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b/>
                <w:bCs/>
                <w:color w:val="555555"/>
                <w:sz w:val="20"/>
                <w:szCs w:val="20"/>
              </w:rPr>
              <w:t xml:space="preserve">Workflows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20" w:after="20"/>
            </w:pPr>
            <w:r>
              <w:rPr>
                <w:rFonts w:ascii="Arial" w:cs="Arial" w:eastAsia="Arial" w:hAnsi="Arial"/>
                <w:color w:val="555555"/>
                <w:sz w:val="20"/>
                <w:szCs w:val="20"/>
              </w:rPr>
              <w:t xml:space="preserve">Observable intake flows, tool stack,</w:t>
            </w:r>
          </w:p>
          <w:p>
            <w:pPr>
              <w:spacing w:before="20" w:after="20"/>
            </w:pPr>
            <w:r>
              <w:rPr>
                <w:rFonts w:ascii="Arial" w:cs="Arial" w:eastAsia="Arial" w:hAnsi="Arial"/>
                <w:color w:val="555555"/>
                <w:sz w:val="20"/>
                <w:szCs w:val="20"/>
              </w:rPr>
              <w:t xml:space="preserve">program cadence from website</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20" w:after="20"/>
            </w:pPr>
            <w:r>
              <w:rPr>
                <w:rFonts w:ascii="Arial" w:cs="Arial" w:eastAsia="Arial" w:hAnsi="Arial"/>
                <w:color w:val="555555"/>
                <w:sz w:val="20"/>
                <w:szCs w:val="20"/>
              </w:rPr>
              <w:t xml:space="preserve">Actual step-by-step process, where it</w:t>
            </w:r>
          </w:p>
          <w:p>
            <w:pPr>
              <w:spacing w:before="20" w:after="20"/>
            </w:pPr>
            <w:r>
              <w:rPr>
                <w:rFonts w:ascii="Arial" w:cs="Arial" w:eastAsia="Arial" w:hAnsi="Arial"/>
                <w:color w:val="555555"/>
                <w:sz w:val="20"/>
                <w:szCs w:val="20"/>
              </w:rPr>
              <w:t xml:space="preserve">breaks, workarounds, handoffs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b/>
                <w:bCs/>
                <w:color w:val="555555"/>
                <w:sz w:val="20"/>
                <w:szCs w:val="20"/>
              </w:rPr>
              <w:t xml:space="preserve">Data Model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20" w:after="20"/>
            </w:pPr>
            <w:r>
              <w:rPr>
                <w:rFonts w:ascii="Arial" w:cs="Arial" w:eastAsia="Arial" w:hAnsi="Arial"/>
                <w:color w:val="555555"/>
                <w:sz w:val="20"/>
                <w:szCs w:val="20"/>
              </w:rPr>
              <w:t xml:space="preserve">Application fields, published profiles,</w:t>
            </w:r>
          </w:p>
          <w:p>
            <w:pPr>
              <w:spacing w:before="20" w:after="20"/>
            </w:pPr>
            <w:r>
              <w:rPr>
                <w:rFonts w:ascii="Arial" w:cs="Arial" w:eastAsia="Arial" w:hAnsi="Arial"/>
                <w:color w:val="555555"/>
                <w:sz w:val="20"/>
                <w:szCs w:val="20"/>
              </w:rPr>
              <w:t xml:space="preserve">categories on website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20" w:after="20"/>
            </w:pPr>
            <w:r>
              <w:rPr>
                <w:rFonts w:ascii="Arial" w:cs="Arial" w:eastAsia="Arial" w:hAnsi="Arial"/>
                <w:color w:val="555555"/>
                <w:sz w:val="20"/>
                <w:szCs w:val="20"/>
              </w:rPr>
              <w:t xml:space="preserve">Internal fields, matching criteria,</w:t>
            </w:r>
          </w:p>
          <w:p>
            <w:pPr>
              <w:spacing w:before="20" w:after="20"/>
            </w:pPr>
            <w:r>
              <w:rPr>
                <w:rFonts w:ascii="Arial" w:cs="Arial" w:eastAsia="Arial" w:hAnsi="Arial"/>
                <w:color w:val="555555"/>
                <w:sz w:val="20"/>
                <w:szCs w:val="20"/>
              </w:rPr>
              <w:t xml:space="preserve">what data exists but isn’t public</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b/>
                <w:bCs/>
                <w:color w:val="555555"/>
                <w:sz w:val="20"/>
                <w:szCs w:val="20"/>
              </w:rPr>
              <w:t xml:space="preserve">Matching / Core Logic</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20" w:after="20"/>
            </w:pPr>
            <w:r>
              <w:rPr>
                <w:rFonts w:ascii="Arial" w:cs="Arial" w:eastAsia="Arial" w:hAnsi="Arial"/>
                <w:color w:val="555555"/>
                <w:sz w:val="20"/>
                <w:szCs w:val="20"/>
              </w:rPr>
              <w:t xml:space="preserve">Topic categories, program structure,</w:t>
            </w:r>
          </w:p>
          <w:p>
            <w:pPr>
              <w:spacing w:before="20" w:after="20"/>
            </w:pPr>
            <w:r>
              <w:rPr>
                <w:rFonts w:ascii="Arial" w:cs="Arial" w:eastAsia="Arial" w:hAnsi="Arial"/>
                <w:color w:val="555555"/>
                <w:sz w:val="20"/>
                <w:szCs w:val="20"/>
              </w:rPr>
              <w:t xml:space="preserve">published taxonomy signals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20" w:after="20"/>
            </w:pPr>
            <w:r>
              <w:rPr>
                <w:rFonts w:ascii="Arial" w:cs="Arial" w:eastAsia="Arial" w:hAnsi="Arial"/>
                <w:color w:val="555555"/>
                <w:sz w:val="20"/>
                <w:szCs w:val="20"/>
              </w:rPr>
              <w:t xml:space="preserve">Matching rules, must-haves vs nice-to-</w:t>
            </w:r>
          </w:p>
          <w:p>
            <w:pPr>
              <w:spacing w:before="20" w:after="20"/>
            </w:pPr>
            <w:r>
              <w:rPr>
                <w:rFonts w:ascii="Arial" w:cs="Arial" w:eastAsia="Arial" w:hAnsi="Arial"/>
                <w:color w:val="555555"/>
                <w:sz w:val="20"/>
                <w:szCs w:val="20"/>
              </w:rPr>
              <w:t xml:space="preserve">haves, fairness principles, capacity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b/>
                <w:bCs/>
                <w:color w:val="555555"/>
                <w:sz w:val="20"/>
                <w:szCs w:val="20"/>
              </w:rPr>
              <w:t xml:space="preserve">Integrations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20" w:after="20"/>
            </w:pPr>
            <w:r>
              <w:rPr>
                <w:rFonts w:ascii="Arial" w:cs="Arial" w:eastAsia="Arial" w:hAnsi="Arial"/>
                <w:color w:val="555555"/>
                <w:sz w:val="20"/>
                <w:szCs w:val="20"/>
              </w:rPr>
              <w:t xml:space="preserve">Observable tools (Google, Zoom,</w:t>
            </w:r>
          </w:p>
          <w:p>
            <w:pPr>
              <w:spacing w:before="20" w:after="20"/>
            </w:pPr>
            <w:r>
              <w:rPr>
                <w:rFonts w:ascii="Arial" w:cs="Arial" w:eastAsia="Arial" w:hAnsi="Arial"/>
                <w:color w:val="555555"/>
                <w:sz w:val="20"/>
                <w:szCs w:val="20"/>
              </w:rPr>
              <w:t xml:space="preserve">Calendly, Shopify, etc.)</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20" w:after="20"/>
            </w:pPr>
            <w:r>
              <w:rPr>
                <w:rFonts w:ascii="Arial" w:cs="Arial" w:eastAsia="Arial" w:hAnsi="Arial"/>
                <w:color w:val="555555"/>
                <w:sz w:val="20"/>
                <w:szCs w:val="20"/>
              </w:rPr>
              <w:t xml:space="preserve">Which tools are load-bearing vs optional,</w:t>
            </w:r>
          </w:p>
          <w:p>
            <w:pPr>
              <w:spacing w:before="20" w:after="20"/>
            </w:pPr>
            <w:r>
              <w:rPr>
                <w:rFonts w:ascii="Arial" w:cs="Arial" w:eastAsia="Arial" w:hAnsi="Arial"/>
                <w:color w:val="555555"/>
                <w:sz w:val="20"/>
                <w:szCs w:val="20"/>
              </w:rPr>
              <w:t xml:space="preserve">what they’d drop, migration appetite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b/>
                <w:bCs/>
                <w:color w:val="555555"/>
                <w:sz w:val="20"/>
                <w:szCs w:val="20"/>
              </w:rPr>
              <w:t xml:space="preserve">Permissions / RBAC</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20" w:after="20"/>
            </w:pPr>
            <w:r>
              <w:rPr>
                <w:rFonts w:ascii="Arial" w:cs="Arial" w:eastAsia="Arial" w:hAnsi="Arial"/>
                <w:color w:val="555555"/>
                <w:sz w:val="20"/>
                <w:szCs w:val="20"/>
              </w:rPr>
              <w:t xml:space="preserve">Implied roles from org structure</w:t>
            </w:r>
          </w:p>
          <w:p>
            <w:pPr>
              <w:spacing w:before="20" w:after="20"/>
            </w:pPr>
            <w:r>
              <w:rPr>
                <w:rFonts w:ascii="Arial" w:cs="Arial" w:eastAsia="Arial" w:hAnsi="Arial"/>
                <w:color w:val="555555"/>
                <w:sz w:val="20"/>
                <w:szCs w:val="20"/>
              </w:rPr>
              <w:t xml:space="preserve">and program descriptions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20" w:after="20"/>
            </w:pPr>
            <w:r>
              <w:rPr>
                <w:rFonts w:ascii="Arial" w:cs="Arial" w:eastAsia="Arial" w:hAnsi="Arial"/>
                <w:color w:val="555555"/>
                <w:sz w:val="20"/>
                <w:szCs w:val="20"/>
              </w:rPr>
              <w:t xml:space="preserve">Exact roles, what each should see,</w:t>
            </w:r>
          </w:p>
          <w:p>
            <w:pPr>
              <w:spacing w:before="20" w:after="20"/>
            </w:pPr>
            <w:r>
              <w:rPr>
                <w:rFonts w:ascii="Arial" w:cs="Arial" w:eastAsia="Arial" w:hAnsi="Arial"/>
                <w:color w:val="555555"/>
                <w:sz w:val="20"/>
                <w:szCs w:val="20"/>
              </w:rPr>
              <w:t xml:space="preserve">sensitive info, access walls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b/>
                <w:bCs/>
                <w:color w:val="555555"/>
                <w:sz w:val="20"/>
                <w:szCs w:val="20"/>
              </w:rPr>
              <w:t xml:space="preserve">Privacy &amp; Consent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20" w:after="20"/>
            </w:pPr>
            <w:r>
              <w:rPr>
                <w:rFonts w:ascii="Arial" w:cs="Arial" w:eastAsia="Arial" w:hAnsi="Arial"/>
                <w:color w:val="555555"/>
                <w:sz w:val="20"/>
                <w:szCs w:val="20"/>
              </w:rPr>
              <w:t xml:space="preserve">Published privacy policy, programs</w:t>
            </w:r>
          </w:p>
          <w:p>
            <w:pPr>
              <w:spacing w:before="20" w:after="20"/>
            </w:pPr>
            <w:r>
              <w:rPr>
                <w:rFonts w:ascii="Arial" w:cs="Arial" w:eastAsia="Arial" w:hAnsi="Arial"/>
                <w:color w:val="555555"/>
                <w:sz w:val="20"/>
                <w:szCs w:val="20"/>
              </w:rPr>
              <w:t xml:space="preserve">serving minors, data sensitivity tiers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20" w:after="20"/>
            </w:pPr>
            <w:r>
              <w:rPr>
                <w:rFonts w:ascii="Arial" w:cs="Arial" w:eastAsia="Arial" w:hAnsi="Arial"/>
                <w:color w:val="555555"/>
                <w:sz w:val="20"/>
                <w:szCs w:val="20"/>
              </w:rPr>
              <w:t xml:space="preserve">Consent rules, deletion policy, data</w:t>
            </w:r>
          </w:p>
          <w:p>
            <w:pPr>
              <w:spacing w:before="20" w:after="20"/>
            </w:pPr>
            <w:r>
              <w:rPr>
                <w:rFonts w:ascii="Arial" w:cs="Arial" w:eastAsia="Arial" w:hAnsi="Arial"/>
                <w:color w:val="555555"/>
                <w:sz w:val="20"/>
                <w:szCs w:val="20"/>
              </w:rPr>
              <w:t xml:space="preserve">walls between programs, legal needs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b/>
                <w:bCs/>
                <w:color w:val="555555"/>
                <w:sz w:val="20"/>
                <w:szCs w:val="20"/>
              </w:rPr>
              <w:t xml:space="preserve">MVP Scope &amp; Pilot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20" w:after="20"/>
            </w:pPr>
            <w:r>
              <w:rPr>
                <w:rFonts w:ascii="Arial" w:cs="Arial" w:eastAsia="Arial" w:hAnsi="Arial"/>
                <w:color w:val="555555"/>
                <w:sz w:val="20"/>
                <w:szCs w:val="20"/>
              </w:rPr>
              <w:t xml:space="preserve">Inferred from program cadence</w:t>
            </w:r>
          </w:p>
          <w:p>
            <w:pPr>
              <w:spacing w:before="20" w:after="20"/>
            </w:pPr>
            <w:r>
              <w:rPr>
                <w:rFonts w:ascii="Arial" w:cs="Arial" w:eastAsia="Arial" w:hAnsi="Arial"/>
                <w:color w:val="555555"/>
                <w:sz w:val="20"/>
                <w:szCs w:val="20"/>
              </w:rPr>
              <w:t xml:space="preserve">and stated timeline</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20" w:after="20"/>
            </w:pPr>
            <w:r>
              <w:rPr>
                <w:rFonts w:ascii="Arial" w:cs="Arial" w:eastAsia="Arial" w:hAnsi="Arial"/>
                <w:color w:val="555555"/>
                <w:sz w:val="20"/>
                <w:szCs w:val="20"/>
              </w:rPr>
              <w:t xml:space="preserve">Prioritized feature list, what can</w:t>
            </w:r>
          </w:p>
          <w:p>
            <w:pPr>
              <w:spacing w:before="20" w:after="20"/>
            </w:pPr>
            <w:r>
              <w:rPr>
                <w:rFonts w:ascii="Arial" w:cs="Arial" w:eastAsia="Arial" w:hAnsi="Arial"/>
                <w:color w:val="555555"/>
                <w:sz w:val="20"/>
                <w:szCs w:val="20"/>
              </w:rPr>
              <w:t xml:space="preserve">wait, smallest pilot that proves value</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75B6" w:sz="8"/>
              <w:bottom w:val="none"/>
              <w:right w:val="none"/>
            </w:tcBorders>
            <w:shd w:fill="E8F0F8" w:val="clear"/>
            <w:tcMar>
              <w:top w:type="dxa" w:w="120"/>
              <w:left w:type="dxa" w:w="200"/>
              <w:bottom w:type="dxa" w:w="120"/>
              <w:right w:type="dxa" w:w="200"/>
            </w:tcMar>
          </w:tcPr>
          <w:p>
            <w:pPr>
              <w:spacing w:before="0" w:after="80"/>
            </w:pPr>
            <w:r>
              <w:rPr>
                <w:rFonts w:ascii="Arial" w:cs="Arial" w:eastAsia="Arial" w:hAnsi="Arial"/>
                <w:b/>
                <w:bCs/>
                <w:color w:val="1A1A2E"/>
                <w:sz w:val="22"/>
                <w:szCs w:val="22"/>
              </w:rPr>
              <w:t xml:space="preserve">The Gap Analysis Output</w:t>
            </w:r>
          </w:p>
          <w:p>
            <w:pPr>
              <w:spacing w:before="40" w:after="40" w:line="276"/>
            </w:pPr>
            <w:r>
              <w:rPr>
                <w:rFonts w:ascii="Arial" w:cs="Arial" w:eastAsia="Arial" w:hAnsi="Arial"/>
                <w:color w:val="555555"/>
                <w:sz w:val="21"/>
                <w:szCs w:val="21"/>
              </w:rPr>
              <w:t xml:space="preserve">You should end this step with a list of 15–30 specific questions organized by theme. These questions become the backbone of your customized module prompts. If you have fewer than 10 questions, your research was probably incomplete. If you have more than 40, you’re asking too much — consolidate.</w:t>
            </w:r>
          </w:p>
        </w:tc>
      </w:tr>
    </w:tbl>
    <w:p>
      <w:pPr>
        <w:spacing w:before="200" w:after="200"/>
      </w:pPr>
    </w:p>
    <w:p>
      <w:r>
        <w:br w:type="page"/>
      </w:r>
    </w:p>
    <w:p>
      <w:pPr>
        <w:pStyle w:val="Heading1"/>
        <w:spacing w:before="360" w:after="200"/>
      </w:pPr>
      <w:r>
        <w:rPr>
          <w:rFonts w:ascii="Arial" w:cs="Arial" w:eastAsia="Arial" w:hAnsi="Arial"/>
          <w:b/>
          <w:bCs/>
          <w:color w:val="1A1A2E"/>
          <w:sz w:val="32"/>
          <w:szCs w:val="32"/>
        </w:rPr>
        <w:t xml:space="preserve">4. Designing the Modules</w:t>
      </w:r>
    </w:p>
    <w:p>
      <w:pPr>
        <w:spacing w:before="80" w:after="80" w:line="276"/>
      </w:pPr>
      <w:r>
        <w:rPr>
          <w:rFonts w:ascii="Arial" w:cs="Arial" w:eastAsia="Arial" w:hAnsi="Arial"/>
          <w:b w:val="false"/>
          <w:bCs w:val="false"/>
          <w:i w:val="false"/>
          <w:iCs w:val="false"/>
          <w:color w:val="555555"/>
          <w:sz w:val="22"/>
          <w:szCs w:val="22"/>
        </w:rPr>
        <w:t xml:space="preserve">Every Voice Recording Pack follows the same five-module structure. This structure is fixed because it maps 1:1 to PRD sections and ensures nothing gets missed. What changes for each client is the specific prompts within each module.</w:t>
      </w:r>
    </w:p>
    <w:p>
      <w:pPr>
        <w:spacing w:before="60" w:after="60"/>
      </w:pPr>
    </w:p>
    <w:p>
      <w:pPr>
        <w:pStyle w:val="Heading2"/>
        <w:spacing w:before="280" w:after="160"/>
      </w:pPr>
      <w:r>
        <w:rPr>
          <w:rFonts w:ascii="Arial" w:cs="Arial" w:eastAsia="Arial" w:hAnsi="Arial"/>
          <w:b/>
          <w:bCs/>
          <w:color w:val="2E75B6"/>
          <w:sz w:val="26"/>
          <w:szCs w:val="26"/>
        </w:rPr>
        <w:t xml:space="preserve">4A. The Five-Module Structure</w:t>
      </w:r>
    </w:p>
    <w:p>
      <w:pPr>
        <w:spacing w:before="2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400"/>
        <w:gridCol w:w="2960"/>
      </w:tblGrid>
      <w:tr>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2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PRD Coverage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b/>
                <w:bCs/>
                <w:color w:val="555555"/>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b w:val="false"/>
                <w:bCs w:val="false"/>
                <w:color w:val="555555"/>
                <w:sz w:val="20"/>
                <w:szCs w:val="20"/>
              </w:rPr>
              <w:t xml:space="preserve">Vision, Success &amp; Boundaries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b w:val="false"/>
                <w:bCs w:val="false"/>
                <w:color w:val="555555"/>
                <w:sz w:val="20"/>
                <w:szCs w:val="20"/>
              </w:rPr>
              <w:t xml:space="preserve">8–12 min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b w:val="false"/>
                <w:bCs w:val="false"/>
                <w:color w:val="555555"/>
                <w:sz w:val="20"/>
                <w:szCs w:val="20"/>
              </w:rPr>
              <w:t xml:space="preserve">Goals, metrics, principles, non-goals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b/>
                <w:bCs/>
                <w:color w:val="555555"/>
                <w:sz w:val="20"/>
                <w:szCs w:val="20"/>
              </w:rPr>
              <w:t xml:space="preserve">2</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b w:val="false"/>
                <w:bCs w:val="false"/>
                <w:color w:val="555555"/>
                <w:sz w:val="20"/>
                <w:szCs w:val="20"/>
              </w:rPr>
              <w:t xml:space="preserve">Current Workflow</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b w:val="false"/>
                <w:bCs w:val="false"/>
                <w:color w:val="555555"/>
                <w:sz w:val="20"/>
                <w:szCs w:val="20"/>
              </w:rPr>
              <w:t xml:space="preserve">12–18 min</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b w:val="false"/>
                <w:bCs w:val="false"/>
                <w:color w:val="555555"/>
                <w:sz w:val="20"/>
                <w:szCs w:val="20"/>
              </w:rPr>
              <w:t xml:space="preserve">As-is journey, failure points, capacity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b/>
                <w:bCs/>
                <w:color w:val="555555"/>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b w:val="false"/>
                <w:bCs w:val="false"/>
                <w:color w:val="555555"/>
                <w:sz w:val="20"/>
                <w:szCs w:val="20"/>
              </w:rPr>
              <w:t xml:space="preserve">Core Logic / Domain Model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b w:val="false"/>
                <w:bCs w:val="false"/>
                <w:color w:val="555555"/>
                <w:sz w:val="20"/>
                <w:szCs w:val="20"/>
              </w:rPr>
              <w:t xml:space="preserve">8–12 min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b w:val="false"/>
                <w:bCs w:val="false"/>
                <w:color w:val="555555"/>
                <w:sz w:val="20"/>
                <w:szCs w:val="20"/>
              </w:rPr>
              <w:t xml:space="preserve">Data schema, matching/logic rules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b/>
                <w:bCs/>
                <w:color w:val="555555"/>
                <w:sz w:val="20"/>
                <w:szCs w:val="20"/>
              </w:rPr>
              <w:t xml:space="preserve">4</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b w:val="false"/>
                <w:bCs w:val="false"/>
                <w:color w:val="555555"/>
                <w:sz w:val="20"/>
                <w:szCs w:val="20"/>
              </w:rPr>
              <w:t xml:space="preserve">Automation &amp; Communications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b w:val="false"/>
                <w:bCs w:val="false"/>
                <w:color w:val="555555"/>
                <w:sz w:val="20"/>
                <w:szCs w:val="20"/>
              </w:rPr>
              <w:t xml:space="preserve">10–15 min</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b w:val="false"/>
                <w:bCs w:val="false"/>
                <w:color w:val="555555"/>
                <w:sz w:val="20"/>
                <w:szCs w:val="20"/>
              </w:rPr>
              <w:t xml:space="preserve">Scheduling, notifications, triggers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b/>
                <w:bCs/>
                <w:color w:val="555555"/>
                <w:sz w:val="20"/>
                <w:szCs w:val="20"/>
              </w:rPr>
              <w:t xml:space="preserve">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b w:val="false"/>
                <w:bCs w:val="false"/>
                <w:color w:val="555555"/>
                <w:sz w:val="20"/>
                <w:szCs w:val="20"/>
              </w:rPr>
              <w:t xml:space="preserve">Roles, Privacy &amp; MVP Scope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b w:val="false"/>
                <w:bCs w:val="false"/>
                <w:color w:val="555555"/>
                <w:sz w:val="20"/>
                <w:szCs w:val="20"/>
              </w:rPr>
              <w:t xml:space="preserve">12–18 min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b w:val="false"/>
                <w:bCs w:val="false"/>
                <w:color w:val="555555"/>
                <w:sz w:val="20"/>
                <w:szCs w:val="20"/>
              </w:rPr>
              <w:t xml:space="preserve">RBAC, consent, MVP, pilot plan</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999999" w:sz="8"/>
              <w:bottom w:val="none"/>
              <w:right w:val="none"/>
            </w:tcBorders>
            <w:shd w:fill="F5F5F5" w:val="clear"/>
            <w:tcMar>
              <w:top w:type="dxa" w:w="120"/>
              <w:left w:type="dxa" w:w="200"/>
              <w:bottom w:type="dxa" w:w="120"/>
              <w:right w:type="dxa" w:w="200"/>
            </w:tcMar>
          </w:tcPr>
          <w:p>
            <w:pPr>
              <w:spacing w:before="0" w:after="80"/>
            </w:pPr>
            <w:r>
              <w:rPr>
                <w:rFonts w:ascii="Arial" w:cs="Arial" w:eastAsia="Arial" w:hAnsi="Arial"/>
                <w:b/>
                <w:bCs/>
                <w:color w:val="1A1A2E"/>
                <w:sz w:val="22"/>
                <w:szCs w:val="22"/>
              </w:rPr>
              <w:t xml:space="preserve">The 30-Minute Path</w:t>
            </w:r>
          </w:p>
          <w:p>
            <w:pPr>
              <w:spacing w:before="40" w:after="40" w:line="276"/>
            </w:pPr>
            <w:r>
              <w:rPr>
                <w:rFonts w:ascii="Arial" w:cs="Arial" w:eastAsia="Arial" w:hAnsi="Arial"/>
                <w:color w:val="555555"/>
                <w:sz w:val="21"/>
                <w:szCs w:val="21"/>
              </w:rPr>
              <w:t xml:space="preserve">Every pack must include a “if you only have 30 minutes” section. The minimum viable recording set is always Modules 1, 2, and 5. That gives you enough for an MVP PRD. Modules 3 and 4 can be filled from a follow-up call or a second async round.</w:t>
            </w:r>
          </w:p>
        </w:tc>
      </w:tr>
    </w:tbl>
    <w:p>
      <w:pPr>
        <w:spacing w:before="80" w:after="80"/>
      </w:pPr>
    </w:p>
    <w:p>
      <w:pPr>
        <w:pStyle w:val="Heading2"/>
        <w:spacing w:before="280" w:after="160"/>
      </w:pPr>
      <w:r>
        <w:rPr>
          <w:rFonts w:ascii="Arial" w:cs="Arial" w:eastAsia="Arial" w:hAnsi="Arial"/>
          <w:b/>
          <w:bCs/>
          <w:color w:val="2E75B6"/>
          <w:sz w:val="26"/>
          <w:szCs w:val="26"/>
        </w:rPr>
        <w:t xml:space="preserve">4B. Customizing Module Prompts</w:t>
      </w:r>
    </w:p>
    <w:p>
      <w:pPr>
        <w:spacing w:before="80" w:after="80" w:line="276"/>
      </w:pPr>
      <w:r>
        <w:rPr>
          <w:rFonts w:ascii="Arial" w:cs="Arial" w:eastAsia="Arial" w:hAnsi="Arial"/>
          <w:b w:val="false"/>
          <w:bCs w:val="false"/>
          <w:i w:val="false"/>
          <w:iCs w:val="false"/>
          <w:color w:val="555555"/>
          <w:sz w:val="22"/>
          <w:szCs w:val="22"/>
        </w:rPr>
        <w:t xml:space="preserve">Each module has a set of generic baseline prompts (from the TSL Voice Recording Framework v2). Your job is to customize them for this specific client. Here’s how:</w:t>
      </w:r>
    </w:p>
    <w:p>
      <w:pPr>
        <w:spacing w:before="40" w:after="40"/>
      </w:pPr>
    </w:p>
    <w:p>
      <w:pPr>
        <w:spacing w:before="200" w:after="100"/>
      </w:pPr>
      <w:r>
        <w:rPr>
          <w:rFonts w:ascii="Arial" w:cs="Arial" w:eastAsia="Arial" w:hAnsi="Arial"/>
          <w:b/>
          <w:bCs/>
          <w:color w:val="1A1A2E"/>
          <w:sz w:val="22"/>
          <w:szCs w:val="22"/>
        </w:rPr>
        <w:t xml:space="preserve">Step 1: Start with the baseline prompts</w:t>
      </w:r>
    </w:p>
    <w:p>
      <w:pPr>
        <w:spacing w:before="80" w:after="80" w:line="276"/>
      </w:pPr>
      <w:r>
        <w:rPr>
          <w:rFonts w:ascii="Arial" w:cs="Arial" w:eastAsia="Arial" w:hAnsi="Arial"/>
          <w:b w:val="false"/>
          <w:bCs w:val="false"/>
          <w:i w:val="false"/>
          <w:iCs w:val="false"/>
          <w:color w:val="555555"/>
          <w:sz w:val="22"/>
          <w:szCs w:val="22"/>
        </w:rPr>
        <w:t xml:space="preserve">Copy the generic prompts from the Voice Recording Framework v2 for each module. These are your floor — they ensure complete PRD coverage regardless of what your research found.</w:t>
      </w:r>
    </w:p>
    <w:p>
      <w:pPr>
        <w:spacing w:before="20" w:after="20"/>
      </w:pPr>
    </w:p>
    <w:p>
      <w:pPr>
        <w:spacing w:before="200" w:after="100"/>
      </w:pPr>
      <w:r>
        <w:rPr>
          <w:rFonts w:ascii="Arial" w:cs="Arial" w:eastAsia="Arial" w:hAnsi="Arial"/>
          <w:b/>
          <w:bCs/>
          <w:color w:val="1A1A2E"/>
          <w:sz w:val="22"/>
          <w:szCs w:val="22"/>
        </w:rPr>
        <w:t xml:space="preserve">Step 2: Make them specific</w:t>
      </w:r>
    </w:p>
    <w:p>
      <w:pPr>
        <w:spacing w:before="80" w:after="80" w:line="276"/>
      </w:pPr>
      <w:r>
        <w:rPr>
          <w:rFonts w:ascii="Arial" w:cs="Arial" w:eastAsia="Arial" w:hAnsi="Arial"/>
          <w:b w:val="false"/>
          <w:bCs w:val="false"/>
          <w:i w:val="false"/>
          <w:iCs w:val="false"/>
          <w:color w:val="555555"/>
          <w:sz w:val="22"/>
          <w:szCs w:val="22"/>
        </w:rPr>
        <w:t xml:space="preserve">Replace generic language with the client’s actual terminology, programs, tools, and context. The client should feel like you’ve done your homework.</w:t>
      </w:r>
    </w:p>
    <w:p>
      <w:pPr>
        <w:spacing w:before="2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999999" w:sz="8"/>
              <w:bottom w:val="none"/>
              <w:right w:val="none"/>
            </w:tcBorders>
            <w:shd w:fill="F5F5F5" w:val="clear"/>
            <w:tcMar>
              <w:top w:type="dxa" w:w="120"/>
              <w:left w:type="dxa" w:w="200"/>
              <w:bottom w:type="dxa" w:w="120"/>
              <w:right w:type="dxa" w:w="200"/>
            </w:tcMar>
          </w:tcPr>
          <w:p>
            <w:pPr>
              <w:spacing w:before="0" w:after="80"/>
            </w:pPr>
            <w:r>
              <w:rPr>
                <w:rFonts w:ascii="Arial" w:cs="Arial" w:eastAsia="Arial" w:hAnsi="Arial"/>
                <w:b/>
                <w:bCs/>
                <w:color w:val="1A1A2E"/>
                <w:sz w:val="22"/>
                <w:szCs w:val="22"/>
              </w:rPr>
              <w:t xml:space="preserve">Before vs. After</w:t>
            </w:r>
          </w:p>
          <w:p>
            <w:pPr>
              <w:spacing w:before="40" w:after="40"/>
            </w:pPr>
            <w:r>
              <w:rPr>
                <w:rFonts w:ascii="Arial" w:cs="Arial" w:eastAsia="Arial" w:hAnsi="Arial"/>
                <w:b/>
                <w:bCs/>
                <w:color w:val="CC3333"/>
                <w:sz w:val="21"/>
                <w:szCs w:val="21"/>
              </w:rPr>
              <w:t xml:space="preserve">Generic: </w:t>
            </w:r>
            <w:r>
              <w:rPr>
                <w:rFonts w:ascii="Arial" w:cs="Arial" w:eastAsia="Arial" w:hAnsi="Arial"/>
                <w:color w:val="555555"/>
                <w:sz w:val="21"/>
                <w:szCs w:val="21"/>
              </w:rPr>
              <w:t xml:space="preserve">“What programs might touch this tool in the next year?”</w:t>
            </w:r>
          </w:p>
          <w:p>
            <w:pPr>
              <w:spacing w:before="40" w:after="40"/>
            </w:pPr>
            <w:r>
              <w:rPr>
                <w:rFonts w:ascii="Arial" w:cs="Arial" w:eastAsia="Arial" w:hAnsi="Arial"/>
                <w:b/>
                <w:bCs/>
                <w:color w:val="2D8C5A"/>
                <w:sz w:val="21"/>
                <w:szCs w:val="21"/>
              </w:rPr>
              <w:t xml:space="preserve">Specific: </w:t>
            </w:r>
            <w:r>
              <w:rPr>
                <w:rFonts w:ascii="Arial" w:cs="Arial" w:eastAsia="Arial" w:hAnsi="Arial"/>
                <w:color w:val="555555"/>
                <w:sz w:val="21"/>
                <w:szCs w:val="21"/>
              </w:rPr>
              <w:t xml:space="preserve">“Should this platform stay separate from the Ambassadors Program (ages 13–18)? What about the Freedom Fighters Fund?”</w:t>
            </w:r>
          </w:p>
          <w:p>
            <w:pPr>
              <w:spacing w:before="40" w:after="40" w:line="276"/>
            </w:pPr>
            <w:r>
              <w:rPr>
                <w:rFonts w:ascii="Arial" w:cs="Arial" w:eastAsia="Arial" w:hAnsi="Arial"/>
                <w:color w:val="555555"/>
                <w:sz w:val="21"/>
                <w:szCs w:val="21"/>
              </w:rPr>
              <w:t xml:space="preserve"/>
            </w:r>
          </w:p>
          <w:p>
            <w:pPr>
              <w:spacing w:before="40" w:after="40"/>
            </w:pPr>
            <w:r>
              <w:rPr>
                <w:rFonts w:ascii="Arial" w:cs="Arial" w:eastAsia="Arial" w:hAnsi="Arial"/>
                <w:b/>
                <w:bCs/>
                <w:color w:val="CC3333"/>
                <w:sz w:val="21"/>
                <w:szCs w:val="21"/>
              </w:rPr>
              <w:t xml:space="preserve">Generic: </w:t>
            </w:r>
            <w:r>
              <w:rPr>
                <w:rFonts w:ascii="Arial" w:cs="Arial" w:eastAsia="Arial" w:hAnsi="Arial"/>
                <w:color w:val="555555"/>
                <w:sz w:val="21"/>
                <w:szCs w:val="21"/>
              </w:rPr>
              <w:t xml:space="preserve">“How should alignment be represented in the system?”</w:t>
            </w:r>
          </w:p>
          <w:p>
            <w:pPr>
              <w:spacing w:before="40" w:after="40"/>
            </w:pPr>
            <w:r>
              <w:rPr>
                <w:rFonts w:ascii="Arial" w:cs="Arial" w:eastAsia="Arial" w:hAnsi="Arial"/>
                <w:b/>
                <w:bCs/>
                <w:color w:val="2D8C5A"/>
                <w:sz w:val="21"/>
                <w:szCs w:val="21"/>
              </w:rPr>
              <w:t xml:space="preserve">Specific: </w:t>
            </w:r>
            <w:r>
              <w:rPr>
                <w:rFonts w:ascii="Arial" w:cs="Arial" w:eastAsia="Arial" w:hAnsi="Arial"/>
                <w:color w:val="555555"/>
                <w:sz w:val="21"/>
                <w:szCs w:val="21"/>
              </w:rPr>
              <w:t xml:space="preserve">“Your fellowship already signals categories like adultification and Black feminist theory — would those be a starting taxonomy? What else would you add?”</w:t>
            </w:r>
          </w:p>
        </w:tc>
      </w:tr>
    </w:tbl>
    <w:p>
      <w:pPr>
        <w:spacing w:before="40" w:after="40"/>
      </w:pPr>
    </w:p>
    <w:p>
      <w:pPr>
        <w:spacing w:before="200" w:after="100"/>
      </w:pPr>
      <w:r>
        <w:rPr>
          <w:rFonts w:ascii="Arial" w:cs="Arial" w:eastAsia="Arial" w:hAnsi="Arial"/>
          <w:b/>
          <w:bCs/>
          <w:color w:val="1A1A2E"/>
          <w:sz w:val="22"/>
          <w:szCs w:val="22"/>
        </w:rPr>
        <w:t xml:space="preserve">Step 3: Add research-driven follow-ups</w:t>
      </w:r>
    </w:p>
    <w:p>
      <w:pPr>
        <w:spacing w:before="80" w:after="80" w:line="276"/>
      </w:pPr>
      <w:r>
        <w:rPr>
          <w:rFonts w:ascii="Arial" w:cs="Arial" w:eastAsia="Arial" w:hAnsi="Arial"/>
          <w:b w:val="false"/>
          <w:bCs w:val="false"/>
          <w:i w:val="false"/>
          <w:iCs w:val="false"/>
          <w:color w:val="555555"/>
          <w:sz w:val="22"/>
          <w:szCs w:val="22"/>
        </w:rPr>
        <w:t xml:space="preserve">For every prompt where your research surfaced a partial answer or an ambiguity, add an arrow follow-up (→) that digs deeper. These follow-ups are where the real insight comes from.</w:t>
      </w:r>
    </w:p>
    <w:p>
      <w:pPr>
        <w:spacing w:before="2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75B6" w:sz="8"/>
              <w:bottom w:val="none"/>
              <w:right w:val="none"/>
            </w:tcBorders>
            <w:shd w:fill="E8F0F8" w:val="clear"/>
            <w:tcMar>
              <w:top w:type="dxa" w:w="120"/>
              <w:left w:type="dxa" w:w="200"/>
              <w:bottom w:type="dxa" w:w="120"/>
              <w:right w:type="dxa" w:w="200"/>
            </w:tcMar>
          </w:tcPr>
          <w:p>
            <w:pPr>
              <w:spacing w:before="0" w:after="80"/>
            </w:pPr>
            <w:r>
              <w:rPr>
                <w:rFonts w:ascii="Arial" w:cs="Arial" w:eastAsia="Arial" w:hAnsi="Arial"/>
                <w:b/>
                <w:bCs/>
                <w:color w:val="1A1A2E"/>
                <w:sz w:val="22"/>
                <w:szCs w:val="22"/>
              </w:rPr>
              <w:t xml:space="preserve">Follow-up formula</w:t>
            </w:r>
          </w:p>
          <w:p>
            <w:pPr>
              <w:spacing w:before="40" w:after="40" w:line="276"/>
            </w:pPr>
            <w:r>
              <w:rPr>
                <w:rFonts w:ascii="Arial" w:cs="Arial" w:eastAsia="Arial" w:hAnsi="Arial"/>
                <w:color w:val="555555"/>
                <w:sz w:val="21"/>
                <w:szCs w:val="21"/>
              </w:rPr>
              <w:t xml:space="preserve">If your research revealed X, then your follow-up should ask:</w:t>
            </w:r>
          </w:p>
          <w:p>
            <w:pPr>
              <w:spacing w:before="40" w:after="40" w:line="276"/>
            </w:pPr>
            <w:r>
              <w:rPr>
                <w:rFonts w:ascii="Arial" w:cs="Arial" w:eastAsia="Arial" w:hAnsi="Arial"/>
                <w:color w:val="555555"/>
                <w:sz w:val="21"/>
                <w:szCs w:val="21"/>
              </w:rPr>
              <w:t xml:space="preserve">“We noticed [X from research]. Is that still accurate? How does that affect [the specific product decision]?”</w:t>
            </w:r>
          </w:p>
          <w:p>
            <w:pPr>
              <w:spacing w:before="40" w:after="40" w:line="276"/>
            </w:pPr>
            <w:r>
              <w:rPr>
                <w:rFonts w:ascii="Arial" w:cs="Arial" w:eastAsia="Arial" w:hAnsi="Arial"/>
                <w:color w:val="555555"/>
                <w:sz w:val="21"/>
                <w:szCs w:val="21"/>
              </w:rPr>
              <w:t xml:space="preserve"/>
            </w:r>
          </w:p>
          <w:p>
            <w:pPr>
              <w:spacing w:before="40" w:after="40" w:line="276"/>
            </w:pPr>
            <w:r>
              <w:rPr>
                <w:rFonts w:ascii="Arial" w:cs="Arial" w:eastAsia="Arial" w:hAnsi="Arial"/>
                <w:color w:val="555555"/>
                <w:sz w:val="21"/>
                <w:szCs w:val="21"/>
              </w:rPr>
              <w:t xml:space="preserve">This signals competence, saves the client time, and gets you to the precise answer faster.</w:t>
            </w:r>
          </w:p>
        </w:tc>
      </w:tr>
    </w:tbl>
    <w:p>
      <w:pPr>
        <w:spacing w:before="40" w:after="40"/>
      </w:pPr>
    </w:p>
    <w:p>
      <w:pPr>
        <w:spacing w:before="200" w:after="100"/>
      </w:pPr>
      <w:r>
        <w:rPr>
          <w:rFonts w:ascii="Arial" w:cs="Arial" w:eastAsia="Arial" w:hAnsi="Arial"/>
          <w:b/>
          <w:bCs/>
          <w:color w:val="1A1A2E"/>
          <w:sz w:val="22"/>
          <w:szCs w:val="22"/>
        </w:rPr>
        <w:t xml:space="preserve">Step 4: Remove what you already know</w:t>
      </w:r>
    </w:p>
    <w:p>
      <w:pPr>
        <w:spacing w:before="80" w:after="80" w:line="276"/>
      </w:pPr>
      <w:r>
        <w:rPr>
          <w:rFonts w:ascii="Arial" w:cs="Arial" w:eastAsia="Arial" w:hAnsi="Arial"/>
          <w:b w:val="false"/>
          <w:bCs w:val="false"/>
          <w:i w:val="false"/>
          <w:iCs w:val="false"/>
          <w:color w:val="555555"/>
          <w:sz w:val="22"/>
          <w:szCs w:val="22"/>
        </w:rPr>
        <w:t xml:space="preserve">If your research conclusively answered a question, don’t ask it again. For example, if you know they use Google Calendar + Zoom from their published forms, don’t ask “what tools do you use for calendaring and video?” Instead ask: “We see you use Google Calendar and Zoom — are those load-bearing or would you switch? Anything else in the mix?”</w:t>
      </w:r>
    </w:p>
    <w:p>
      <w:pPr>
        <w:spacing w:before="40" w:after="40"/>
      </w:pPr>
    </w:p>
    <w:p>
      <w:pPr>
        <w:spacing w:before="200" w:after="100"/>
      </w:pPr>
      <w:r>
        <w:rPr>
          <w:rFonts w:ascii="Arial" w:cs="Arial" w:eastAsia="Arial" w:hAnsi="Arial"/>
          <w:b/>
          <w:bCs/>
          <w:color w:val="1A1A2E"/>
          <w:sz w:val="22"/>
          <w:szCs w:val="22"/>
        </w:rPr>
        <w:t xml:space="preserve">Step 5: Cap at 6–8 prompts per module</w:t>
      </w:r>
    </w:p>
    <w:p>
      <w:pPr>
        <w:spacing w:before="80" w:after="80" w:line="276"/>
      </w:pPr>
      <w:r>
        <w:rPr>
          <w:rFonts w:ascii="Arial" w:cs="Arial" w:eastAsia="Arial" w:hAnsi="Arial"/>
          <w:b w:val="false"/>
          <w:bCs w:val="false"/>
          <w:i w:val="false"/>
          <w:iCs w:val="false"/>
          <w:color w:val="555555"/>
          <w:sz w:val="22"/>
          <w:szCs w:val="22"/>
        </w:rPr>
        <w:t xml:space="preserve">More than 8 prompts per module makes the recording feel like an interrogation. If you have more questions, either consolidate related ones or move lower-priority items to a follow-up round.</w:t>
      </w:r>
    </w:p>
    <w:p>
      <w:pPr>
        <w:spacing w:before="200" w:after="200"/>
      </w:pPr>
    </w:p>
    <w:p>
      <w:r>
        <w:br w:type="page"/>
      </w:r>
    </w:p>
    <w:p>
      <w:pPr>
        <w:pStyle w:val="Heading1"/>
        <w:spacing w:before="360" w:after="200"/>
      </w:pPr>
      <w:r>
        <w:rPr>
          <w:rFonts w:ascii="Arial" w:cs="Arial" w:eastAsia="Arial" w:hAnsi="Arial"/>
          <w:b/>
          <w:bCs/>
          <w:color w:val="1A1A2E"/>
          <w:sz w:val="32"/>
          <w:szCs w:val="32"/>
        </w:rPr>
        <w:t xml:space="preserve">5. Deciding Who Else to Record</w:t>
      </w:r>
    </w:p>
    <w:p>
      <w:pPr>
        <w:spacing w:before="80" w:after="80" w:line="276"/>
      </w:pPr>
      <w:r>
        <w:rPr>
          <w:rFonts w:ascii="Arial" w:cs="Arial" w:eastAsia="Arial" w:hAnsi="Arial"/>
          <w:b w:val="false"/>
          <w:bCs w:val="false"/>
          <w:i w:val="false"/>
          <w:iCs w:val="false"/>
          <w:color w:val="555555"/>
          <w:sz w:val="22"/>
          <w:szCs w:val="22"/>
        </w:rPr>
        <w:t xml:space="preserve">The founder/leader recording is always the core of the pack. But additional voices can reveal requirements the leader can’t see. Use this decision framework:</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5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Voice</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When to Include</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They Reveal</w:t>
            </w:r>
          </w:p>
        </w:tc>
        <w:tc>
          <w:tcPr>
            <w:tcW w:type="dxa" w:w="2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Time Ask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b/>
                <w:bCs/>
                <w:color w:val="555555"/>
                <w:sz w:val="20"/>
                <w:szCs w:val="20"/>
              </w:rPr>
              <w:t xml:space="preserve">Program Coordinator / Ops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b w:val="false"/>
                <w:bCs w:val="false"/>
                <w:color w:val="555555"/>
                <w:sz w:val="20"/>
                <w:szCs w:val="20"/>
              </w:rPr>
              <w:t xml:space="preserve">Always, if they exist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b w:val="false"/>
                <w:bCs w:val="false"/>
                <w:color w:val="555555"/>
                <w:sz w:val="20"/>
                <w:szCs w:val="20"/>
              </w:rPr>
              <w:t xml:space="preserve">Copy-paste reality, failure modes, what gets forgotten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b w:val="false"/>
                <w:bCs w:val="false"/>
                <w:color w:val="555555"/>
                <w:sz w:val="20"/>
                <w:szCs w:val="20"/>
              </w:rPr>
              <w:t xml:space="preserve">20–30 min (2 modules)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b/>
                <w:bCs/>
                <w:color w:val="555555"/>
                <w:sz w:val="20"/>
                <w:szCs w:val="20"/>
              </w:rPr>
              <w:t xml:space="preserve">End Users / Beneficiaries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b w:val="false"/>
                <w:bCs w:val="false"/>
                <w:color w:val="555555"/>
                <w:sz w:val="20"/>
                <w:szCs w:val="20"/>
              </w:rPr>
              <w:t xml:space="preserve">When the product serves a distinct user group</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b w:val="false"/>
                <w:bCs w:val="false"/>
                <w:color w:val="555555"/>
                <w:sz w:val="20"/>
                <w:szCs w:val="20"/>
              </w:rPr>
              <w:t xml:space="preserve">Trust, communication preferences, accessibility, what almost made them quit</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b w:val="false"/>
                <w:bCs w:val="false"/>
                <w:color w:val="555555"/>
                <w:sz w:val="20"/>
                <w:szCs w:val="20"/>
              </w:rPr>
              <w:t xml:space="preserve">12–18 min each, 2–3 people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b/>
                <w:bCs/>
                <w:color w:val="555555"/>
                <w:sz w:val="20"/>
                <w:szCs w:val="20"/>
              </w:rPr>
              <w:t xml:space="preserve">External Partners / Network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b w:val="false"/>
                <w:bCs w:val="false"/>
                <w:color w:val="555555"/>
                <w:sz w:val="20"/>
                <w:szCs w:val="20"/>
              </w:rPr>
              <w:t xml:space="preserve">When the product connects two groups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b w:val="false"/>
                <w:bCs w:val="false"/>
                <w:color w:val="555555"/>
                <w:sz w:val="20"/>
                <w:szCs w:val="20"/>
              </w:rPr>
              <w:t xml:space="preserve">What makes it easy to say yes, capacity limits, engagement boundaries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b w:val="false"/>
                <w:bCs w:val="false"/>
                <w:color w:val="555555"/>
                <w:sz w:val="20"/>
                <w:szCs w:val="20"/>
              </w:rPr>
              <w:t xml:space="preserve">12–18 min each, 2–3 people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b/>
                <w:bCs/>
                <w:color w:val="555555"/>
                <w:sz w:val="20"/>
                <w:szCs w:val="20"/>
              </w:rPr>
              <w:t xml:space="preserve">Board / Funder Rep</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b w:val="false"/>
                <w:bCs w:val="false"/>
                <w:color w:val="555555"/>
                <w:sz w:val="20"/>
                <w:szCs w:val="20"/>
              </w:rPr>
              <w:t xml:space="preserve">Rarely — only if reporting requirements will shape the product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b w:val="false"/>
                <w:bCs w:val="false"/>
                <w:color w:val="555555"/>
                <w:sz w:val="20"/>
                <w:szCs w:val="20"/>
              </w:rPr>
              <w:t xml:space="preserve">Reporting expectations, compliance needs, success framing for funders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b w:val="false"/>
                <w:bCs w:val="false"/>
                <w:color w:val="555555"/>
                <w:sz w:val="20"/>
                <w:szCs w:val="20"/>
              </w:rPr>
              <w:t xml:space="preserve">10–15 min (1 module)</w:t>
            </w:r>
          </w:p>
        </w:tc>
      </w:tr>
    </w:tbl>
    <w:p>
      <w:pPr>
        <w:spacing w:before="60" w:after="60"/>
      </w:pPr>
    </w:p>
    <w:p>
      <w:pPr>
        <w:spacing w:before="80" w:after="80" w:line="276"/>
      </w:pPr>
      <w:r>
        <w:rPr>
          <w:rFonts w:ascii="Arial" w:cs="Arial" w:eastAsia="Arial" w:hAnsi="Arial"/>
          <w:b w:val="false"/>
          <w:bCs w:val="false"/>
          <w:i w:val="false"/>
          <w:iCs w:val="false"/>
          <w:color w:val="555555"/>
          <w:sz w:val="22"/>
          <w:szCs w:val="22"/>
        </w:rPr>
        <w:t xml:space="preserve">For each additional voice, create a mini recording pack: 2–3 short modules with role-specific prompts. Label them with a clear prefix (e.g., OA for Ops/Admin, RF for Research Fellow, AN for Academic Network).</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D4722A" w:sz="8"/>
              <w:bottom w:val="none"/>
              <w:right w:val="none"/>
            </w:tcBorders>
            <w:shd w:fill="F5F5F5" w:val="clear"/>
            <w:tcMar>
              <w:top w:type="dxa" w:w="120"/>
              <w:left w:type="dxa" w:w="200"/>
              <w:bottom w:type="dxa" w:w="120"/>
              <w:right w:type="dxa" w:w="200"/>
            </w:tcMar>
          </w:tcPr>
          <w:p>
            <w:pPr>
              <w:spacing w:before="0" w:after="80"/>
            </w:pPr>
            <w:r>
              <w:rPr>
                <w:rFonts w:ascii="Arial" w:cs="Arial" w:eastAsia="Arial" w:hAnsi="Arial"/>
                <w:b/>
                <w:bCs/>
                <w:color w:val="1A1A2E"/>
                <w:sz w:val="22"/>
                <w:szCs w:val="22"/>
              </w:rPr>
              <w:t xml:space="preserve">Important: Beneficiary diversity</w:t>
            </w:r>
          </w:p>
          <w:p>
            <w:pPr>
              <w:spacing w:before="40" w:after="40" w:line="276"/>
            </w:pPr>
            <w:r>
              <w:rPr>
                <w:rFonts w:ascii="Arial" w:cs="Arial" w:eastAsia="Arial" w:hAnsi="Arial"/>
                <w:color w:val="555555"/>
                <w:sz w:val="21"/>
                <w:szCs w:val="21"/>
              </w:rPr>
              <w:t xml:space="preserve">When recruiting end users to record, always ask the org to include at least one person who struggled, had a negative experience, or dropped out. The happiest users won’t surface the constraints that matter most for product design.</w:t>
            </w:r>
          </w:p>
        </w:tc>
      </w:tr>
    </w:tbl>
    <w:p>
      <w:pPr>
        <w:spacing w:before="200" w:after="200"/>
      </w:pPr>
    </w:p>
    <w:p>
      <w:r>
        <w:br w:type="page"/>
      </w:r>
    </w:p>
    <w:p>
      <w:pPr>
        <w:pStyle w:val="Heading1"/>
        <w:spacing w:before="360" w:after="200"/>
      </w:pPr>
      <w:r>
        <w:rPr>
          <w:rFonts w:ascii="Arial" w:cs="Arial" w:eastAsia="Arial" w:hAnsi="Arial"/>
          <w:b/>
          <w:bCs/>
          <w:color w:val="1A1A2E"/>
          <w:sz w:val="32"/>
          <w:szCs w:val="32"/>
        </w:rPr>
        <w:t xml:space="preserve">6. Writing the Client-Facing Document</w:t>
      </w:r>
    </w:p>
    <w:p>
      <w:pPr>
        <w:spacing w:before="80" w:after="80" w:line="276"/>
      </w:pPr>
      <w:r>
        <w:rPr>
          <w:rFonts w:ascii="Arial" w:cs="Arial" w:eastAsia="Arial" w:hAnsi="Arial"/>
          <w:b w:val="false"/>
          <w:bCs w:val="false"/>
          <w:i w:val="false"/>
          <w:iCs w:val="false"/>
          <w:color w:val="555555"/>
          <w:sz w:val="22"/>
          <w:szCs w:val="22"/>
        </w:rPr>
        <w:t xml:space="preserve">The Voice Recording Pack is the first deliverable the client sees from you. It should feel professional, simple, and respectful of their time. Here’s the document structure:</w:t>
      </w:r>
    </w:p>
    <w:p>
      <w:pPr>
        <w:spacing w:before="60" w:after="60"/>
      </w:pPr>
    </w:p>
    <w:p>
      <w:pPr>
        <w:pStyle w:val="Heading2"/>
        <w:spacing w:before="280" w:after="160"/>
      </w:pPr>
      <w:r>
        <w:rPr>
          <w:rFonts w:ascii="Arial" w:cs="Arial" w:eastAsia="Arial" w:hAnsi="Arial"/>
          <w:b/>
          <w:bCs/>
          <w:color w:val="2E75B6"/>
          <w:sz w:val="26"/>
          <w:szCs w:val="26"/>
        </w:rPr>
        <w:t xml:space="preserve">6A. Required Sections</w:t>
      </w:r>
    </w:p>
    <w:p>
      <w:pPr>
        <w:spacing w:before="20" w:after="20"/>
      </w:pPr>
    </w:p>
    <w:p>
      <w:pPr>
        <w:pStyle w:val="ListParagraph"/>
        <w:numPr>
          <w:ilvl w:val="0"/>
          <w:numId w:val="3"/>
        </w:numPr>
        <w:spacing w:before="60" w:after="60" w:line="276"/>
      </w:pPr>
      <w:r>
        <w:rPr>
          <w:rFonts w:ascii="Arial" w:cs="Arial" w:eastAsia="Arial" w:hAnsi="Arial"/>
          <w:b/>
          <w:bCs/>
          <w:color w:val="1A1A2E"/>
          <w:sz w:val="22"/>
          <w:szCs w:val="22"/>
        </w:rPr>
        <w:t xml:space="preserve">Title Page: </w:t>
      </w:r>
      <w:r>
        <w:rPr>
          <w:rFonts w:ascii="Arial" w:cs="Arial" w:eastAsia="Arial" w:hAnsi="Arial"/>
          <w:color w:val="555555"/>
          <w:sz w:val="22"/>
          <w:szCs w:val="22"/>
        </w:rPr>
        <w:t xml:space="preserve">TRUE STEELE LABS branding, client name, project subtitle, date, who it’s prepared for and by.</w:t>
      </w:r>
    </w:p>
    <w:p>
      <w:pPr>
        <w:pStyle w:val="ListParagraph"/>
        <w:numPr>
          <w:ilvl w:val="0"/>
          <w:numId w:val="3"/>
        </w:numPr>
        <w:spacing w:before="60" w:after="60" w:line="276"/>
      </w:pPr>
      <w:r>
        <w:rPr>
          <w:rFonts w:ascii="Arial" w:cs="Arial" w:eastAsia="Arial" w:hAnsi="Arial"/>
          <w:b/>
          <w:bCs/>
          <w:color w:val="1A1A2E"/>
          <w:sz w:val="22"/>
          <w:szCs w:val="22"/>
        </w:rPr>
        <w:t xml:space="preserve">What This Is: </w:t>
      </w:r>
      <w:r>
        <w:rPr>
          <w:rFonts w:ascii="Arial" w:cs="Arial" w:eastAsia="Arial" w:hAnsi="Arial"/>
          <w:color w:val="555555"/>
          <w:sz w:val="22"/>
          <w:szCs w:val="22"/>
        </w:rPr>
        <w:t xml:space="preserve">2–3 paragraphs explaining the purpose (voice recordings → transcripts → PRD → build). State the total time ask upfront.</w:t>
      </w:r>
    </w:p>
    <w:p>
      <w:pPr>
        <w:pStyle w:val="ListParagraph"/>
        <w:numPr>
          <w:ilvl w:val="0"/>
          <w:numId w:val="3"/>
        </w:numPr>
        <w:spacing w:before="60" w:after="60" w:line="276"/>
      </w:pPr>
      <w:r>
        <w:rPr>
          <w:rFonts w:ascii="Arial" w:cs="Arial" w:eastAsia="Arial" w:hAnsi="Arial"/>
          <w:b/>
          <w:bCs/>
          <w:color w:val="1A1A2E"/>
          <w:sz w:val="22"/>
          <w:szCs w:val="22"/>
        </w:rPr>
        <w:t xml:space="preserve">Quick Version Callout: </w:t>
      </w:r>
      <w:r>
        <w:rPr>
          <w:rFonts w:ascii="Arial" w:cs="Arial" w:eastAsia="Arial" w:hAnsi="Arial"/>
          <w:color w:val="555555"/>
          <w:sz w:val="22"/>
          <w:szCs w:val="22"/>
        </w:rPr>
        <w:t xml:space="preserve">A boxed summary: number of recordings, time per module, recording instructions, and the 30-minute shortcut.</w:t>
      </w:r>
    </w:p>
    <w:p>
      <w:pPr>
        <w:pStyle w:val="ListParagraph"/>
        <w:numPr>
          <w:ilvl w:val="0"/>
          <w:numId w:val="3"/>
        </w:numPr>
        <w:spacing w:before="60" w:after="60" w:line="276"/>
      </w:pPr>
      <w:r>
        <w:rPr>
          <w:rFonts w:ascii="Arial" w:cs="Arial" w:eastAsia="Arial" w:hAnsi="Arial"/>
          <w:b/>
          <w:bCs/>
          <w:color w:val="1A1A2E"/>
          <w:sz w:val="22"/>
          <w:szCs w:val="22"/>
        </w:rPr>
        <w:t xml:space="preserve">Recording Instructions: </w:t>
      </w:r>
      <w:r>
        <w:rPr>
          <w:rFonts w:ascii="Arial" w:cs="Arial" w:eastAsia="Arial" w:hAnsi="Arial"/>
          <w:color w:val="555555"/>
          <w:sz w:val="22"/>
          <w:szCs w:val="22"/>
        </w:rPr>
        <w:t xml:space="preserve">How to record (phone memo is fine), what to say at the start, consent statement.</w:t>
      </w:r>
    </w:p>
    <w:p>
      <w:pPr>
        <w:pStyle w:val="ListParagraph"/>
        <w:numPr>
          <w:ilvl w:val="0"/>
          <w:numId w:val="3"/>
        </w:numPr>
        <w:spacing w:before="60" w:after="60" w:line="276"/>
      </w:pPr>
      <w:r>
        <w:rPr>
          <w:rFonts w:ascii="Arial" w:cs="Arial" w:eastAsia="Arial" w:hAnsi="Arial"/>
          <w:b/>
          <w:bCs/>
          <w:color w:val="1A1A2E"/>
          <w:sz w:val="22"/>
          <w:szCs w:val="22"/>
        </w:rPr>
        <w:t xml:space="preserve">The Modules: </w:t>
      </w:r>
      <w:r>
        <w:rPr>
          <w:rFonts w:ascii="Arial" w:cs="Arial" w:eastAsia="Arial" w:hAnsi="Arial"/>
          <w:color w:val="555555"/>
          <w:sz w:val="22"/>
          <w:szCs w:val="22"/>
        </w:rPr>
        <w:t xml:space="preserve">Each module gets a header box (code, title, duration, goal), numbered prompts with arrow follow-ups, and a PRD outputs line.</w:t>
      </w:r>
    </w:p>
    <w:p>
      <w:pPr>
        <w:pStyle w:val="ListParagraph"/>
        <w:numPr>
          <w:ilvl w:val="0"/>
          <w:numId w:val="3"/>
        </w:numPr>
        <w:spacing w:before="60" w:after="60" w:line="276"/>
      </w:pPr>
      <w:r>
        <w:rPr>
          <w:rFonts w:ascii="Arial" w:cs="Arial" w:eastAsia="Arial" w:hAnsi="Arial"/>
          <w:b/>
          <w:bCs/>
          <w:color w:val="1A1A2E"/>
          <w:sz w:val="22"/>
          <w:szCs w:val="22"/>
        </w:rPr>
        <w:t xml:space="preserve">30-Minute Path: </w:t>
      </w:r>
      <w:r>
        <w:rPr>
          <w:rFonts w:ascii="Arial" w:cs="Arial" w:eastAsia="Arial" w:hAnsi="Arial"/>
          <w:color w:val="555555"/>
          <w:sz w:val="22"/>
          <w:szCs w:val="22"/>
        </w:rPr>
        <w:t xml:space="preserve">Clearly states which modules to prioritize if time is short.</w:t>
      </w:r>
    </w:p>
    <w:p>
      <w:pPr>
        <w:pStyle w:val="ListParagraph"/>
        <w:numPr>
          <w:ilvl w:val="0"/>
          <w:numId w:val="3"/>
        </w:numPr>
        <w:spacing w:before="60" w:after="60" w:line="276"/>
      </w:pPr>
      <w:r>
        <w:rPr>
          <w:rFonts w:ascii="Arial" w:cs="Arial" w:eastAsia="Arial" w:hAnsi="Arial"/>
          <w:b/>
          <w:bCs/>
          <w:color w:val="1A1A2E"/>
          <w:sz w:val="22"/>
          <w:szCs w:val="22"/>
        </w:rPr>
        <w:t xml:space="preserve">Optional Additional Voices: </w:t>
      </w:r>
      <w:r>
        <w:rPr>
          <w:rFonts w:ascii="Arial" w:cs="Arial" w:eastAsia="Arial" w:hAnsi="Arial"/>
          <w:color w:val="555555"/>
          <w:sz w:val="22"/>
          <w:szCs w:val="22"/>
        </w:rPr>
        <w:t xml:space="preserve">Brief description of who else could record and why, framed as bonus material.</w:t>
      </w:r>
    </w:p>
    <w:p>
      <w:pPr>
        <w:pStyle w:val="ListParagraph"/>
        <w:numPr>
          <w:ilvl w:val="0"/>
          <w:numId w:val="3"/>
        </w:numPr>
        <w:spacing w:before="60" w:after="60" w:line="276"/>
      </w:pPr>
      <w:r>
        <w:rPr>
          <w:rFonts w:ascii="Arial" w:cs="Arial" w:eastAsia="Arial" w:hAnsi="Arial"/>
          <w:b/>
          <w:bCs/>
          <w:color w:val="1A1A2E"/>
          <w:sz w:val="22"/>
          <w:szCs w:val="22"/>
        </w:rPr>
        <w:t xml:space="preserve">Artifacts to Share: </w:t>
      </w:r>
      <w:r>
        <w:rPr>
          <w:rFonts w:ascii="Arial" w:cs="Arial" w:eastAsia="Arial" w:hAnsi="Arial"/>
          <w:color w:val="555555"/>
          <w:sz w:val="22"/>
          <w:szCs w:val="22"/>
        </w:rPr>
        <w:t xml:space="preserve">Bulleted list of easy-to-grab documents, with the screen recording highlighted as highest value.</w:t>
      </w:r>
    </w:p>
    <w:p>
      <w:pPr>
        <w:pStyle w:val="ListParagraph"/>
        <w:numPr>
          <w:ilvl w:val="0"/>
          <w:numId w:val="3"/>
        </w:numPr>
        <w:spacing w:before="60" w:after="60" w:line="276"/>
      </w:pPr>
      <w:r>
        <w:rPr>
          <w:rFonts w:ascii="Arial" w:cs="Arial" w:eastAsia="Arial" w:hAnsi="Arial"/>
          <w:b/>
          <w:bCs/>
          <w:color w:val="1A1A2E"/>
          <w:sz w:val="22"/>
          <w:szCs w:val="22"/>
        </w:rPr>
        <w:t xml:space="preserve">What Happens Next: </w:t>
      </w:r>
      <w:r>
        <w:rPr>
          <w:rFonts w:ascii="Arial" w:cs="Arial" w:eastAsia="Arial" w:hAnsi="Arial"/>
          <w:color w:val="555555"/>
          <w:sz w:val="22"/>
          <w:szCs w:val="22"/>
        </w:rPr>
        <w:t xml:space="preserve">Simple numbered sequence from recording → transcription → PRD draft → review → build.</w:t>
      </w:r>
    </w:p>
    <w:p>
      <w:pPr>
        <w:spacing w:before="60" w:after="60"/>
      </w:pPr>
    </w:p>
    <w:p>
      <w:pPr>
        <w:pStyle w:val="Heading2"/>
        <w:spacing w:before="280" w:after="160"/>
      </w:pPr>
      <w:r>
        <w:rPr>
          <w:rFonts w:ascii="Arial" w:cs="Arial" w:eastAsia="Arial" w:hAnsi="Arial"/>
          <w:b/>
          <w:bCs/>
          <w:color w:val="2E75B6"/>
          <w:sz w:val="26"/>
          <w:szCs w:val="26"/>
        </w:rPr>
        <w:t xml:space="preserve">6B. Tone &amp; Voice Principles</w:t>
      </w:r>
    </w:p>
    <w:p>
      <w:pPr>
        <w:spacing w:before="20" w:after="20"/>
      </w:pPr>
    </w:p>
    <w:p>
      <w:pPr>
        <w:pStyle w:val="ListParagraph"/>
        <w:numPr>
          <w:ilvl w:val="0"/>
          <w:numId w:val="4"/>
        </w:numPr>
        <w:spacing w:before="50" w:after="50" w:line="276"/>
      </w:pPr>
      <w:r>
        <w:rPr>
          <w:rFonts w:ascii="Arial" w:cs="Arial" w:eastAsia="Arial" w:hAnsi="Arial"/>
          <w:b/>
          <w:bCs/>
          <w:color w:val="1A1A2E"/>
          <w:sz w:val="22"/>
          <w:szCs w:val="22"/>
        </w:rPr>
        <w:t xml:space="preserve">Respect their time: </w:t>
      </w:r>
      <w:r>
        <w:rPr>
          <w:rFonts w:ascii="Arial" w:cs="Arial" w:eastAsia="Arial" w:hAnsi="Arial"/>
          <w:color w:val="555555"/>
          <w:sz w:val="22"/>
          <w:szCs w:val="22"/>
        </w:rPr>
        <w:t xml:space="preserve">never ask for more than 70 minutes total. Always offer the 30-minute path.</w:t>
      </w:r>
    </w:p>
    <w:p>
      <w:pPr>
        <w:pStyle w:val="ListParagraph"/>
        <w:numPr>
          <w:ilvl w:val="0"/>
          <w:numId w:val="4"/>
        </w:numPr>
        <w:spacing w:before="50" w:after="50" w:line="276"/>
      </w:pPr>
      <w:r>
        <w:rPr>
          <w:rFonts w:ascii="Arial" w:cs="Arial" w:eastAsia="Arial" w:hAnsi="Arial"/>
          <w:b/>
          <w:bCs/>
          <w:color w:val="1A1A2E"/>
          <w:sz w:val="22"/>
          <w:szCs w:val="22"/>
        </w:rPr>
        <w:t xml:space="preserve">Signal competence: </w:t>
      </w:r>
      <w:r>
        <w:rPr>
          <w:rFonts w:ascii="Arial" w:cs="Arial" w:eastAsia="Arial" w:hAnsi="Arial"/>
          <w:color w:val="555555"/>
          <w:sz w:val="22"/>
          <w:szCs w:val="22"/>
        </w:rPr>
        <w:t xml:space="preserve">the prompts should show you’ve done your homework. Use their program names, their tools, their language.</w:t>
      </w:r>
    </w:p>
    <w:p>
      <w:pPr>
        <w:pStyle w:val="ListParagraph"/>
        <w:numPr>
          <w:ilvl w:val="0"/>
          <w:numId w:val="4"/>
        </w:numPr>
        <w:spacing w:before="50" w:after="50" w:line="276"/>
      </w:pPr>
      <w:r>
        <w:rPr>
          <w:rFonts w:ascii="Arial" w:cs="Arial" w:eastAsia="Arial" w:hAnsi="Arial"/>
          <w:b/>
          <w:bCs/>
          <w:color w:val="1A1A2E"/>
          <w:sz w:val="22"/>
          <w:szCs w:val="22"/>
        </w:rPr>
        <w:t xml:space="preserve">Lower the bar: </w:t>
      </w:r>
      <w:r>
        <w:rPr>
          <w:rFonts w:ascii="Arial" w:cs="Arial" w:eastAsia="Arial" w:hAnsi="Arial"/>
          <w:color w:val="555555"/>
          <w:sz w:val="22"/>
          <w:szCs w:val="22"/>
        </w:rPr>
        <w:t xml:space="preserve">“phone voice memo is perfect” should appear at least once. The easier this feels, the faster they’ll do it.</w:t>
      </w:r>
    </w:p>
    <w:p>
      <w:pPr>
        <w:pStyle w:val="ListParagraph"/>
        <w:numPr>
          <w:ilvl w:val="0"/>
          <w:numId w:val="4"/>
        </w:numPr>
        <w:spacing w:before="50" w:after="50" w:line="276"/>
      </w:pPr>
      <w:r>
        <w:rPr>
          <w:rFonts w:ascii="Arial" w:cs="Arial" w:eastAsia="Arial" w:hAnsi="Arial"/>
          <w:b/>
          <w:bCs/>
          <w:color w:val="1A1A2E"/>
          <w:sz w:val="22"/>
          <w:szCs w:val="22"/>
        </w:rPr>
        <w:t xml:space="preserve">No jargon: </w:t>
      </w:r>
      <w:r>
        <w:rPr>
          <w:rFonts w:ascii="Arial" w:cs="Arial" w:eastAsia="Arial" w:hAnsi="Arial"/>
          <w:color w:val="555555"/>
          <w:sz w:val="22"/>
          <w:szCs w:val="22"/>
        </w:rPr>
        <w:t xml:space="preserve">avoid terms like “RBAC,” “data model,” “service blueprint” in the client-facing doc. Those belong in the PRD, not the pack.</w:t>
      </w:r>
    </w:p>
    <w:p>
      <w:pPr>
        <w:pStyle w:val="ListParagraph"/>
        <w:numPr>
          <w:ilvl w:val="0"/>
          <w:numId w:val="4"/>
        </w:numPr>
        <w:spacing w:before="50" w:after="50" w:line="276"/>
      </w:pPr>
      <w:r>
        <w:rPr>
          <w:rFonts w:ascii="Arial" w:cs="Arial" w:eastAsia="Arial" w:hAnsi="Arial"/>
          <w:b/>
          <w:bCs/>
          <w:color w:val="1A1A2E"/>
          <w:sz w:val="22"/>
          <w:szCs w:val="22"/>
        </w:rPr>
        <w:t xml:space="preserve">Stories over abstractions: </w:t>
      </w:r>
      <w:r>
        <w:rPr>
          <w:rFonts w:ascii="Arial" w:cs="Arial" w:eastAsia="Arial" w:hAnsi="Arial"/>
          <w:color w:val="555555"/>
          <w:sz w:val="22"/>
          <w:szCs w:val="22"/>
        </w:rPr>
        <w:t xml:space="preserve">prompts should invite the client to tell a story (“tell me about the last time...”) rather than describe a system.</w:t>
      </w:r>
    </w:p>
    <w:p>
      <w:pPr>
        <w:pStyle w:val="ListParagraph"/>
        <w:numPr>
          <w:ilvl w:val="0"/>
          <w:numId w:val="4"/>
        </w:numPr>
        <w:spacing w:before="50" w:after="50" w:line="276"/>
      </w:pPr>
      <w:r>
        <w:rPr>
          <w:rFonts w:ascii="Arial" w:cs="Arial" w:eastAsia="Arial" w:hAnsi="Arial"/>
          <w:b/>
          <w:bCs/>
          <w:color w:val="1A1A2E"/>
          <w:sz w:val="22"/>
          <w:szCs w:val="22"/>
        </w:rPr>
        <w:t xml:space="preserve">Explicit about privacy: </w:t>
      </w:r>
      <w:r>
        <w:rPr>
          <w:rFonts w:ascii="Arial" w:cs="Arial" w:eastAsia="Arial" w:hAnsi="Arial"/>
          <w:color w:val="555555"/>
          <w:sz w:val="22"/>
          <w:szCs w:val="22"/>
        </w:rPr>
        <w:t xml:space="preserve">consent statement, anonymization guidance, and a deletion contact should appear in every pack.</w:t>
      </w:r>
    </w:p>
    <w:p>
      <w:pPr>
        <w:spacing w:before="60" w:after="60"/>
      </w:pPr>
    </w:p>
    <w:p>
      <w:pPr>
        <w:pStyle w:val="Heading2"/>
        <w:spacing w:before="280" w:after="160"/>
      </w:pPr>
      <w:r>
        <w:rPr>
          <w:rFonts w:ascii="Arial" w:cs="Arial" w:eastAsia="Arial" w:hAnsi="Arial"/>
          <w:b/>
          <w:bCs/>
          <w:color w:val="2E75B6"/>
          <w:sz w:val="26"/>
          <w:szCs w:val="26"/>
        </w:rPr>
        <w:t xml:space="preserve">6C. Formatting Standards</w:t>
      </w:r>
    </w:p>
    <w:p>
      <w:pPr>
        <w:spacing w:before="20" w:after="20"/>
      </w:pPr>
    </w:p>
    <w:p>
      <w:pPr>
        <w:pStyle w:val="ListParagraph"/>
        <w:numPr>
          <w:ilvl w:val="0"/>
          <w:numId w:val="5"/>
        </w:numPr>
        <w:spacing w:before="50" w:after="50" w:line="276"/>
      </w:pPr>
      <w:r>
        <w:rPr>
          <w:rFonts w:ascii="Arial" w:cs="Arial" w:eastAsia="Arial" w:hAnsi="Arial"/>
          <w:color w:val="555555"/>
          <w:sz w:val="22"/>
          <w:szCs w:val="22"/>
        </w:rPr>
        <w:t xml:space="preserve">Use True Steele Labs document template (blue accent, Arial, US Letter size).</w:t>
      </w:r>
    </w:p>
    <w:p>
      <w:pPr>
        <w:pStyle w:val="ListParagraph"/>
        <w:numPr>
          <w:ilvl w:val="0"/>
          <w:numId w:val="5"/>
        </w:numPr>
        <w:spacing w:before="50" w:after="50" w:line="276"/>
      </w:pPr>
      <w:r>
        <w:rPr>
          <w:rFonts w:ascii="Arial" w:cs="Arial" w:eastAsia="Arial" w:hAnsi="Arial"/>
          <w:color w:val="555555"/>
          <w:sz w:val="22"/>
          <w:szCs w:val="22"/>
        </w:rPr>
        <w:t xml:space="preserve">Module headers use bordered boxes with module code, title, duration, and goal line.</w:t>
      </w:r>
    </w:p>
    <w:p>
      <w:pPr>
        <w:pStyle w:val="ListParagraph"/>
        <w:numPr>
          <w:ilvl w:val="0"/>
          <w:numId w:val="5"/>
        </w:numPr>
        <w:spacing w:before="50" w:after="50" w:line="276"/>
      </w:pPr>
      <w:r>
        <w:rPr>
          <w:rFonts w:ascii="Arial" w:cs="Arial" w:eastAsia="Arial" w:hAnsi="Arial"/>
          <w:color w:val="555555"/>
          <w:sz w:val="22"/>
          <w:szCs w:val="22"/>
        </w:rPr>
        <w:t xml:space="preserve">Prompts use numbered items with bold blue numbers. Follow-ups use indented arrows (→) in italics.</w:t>
      </w:r>
    </w:p>
    <w:p>
      <w:pPr>
        <w:pStyle w:val="ListParagraph"/>
        <w:numPr>
          <w:ilvl w:val="0"/>
          <w:numId w:val="5"/>
        </w:numPr>
        <w:spacing w:before="50" w:after="50" w:line="276"/>
      </w:pPr>
      <w:r>
        <w:rPr>
          <w:rFonts w:ascii="Arial" w:cs="Arial" w:eastAsia="Arial" w:hAnsi="Arial"/>
          <w:color w:val="555555"/>
          <w:sz w:val="22"/>
          <w:szCs w:val="22"/>
        </w:rPr>
        <w:t xml:space="preserve">PRD outputs appear at the bottom of each module in a smaller accent-colored line.</w:t>
      </w:r>
    </w:p>
    <w:p>
      <w:pPr>
        <w:pStyle w:val="ListParagraph"/>
        <w:numPr>
          <w:ilvl w:val="0"/>
          <w:numId w:val="5"/>
        </w:numPr>
        <w:spacing w:before="50" w:after="50" w:line="276"/>
      </w:pPr>
      <w:r>
        <w:rPr>
          <w:rFonts w:ascii="Arial" w:cs="Arial" w:eastAsia="Arial" w:hAnsi="Arial"/>
          <w:color w:val="555555"/>
          <w:sz w:val="22"/>
          <w:szCs w:val="22"/>
        </w:rPr>
        <w:t xml:space="preserve">Callout boxes use left-border styling with light fill — no full-border boxes.</w:t>
      </w:r>
    </w:p>
    <w:p>
      <w:pPr>
        <w:pStyle w:val="ListParagraph"/>
        <w:numPr>
          <w:ilvl w:val="0"/>
          <w:numId w:val="5"/>
        </w:numPr>
        <w:spacing w:before="50" w:after="50" w:line="276"/>
      </w:pPr>
      <w:r>
        <w:rPr>
          <w:rFonts w:ascii="Arial" w:cs="Arial" w:eastAsia="Arial" w:hAnsi="Arial"/>
          <w:color w:val="555555"/>
          <w:sz w:val="22"/>
          <w:szCs w:val="22"/>
        </w:rPr>
        <w:t xml:space="preserve">Keep the total page count under 10 pages. If it’s longer, your prompts need consolidation.</w:t>
      </w:r>
    </w:p>
    <w:p>
      <w:pPr>
        <w:spacing w:before="200" w:after="200"/>
      </w:pPr>
    </w:p>
    <w:p>
      <w:r>
        <w:br w:type="page"/>
      </w:r>
    </w:p>
    <w:p>
      <w:pPr>
        <w:pStyle w:val="Heading1"/>
        <w:spacing w:before="360" w:after="200"/>
      </w:pPr>
      <w:r>
        <w:rPr>
          <w:rFonts w:ascii="Arial" w:cs="Arial" w:eastAsia="Arial" w:hAnsi="Arial"/>
          <w:b/>
          <w:bCs/>
          <w:color w:val="1A1A2E"/>
          <w:sz w:val="32"/>
          <w:szCs w:val="32"/>
        </w:rPr>
        <w:t xml:space="preserve">7. Drafting the Delivery Email</w:t>
      </w:r>
    </w:p>
    <w:p>
      <w:pPr>
        <w:spacing w:before="80" w:after="80" w:line="276"/>
      </w:pPr>
      <w:r>
        <w:rPr>
          <w:rFonts w:ascii="Arial" w:cs="Arial" w:eastAsia="Arial" w:hAnsi="Arial"/>
          <w:b w:val="false"/>
          <w:bCs w:val="false"/>
          <w:i w:val="false"/>
          <w:iCs w:val="false"/>
          <w:color w:val="555555"/>
          <w:sz w:val="22"/>
          <w:szCs w:val="22"/>
        </w:rPr>
        <w:t xml:space="preserve">The email that delivers the pack is as important as the pack itself. It needs to accomplish five things in under 200 words:</w:t>
      </w:r>
    </w:p>
    <w:p>
      <w:pPr>
        <w:spacing w:before="40" w:after="40"/>
      </w:pPr>
    </w:p>
    <w:p>
      <w:pPr>
        <w:pStyle w:val="ListParagraph"/>
        <w:numPr>
          <w:ilvl w:val="0"/>
          <w:numId w:val="6"/>
        </w:numPr>
        <w:spacing w:before="60" w:after="60" w:line="276"/>
      </w:pPr>
      <w:r>
        <w:rPr>
          <w:rFonts w:ascii="Arial" w:cs="Arial" w:eastAsia="Arial" w:hAnsi="Arial"/>
          <w:b/>
          <w:bCs/>
          <w:color w:val="1A1A2E"/>
          <w:sz w:val="22"/>
          <w:szCs w:val="22"/>
        </w:rPr>
        <w:t xml:space="preserve">Match their energy: </w:t>
      </w:r>
      <w:r>
        <w:rPr>
          <w:rFonts w:ascii="Arial" w:cs="Arial" w:eastAsia="Arial" w:hAnsi="Arial"/>
          <w:color w:val="555555"/>
          <w:sz w:val="22"/>
          <w:szCs w:val="22"/>
        </w:rPr>
        <w:t xml:space="preserve">mirror the tone of their last message. If they’re excited, be excited. If they’re all-business, be crisp.</w:t>
      </w:r>
    </w:p>
    <w:p>
      <w:pPr>
        <w:pStyle w:val="ListParagraph"/>
        <w:numPr>
          <w:ilvl w:val="0"/>
          <w:numId w:val="6"/>
        </w:numPr>
        <w:spacing w:before="60" w:after="60" w:line="276"/>
      </w:pPr>
      <w:r>
        <w:rPr>
          <w:rFonts w:ascii="Arial" w:cs="Arial" w:eastAsia="Arial" w:hAnsi="Arial"/>
          <w:b/>
          <w:bCs/>
          <w:color w:val="1A1A2E"/>
          <w:sz w:val="22"/>
          <w:szCs w:val="22"/>
        </w:rPr>
        <w:t xml:space="preserve">Confirm the timeline: </w:t>
      </w:r>
      <w:r>
        <w:rPr>
          <w:rFonts w:ascii="Arial" w:cs="Arial" w:eastAsia="Arial" w:hAnsi="Arial"/>
          <w:color w:val="555555"/>
          <w:sz w:val="22"/>
          <w:szCs w:val="22"/>
        </w:rPr>
        <w:t xml:space="preserve">reference whatever deadline they’ve stated (“April is doable”).</w:t>
      </w:r>
    </w:p>
    <w:p>
      <w:pPr>
        <w:pStyle w:val="ListParagraph"/>
        <w:numPr>
          <w:ilvl w:val="0"/>
          <w:numId w:val="6"/>
        </w:numPr>
        <w:spacing w:before="60" w:after="60" w:line="276"/>
      </w:pPr>
      <w:r>
        <w:rPr>
          <w:rFonts w:ascii="Arial" w:cs="Arial" w:eastAsia="Arial" w:hAnsi="Arial"/>
          <w:b/>
          <w:bCs/>
          <w:color w:val="1A1A2E"/>
          <w:sz w:val="22"/>
          <w:szCs w:val="22"/>
        </w:rPr>
        <w:t xml:space="preserve">Explain the ask simply: </w:t>
      </w:r>
      <w:r>
        <w:rPr>
          <w:rFonts w:ascii="Arial" w:cs="Arial" w:eastAsia="Arial" w:hAnsi="Arial"/>
          <w:color w:val="555555"/>
          <w:sz w:val="22"/>
          <w:szCs w:val="22"/>
        </w:rPr>
        <w:t xml:space="preserve">“5 short voice recordings, 8–15 min each, on your phone.”</w:t>
      </w:r>
    </w:p>
    <w:p>
      <w:pPr>
        <w:pStyle w:val="ListParagraph"/>
        <w:numPr>
          <w:ilvl w:val="0"/>
          <w:numId w:val="6"/>
        </w:numPr>
        <w:spacing w:before="60" w:after="60" w:line="276"/>
      </w:pPr>
      <w:r>
        <w:rPr>
          <w:rFonts w:ascii="Arial" w:cs="Arial" w:eastAsia="Arial" w:hAnsi="Arial"/>
          <w:b/>
          <w:bCs/>
          <w:color w:val="1A1A2E"/>
          <w:sz w:val="22"/>
          <w:szCs w:val="22"/>
        </w:rPr>
        <w:t xml:space="preserve">Offer the shortcut: </w:t>
      </w:r>
      <w:r>
        <w:rPr>
          <w:rFonts w:ascii="Arial" w:cs="Arial" w:eastAsia="Arial" w:hAnsi="Arial"/>
          <w:color w:val="555555"/>
          <w:sz w:val="22"/>
          <w:szCs w:val="22"/>
        </w:rPr>
        <w:t xml:space="preserve">“If you’re short on time, Modules 1, 2, and 5 get us there.”</w:t>
      </w:r>
    </w:p>
    <w:p>
      <w:pPr>
        <w:pStyle w:val="ListParagraph"/>
        <w:numPr>
          <w:ilvl w:val="0"/>
          <w:numId w:val="6"/>
        </w:numPr>
        <w:spacing w:before="60" w:after="60" w:line="276"/>
      </w:pPr>
      <w:r>
        <w:rPr>
          <w:rFonts w:ascii="Arial" w:cs="Arial" w:eastAsia="Arial" w:hAnsi="Arial"/>
          <w:b/>
          <w:bCs/>
          <w:color w:val="1A1A2E"/>
          <w:sz w:val="22"/>
          <w:szCs w:val="22"/>
        </w:rPr>
        <w:t xml:space="preserve">Ask for artifacts: </w:t>
      </w:r>
      <w:r>
        <w:rPr>
          <w:rFonts w:ascii="Arial" w:cs="Arial" w:eastAsia="Arial" w:hAnsi="Arial"/>
          <w:color w:val="555555"/>
          <w:sz w:val="22"/>
          <w:szCs w:val="22"/>
        </w:rPr>
        <w:t xml:space="preserve">one sentence listing 3–4 specific items that would help.</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75B6" w:sz="8"/>
              <w:bottom w:val="none"/>
              <w:right w:val="none"/>
            </w:tcBorders>
            <w:shd w:fill="E8F0F8" w:val="clear"/>
            <w:tcMar>
              <w:top w:type="dxa" w:w="120"/>
              <w:left w:type="dxa" w:w="200"/>
              <w:bottom w:type="dxa" w:w="120"/>
              <w:right w:type="dxa" w:w="200"/>
            </w:tcMar>
          </w:tcPr>
          <w:p>
            <w:pPr>
              <w:spacing w:before="0" w:after="80"/>
            </w:pPr>
            <w:r>
              <w:rPr>
                <w:rFonts w:ascii="Arial" w:cs="Arial" w:eastAsia="Arial" w:hAnsi="Arial"/>
                <w:b/>
                <w:bCs/>
                <w:color w:val="1A1A2E"/>
                <w:sz w:val="22"/>
                <w:szCs w:val="22"/>
              </w:rPr>
              <w:t xml:space="preserve">Email Template (customize per client)</w:t>
            </w:r>
          </w:p>
          <w:p>
            <w:pPr>
              <w:spacing w:before="40" w:after="40" w:line="276"/>
            </w:pPr>
            <w:r>
              <w:rPr>
                <w:rFonts w:ascii="Arial" w:cs="Arial" w:eastAsia="Arial" w:hAnsi="Arial"/>
                <w:color w:val="555555"/>
                <w:sz w:val="21"/>
                <w:szCs w:val="21"/>
              </w:rPr>
              <w:t xml:space="preserve">Hi [Name],</w:t>
            </w:r>
          </w:p>
          <w:p>
            <w:pPr>
              <w:spacing w:before="40" w:after="40" w:line="276"/>
            </w:pPr>
            <w:r>
              <w:rPr>
                <w:rFonts w:ascii="Arial" w:cs="Arial" w:eastAsia="Arial" w:hAnsi="Arial"/>
                <w:color w:val="555555"/>
                <w:sz w:val="21"/>
                <w:szCs w:val="21"/>
              </w:rPr>
              <w:t xml:space="preserve"/>
            </w:r>
          </w:p>
          <w:p>
            <w:pPr>
              <w:spacing w:before="40" w:after="40" w:line="276"/>
            </w:pPr>
            <w:r>
              <w:rPr>
                <w:rFonts w:ascii="Arial" w:cs="Arial" w:eastAsia="Arial" w:hAnsi="Arial"/>
                <w:color w:val="555555"/>
                <w:sz w:val="21"/>
                <w:szCs w:val="21"/>
              </w:rPr>
              <w:t xml:space="preserve">[1–2 sentences matching their energy and referencing your last interaction.]</w:t>
            </w:r>
          </w:p>
          <w:p>
            <w:pPr>
              <w:spacing w:before="40" w:after="40" w:line="276"/>
            </w:pPr>
            <w:r>
              <w:rPr>
                <w:rFonts w:ascii="Arial" w:cs="Arial" w:eastAsia="Arial" w:hAnsi="Arial"/>
                <w:color w:val="555555"/>
                <w:sz w:val="21"/>
                <w:szCs w:val="21"/>
              </w:rPr>
              <w:t xml:space="preserve"/>
            </w:r>
          </w:p>
          <w:p>
            <w:pPr>
              <w:spacing w:before="40" w:after="40" w:line="276"/>
            </w:pPr>
            <w:r>
              <w:rPr>
                <w:rFonts w:ascii="Arial" w:cs="Arial" w:eastAsia="Arial" w:hAnsi="Arial"/>
                <w:color w:val="555555"/>
                <w:sz w:val="21"/>
                <w:szCs w:val="21"/>
              </w:rPr>
              <w:t xml:space="preserve">Here’s how we get this up and running by [their timeline]:</w:t>
            </w:r>
          </w:p>
          <w:p>
            <w:pPr>
              <w:spacing w:before="40" w:after="40" w:line="276"/>
            </w:pPr>
            <w:r>
              <w:rPr>
                <w:rFonts w:ascii="Arial" w:cs="Arial" w:eastAsia="Arial" w:hAnsi="Arial"/>
                <w:color w:val="555555"/>
                <w:sz w:val="21"/>
                <w:szCs w:val="21"/>
              </w:rPr>
              <w:t xml:space="preserve"/>
            </w:r>
          </w:p>
          <w:p>
            <w:pPr>
              <w:spacing w:before="40" w:after="40" w:line="276"/>
            </w:pPr>
            <w:r>
              <w:rPr>
                <w:rFonts w:ascii="Arial" w:cs="Arial" w:eastAsia="Arial" w:hAnsi="Arial"/>
                <w:color w:val="555555"/>
                <w:sz w:val="21"/>
                <w:szCs w:val="21"/>
              </w:rPr>
              <w:t xml:space="preserve">Step 1: I’ve attached a Voice Recording Pack — 5 short modules, ~8–15 min each. Record on your phone and send them over. If time is tight, Modules 1, 2, and 5 (∼30 min) are the essentials.</w:t>
            </w:r>
          </w:p>
          <w:p>
            <w:pPr>
              <w:spacing w:before="40" w:after="40" w:line="276"/>
            </w:pPr>
            <w:r>
              <w:rPr>
                <w:rFonts w:ascii="Arial" w:cs="Arial" w:eastAsia="Arial" w:hAnsi="Arial"/>
                <w:color w:val="555555"/>
                <w:sz w:val="21"/>
                <w:szCs w:val="21"/>
              </w:rPr>
              <w:t xml:space="preserve"/>
            </w:r>
          </w:p>
          <w:p>
            <w:pPr>
              <w:spacing w:before="40" w:after="40" w:line="276"/>
            </w:pPr>
            <w:r>
              <w:rPr>
                <w:rFonts w:ascii="Arial" w:cs="Arial" w:eastAsia="Arial" w:hAnsi="Arial"/>
                <w:color w:val="555555"/>
                <w:sz w:val="21"/>
                <w:szCs w:val="21"/>
              </w:rPr>
              <w:t xml:space="preserve">Step 2: I’ll turn the transcripts into a complete product spec and send it back for your review.</w:t>
            </w:r>
          </w:p>
          <w:p>
            <w:pPr>
              <w:spacing w:before="40" w:after="40" w:line="276"/>
            </w:pPr>
            <w:r>
              <w:rPr>
                <w:rFonts w:ascii="Arial" w:cs="Arial" w:eastAsia="Arial" w:hAnsi="Arial"/>
                <w:color w:val="555555"/>
                <w:sz w:val="21"/>
                <w:szCs w:val="21"/>
              </w:rPr>
              <w:t xml:space="preserve"/>
            </w:r>
          </w:p>
          <w:p>
            <w:pPr>
              <w:spacing w:before="40" w:after="40" w:line="276"/>
            </w:pPr>
            <w:r>
              <w:rPr>
                <w:rFonts w:ascii="Arial" w:cs="Arial" w:eastAsia="Arial" w:hAnsi="Arial"/>
                <w:color w:val="555555"/>
                <w:sz w:val="21"/>
                <w:szCs w:val="21"/>
              </w:rPr>
              <w:t xml:space="preserve">Step 3: We build.</w:t>
            </w:r>
          </w:p>
          <w:p>
            <w:pPr>
              <w:spacing w:before="40" w:after="40" w:line="276"/>
            </w:pPr>
            <w:r>
              <w:rPr>
                <w:rFonts w:ascii="Arial" w:cs="Arial" w:eastAsia="Arial" w:hAnsi="Arial"/>
                <w:color w:val="555555"/>
                <w:sz w:val="21"/>
                <w:szCs w:val="21"/>
              </w:rPr>
              <w:t xml:space="preserve"/>
            </w:r>
          </w:p>
          <w:p>
            <w:pPr>
              <w:spacing w:before="40" w:after="40" w:line="276"/>
            </w:pPr>
            <w:r>
              <w:rPr>
                <w:rFonts w:ascii="Arial" w:cs="Arial" w:eastAsia="Arial" w:hAnsi="Arial"/>
                <w:color w:val="555555"/>
                <w:sz w:val="21"/>
                <w:szCs w:val="21"/>
              </w:rPr>
              <w:t xml:space="preserve">Also helpful if easy to grab: [2–4 specific artifacts from your research, e.g., “your Academic Network roster, Fellow application fields, any email templates”].</w:t>
            </w:r>
          </w:p>
          <w:p>
            <w:pPr>
              <w:spacing w:before="40" w:after="40" w:line="276"/>
            </w:pPr>
            <w:r>
              <w:rPr>
                <w:rFonts w:ascii="Arial" w:cs="Arial" w:eastAsia="Arial" w:hAnsi="Arial"/>
                <w:color w:val="555555"/>
                <w:sz w:val="21"/>
                <w:szCs w:val="21"/>
              </w:rPr>
              <w:t xml:space="preserve"/>
            </w:r>
          </w:p>
          <w:p>
            <w:pPr>
              <w:spacing w:before="40" w:after="40" w:line="276"/>
            </w:pPr>
            <w:r>
              <w:rPr>
                <w:rFonts w:ascii="Arial" w:cs="Arial" w:eastAsia="Arial" w:hAnsi="Arial"/>
                <w:color w:val="555555"/>
                <w:sz w:val="21"/>
                <w:szCs w:val="21"/>
              </w:rPr>
              <w:t xml:space="preserve">[Warm close],</w:t>
            </w:r>
          </w:p>
          <w:p>
            <w:pPr>
              <w:spacing w:before="40" w:after="40" w:line="276"/>
            </w:pPr>
            <w:r>
              <w:rPr>
                <w:rFonts w:ascii="Arial" w:cs="Arial" w:eastAsia="Arial" w:hAnsi="Arial"/>
                <w:color w:val="555555"/>
                <w:sz w:val="21"/>
                <w:szCs w:val="21"/>
              </w:rPr>
              <w:t xml:space="preserve">[Your name]</w:t>
            </w:r>
          </w:p>
        </w:tc>
      </w:tr>
    </w:tbl>
    <w:p>
      <w:pPr>
        <w:spacing w:before="200" w:after="200"/>
      </w:pPr>
    </w:p>
    <w:p>
      <w:r>
        <w:br w:type="page"/>
      </w:r>
    </w:p>
    <w:p>
      <w:pPr>
        <w:pStyle w:val="Heading1"/>
        <w:spacing w:before="360" w:after="200"/>
      </w:pPr>
      <w:r>
        <w:rPr>
          <w:rFonts w:ascii="Arial" w:cs="Arial" w:eastAsia="Arial" w:hAnsi="Arial"/>
          <w:b/>
          <w:bCs/>
          <w:color w:val="1A1A2E"/>
          <w:sz w:val="32"/>
          <w:szCs w:val="32"/>
        </w:rPr>
        <w:t xml:space="preserve">8. Processing Returned Recordings</w:t>
      </w:r>
    </w:p>
    <w:p>
      <w:pPr>
        <w:spacing w:before="80" w:after="80" w:line="276"/>
      </w:pPr>
      <w:r>
        <w:rPr>
          <w:rFonts w:ascii="Arial" w:cs="Arial" w:eastAsia="Arial" w:hAnsi="Arial"/>
          <w:b w:val="false"/>
          <w:bCs w:val="false"/>
          <w:i w:val="false"/>
          <w:iCs w:val="false"/>
          <w:color w:val="555555"/>
          <w:sz w:val="22"/>
          <w:szCs w:val="22"/>
        </w:rPr>
        <w:t xml:space="preserve">Once the client sends recordings back, follow this sequence:</w:t>
      </w:r>
    </w:p>
    <w:p>
      <w:pPr>
        <w:spacing w:before="60" w:after="60"/>
      </w:pPr>
    </w:p>
    <w:p>
      <w:pPr>
        <w:pStyle w:val="Heading2"/>
        <w:spacing w:before="280" w:after="160"/>
      </w:pPr>
      <w:r>
        <w:rPr>
          <w:rFonts w:ascii="Arial" w:cs="Arial" w:eastAsia="Arial" w:hAnsi="Arial"/>
          <w:b/>
          <w:bCs/>
          <w:color w:val="2E75B6"/>
          <w:sz w:val="26"/>
          <w:szCs w:val="26"/>
        </w:rPr>
        <w:t xml:space="preserve">8A. Transcription</w:t>
      </w:r>
    </w:p>
    <w:p>
      <w:pPr>
        <w:spacing w:before="20" w:after="20"/>
      </w:pPr>
    </w:p>
    <w:p>
      <w:pPr>
        <w:pStyle w:val="ListParagraph"/>
        <w:numPr>
          <w:ilvl w:val="0"/>
          <w:numId w:val="7"/>
        </w:numPr>
        <w:spacing w:before="60" w:after="60" w:line="276"/>
      </w:pPr>
      <w:r>
        <w:rPr>
          <w:rFonts w:ascii="Arial" w:cs="Arial" w:eastAsia="Arial" w:hAnsi="Arial"/>
          <w:b/>
          <w:bCs/>
          <w:color w:val="1A1A2E"/>
          <w:sz w:val="22"/>
          <w:szCs w:val="22"/>
        </w:rPr>
        <w:t xml:space="preserve">AI transcription: </w:t>
      </w:r>
      <w:r>
        <w:rPr>
          <w:rFonts w:ascii="Arial" w:cs="Arial" w:eastAsia="Arial" w:hAnsi="Arial"/>
          <w:color w:val="555555"/>
          <w:sz w:val="22"/>
          <w:szCs w:val="22"/>
        </w:rPr>
        <w:t xml:space="preserve">use Otter, Whisper, or Claude to transcribe each recording. Keep the raw transcript alongside any cleaned version.</w:t>
      </w:r>
    </w:p>
    <w:p>
      <w:pPr>
        <w:pStyle w:val="ListParagraph"/>
        <w:numPr>
          <w:ilvl w:val="0"/>
          <w:numId w:val="7"/>
        </w:numPr>
        <w:spacing w:before="60" w:after="60" w:line="276"/>
      </w:pPr>
      <w:r>
        <w:rPr>
          <w:rFonts w:ascii="Arial" w:cs="Arial" w:eastAsia="Arial" w:hAnsi="Arial"/>
          <w:b/>
          <w:bCs/>
          <w:color w:val="1A1A2E"/>
          <w:sz w:val="22"/>
          <w:szCs w:val="22"/>
        </w:rPr>
        <w:t xml:space="preserve">Speaker identification: </w:t>
      </w:r>
      <w:r>
        <w:rPr>
          <w:rFonts w:ascii="Arial" w:cs="Arial" w:eastAsia="Arial" w:hAnsi="Arial"/>
          <w:color w:val="555555"/>
          <w:sz w:val="22"/>
          <w:szCs w:val="22"/>
        </w:rPr>
        <w:t xml:space="preserve">label each transcript with the module code and speaker role (e.g., “BB2 — Founder, Brianna Baker”).</w:t>
      </w:r>
    </w:p>
    <w:p>
      <w:pPr>
        <w:pStyle w:val="ListParagraph"/>
        <w:numPr>
          <w:ilvl w:val="0"/>
          <w:numId w:val="7"/>
        </w:numPr>
        <w:spacing w:before="60" w:after="60" w:line="276"/>
      </w:pPr>
      <w:r>
        <w:rPr>
          <w:rFonts w:ascii="Arial" w:cs="Arial" w:eastAsia="Arial" w:hAnsi="Arial"/>
          <w:b/>
          <w:bCs/>
          <w:color w:val="1A1A2E"/>
          <w:sz w:val="22"/>
          <w:szCs w:val="22"/>
        </w:rPr>
        <w:t xml:space="preserve">Timestamp notable moments: </w:t>
      </w:r>
      <w:r>
        <w:rPr>
          <w:rFonts w:ascii="Arial" w:cs="Arial" w:eastAsia="Arial" w:hAnsi="Arial"/>
          <w:color w:val="555555"/>
          <w:sz w:val="22"/>
          <w:szCs w:val="22"/>
        </w:rPr>
        <w:t xml:space="preserve">if a story or example is particularly rich, note the timestamp for easy reference.</w:t>
      </w:r>
    </w:p>
    <w:p>
      <w:pPr>
        <w:spacing w:before="40" w:after="40"/>
      </w:pPr>
    </w:p>
    <w:p>
      <w:pPr>
        <w:pStyle w:val="Heading2"/>
        <w:spacing w:before="280" w:after="160"/>
      </w:pPr>
      <w:r>
        <w:rPr>
          <w:rFonts w:ascii="Arial" w:cs="Arial" w:eastAsia="Arial" w:hAnsi="Arial"/>
          <w:b/>
          <w:bCs/>
          <w:color w:val="2E75B6"/>
          <w:sz w:val="26"/>
          <w:szCs w:val="26"/>
        </w:rPr>
        <w:t xml:space="preserve">8B. Tagging</w:t>
      </w:r>
    </w:p>
    <w:p>
      <w:pPr>
        <w:spacing w:before="80" w:after="80" w:line="276"/>
      </w:pPr>
      <w:r>
        <w:rPr>
          <w:rFonts w:ascii="Arial" w:cs="Arial" w:eastAsia="Arial" w:hAnsi="Arial"/>
          <w:b w:val="false"/>
          <w:bCs w:val="false"/>
          <w:i w:val="false"/>
          <w:iCs w:val="false"/>
          <w:color w:val="555555"/>
          <w:sz w:val="22"/>
          <w:szCs w:val="22"/>
        </w:rPr>
        <w:t xml:space="preserve">Tag every notable statement in the transcripts using the standard categories:</w:t>
      </w:r>
    </w:p>
    <w:p>
      <w:pPr>
        <w:spacing w:before="2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Tag</w:t>
            </w:r>
          </w:p>
        </w:tc>
        <w:tc>
          <w:tcPr>
            <w:tcW w:type="dxa" w:w="3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to Tag</w:t>
            </w:r>
          </w:p>
        </w:tc>
        <w:tc>
          <w:tcPr>
            <w:tcW w:type="dxa" w:w="3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Maps to PRD Section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b/>
                <w:bCs/>
                <w:color w:val="555555"/>
                <w:sz w:val="20"/>
                <w:szCs w:val="20"/>
              </w:rPr>
              <w:t xml:space="preserve">NEED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b w:val="false"/>
                <w:bCs w:val="false"/>
                <w:color w:val="555555"/>
                <w:sz w:val="20"/>
                <w:szCs w:val="20"/>
              </w:rPr>
              <w:t xml:space="preserve">Explicit or implied user/org needs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b w:val="false"/>
                <w:bCs w:val="false"/>
                <w:color w:val="555555"/>
                <w:sz w:val="20"/>
                <w:szCs w:val="20"/>
              </w:rPr>
              <w:t xml:space="preserve">Requirements, user stories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b/>
                <w:bCs/>
                <w:color w:val="555555"/>
                <w:sz w:val="20"/>
                <w:szCs w:val="20"/>
              </w:rPr>
              <w:t xml:space="preserve">WORKFLOW</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b w:val="false"/>
                <w:bCs w:val="false"/>
                <w:color w:val="555555"/>
                <w:sz w:val="20"/>
                <w:szCs w:val="20"/>
              </w:rPr>
              <w:t xml:space="preserve">Step-by-step process descriptions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b w:val="false"/>
                <w:bCs w:val="false"/>
                <w:color w:val="555555"/>
                <w:sz w:val="20"/>
                <w:szCs w:val="20"/>
              </w:rPr>
              <w:t xml:space="preserve">Journey maps, service blueprints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b/>
                <w:bCs/>
                <w:color w:val="555555"/>
                <w:sz w:val="20"/>
                <w:szCs w:val="20"/>
              </w:rPr>
              <w:t xml:space="preserve">PAIN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b w:val="false"/>
                <w:bCs w:val="false"/>
                <w:color w:val="555555"/>
                <w:sz w:val="20"/>
                <w:szCs w:val="20"/>
              </w:rPr>
              <w:t xml:space="preserve">Frustrations, failures, workarounds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b w:val="false"/>
                <w:bCs w:val="false"/>
                <w:color w:val="555555"/>
                <w:sz w:val="20"/>
                <w:szCs w:val="20"/>
              </w:rPr>
              <w:t xml:space="preserve">Problem statements, risk register</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b/>
                <w:bCs/>
                <w:color w:val="555555"/>
                <w:sz w:val="20"/>
                <w:szCs w:val="20"/>
              </w:rPr>
              <w:t xml:space="preserve">DATA</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b w:val="false"/>
                <w:bCs w:val="false"/>
                <w:color w:val="555555"/>
                <w:sz w:val="20"/>
                <w:szCs w:val="20"/>
              </w:rPr>
              <w:t xml:space="preserve">Info they collect, store, or wish they had</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b w:val="false"/>
                <w:bCs w:val="false"/>
                <w:color w:val="555555"/>
                <w:sz w:val="20"/>
                <w:szCs w:val="20"/>
              </w:rPr>
              <w:t xml:space="preserve">Data model, schema design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b/>
                <w:bCs/>
                <w:color w:val="555555"/>
                <w:sz w:val="20"/>
                <w:szCs w:val="20"/>
              </w:rPr>
              <w:t xml:space="preserve">BOUNDARY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b w:val="false"/>
                <w:bCs w:val="false"/>
                <w:color w:val="555555"/>
                <w:sz w:val="20"/>
                <w:szCs w:val="20"/>
              </w:rPr>
              <w:t xml:space="preserve">Non-negotiables, safety, consent, access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b w:val="false"/>
                <w:bCs w:val="false"/>
                <w:color w:val="555555"/>
                <w:sz w:val="20"/>
                <w:szCs w:val="20"/>
              </w:rPr>
              <w:t xml:space="preserve">Constraints, privacy, RBAC</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b/>
                <w:bCs/>
                <w:color w:val="555555"/>
                <w:sz w:val="20"/>
                <w:szCs w:val="20"/>
              </w:rPr>
              <w:t xml:space="preserve">SUCCESS</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b w:val="false"/>
                <w:bCs w:val="false"/>
                <w:color w:val="555555"/>
                <w:sz w:val="20"/>
                <w:szCs w:val="20"/>
              </w:rPr>
              <w:t xml:space="preserve">What “working” looks like to them</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b w:val="false"/>
                <w:bCs w:val="false"/>
                <w:color w:val="555555"/>
                <w:sz w:val="20"/>
                <w:szCs w:val="20"/>
              </w:rPr>
              <w:t xml:space="preserve">Success metrics, acceptance criteria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b/>
                <w:bCs/>
                <w:color w:val="555555"/>
                <w:sz w:val="20"/>
                <w:szCs w:val="20"/>
              </w:rPr>
              <w:t xml:space="preserve">QUOTE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b w:val="false"/>
                <w:bCs w:val="false"/>
                <w:color w:val="555555"/>
                <w:sz w:val="20"/>
                <w:szCs w:val="20"/>
              </w:rPr>
              <w:t xml:space="preserve">Verbatim language worth preserving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b w:val="false"/>
                <w:bCs w:val="false"/>
                <w:color w:val="555555"/>
                <w:sz w:val="20"/>
                <w:szCs w:val="20"/>
              </w:rPr>
              <w:t xml:space="preserve">PRD narrative, stakeholder voice</w:t>
            </w:r>
          </w:p>
        </w:tc>
      </w:tr>
    </w:tbl>
    <w:p>
      <w:pPr>
        <w:spacing w:before="60" w:after="60"/>
      </w:pPr>
    </w:p>
    <w:p>
      <w:pPr>
        <w:pStyle w:val="Heading2"/>
        <w:spacing w:before="280" w:after="160"/>
      </w:pPr>
      <w:r>
        <w:rPr>
          <w:rFonts w:ascii="Arial" w:cs="Arial" w:eastAsia="Arial" w:hAnsi="Arial"/>
          <w:b/>
          <w:bCs/>
          <w:color w:val="2E75B6"/>
          <w:sz w:val="26"/>
          <w:szCs w:val="26"/>
        </w:rPr>
        <w:t xml:space="preserve">8C. Assembling the PRD</w:t>
      </w:r>
    </w:p>
    <w:p>
      <w:pPr>
        <w:spacing w:before="80" w:after="80" w:line="276"/>
      </w:pPr>
      <w:r>
        <w:rPr>
          <w:rFonts w:ascii="Arial" w:cs="Arial" w:eastAsia="Arial" w:hAnsi="Arial"/>
          <w:b w:val="false"/>
          <w:bCs w:val="false"/>
          <w:i w:val="false"/>
          <w:iCs w:val="false"/>
          <w:color w:val="555555"/>
          <w:sz w:val="22"/>
          <w:szCs w:val="22"/>
        </w:rPr>
        <w:t xml:space="preserve">With tagged transcripts + your research dossier, assemble the MVP spec:</w:t>
      </w:r>
    </w:p>
    <w:p>
      <w:pPr>
        <w:spacing w:before="20" w:after="20"/>
      </w:pPr>
    </w:p>
    <w:p>
      <w:pPr>
        <w:pStyle w:val="ListParagraph"/>
        <w:numPr>
          <w:ilvl w:val="0"/>
          <w:numId w:val="8"/>
        </w:numPr>
        <w:spacing w:before="50" w:after="50" w:line="276"/>
      </w:pPr>
      <w:r>
        <w:rPr>
          <w:rFonts w:ascii="Arial" w:cs="Arial" w:eastAsia="Arial" w:hAnsi="Arial"/>
          <w:color w:val="555555"/>
          <w:sz w:val="22"/>
          <w:szCs w:val="22"/>
        </w:rPr>
        <w:t xml:space="preserve">3–5 must-solve needs — from NEED tags, ranked by frequency and severity.</w:t>
      </w:r>
    </w:p>
    <w:p>
      <w:pPr>
        <w:pStyle w:val="ListParagraph"/>
        <w:numPr>
          <w:ilvl w:val="0"/>
          <w:numId w:val="8"/>
        </w:numPr>
        <w:spacing w:before="50" w:after="50" w:line="276"/>
      </w:pPr>
      <w:r>
        <w:rPr>
          <w:rFonts w:ascii="Arial" w:cs="Arial" w:eastAsia="Arial" w:hAnsi="Arial"/>
          <w:color w:val="555555"/>
          <w:sz w:val="22"/>
          <w:szCs w:val="22"/>
        </w:rPr>
        <w:t xml:space="preserve">5–10 key workflows — from WORKFLOW tags, each with trigger, action, owner, and exception path.</w:t>
      </w:r>
    </w:p>
    <w:p>
      <w:pPr>
        <w:pStyle w:val="ListParagraph"/>
        <w:numPr>
          <w:ilvl w:val="0"/>
          <w:numId w:val="8"/>
        </w:numPr>
        <w:spacing w:before="50" w:after="50" w:line="276"/>
      </w:pPr>
      <w:r>
        <w:rPr>
          <w:rFonts w:ascii="Arial" w:cs="Arial" w:eastAsia="Arial" w:hAnsi="Arial"/>
          <w:color w:val="555555"/>
          <w:sz w:val="22"/>
          <w:szCs w:val="22"/>
        </w:rPr>
        <w:t xml:space="preserve">Top 10 risks and edge cases — from PAIN and BOUNDARY tags.</w:t>
      </w:r>
    </w:p>
    <w:p>
      <w:pPr>
        <w:pStyle w:val="ListParagraph"/>
        <w:numPr>
          <w:ilvl w:val="0"/>
          <w:numId w:val="8"/>
        </w:numPr>
        <w:spacing w:before="50" w:after="50" w:line="276"/>
      </w:pPr>
      <w:r>
        <w:rPr>
          <w:rFonts w:ascii="Arial" w:cs="Arial" w:eastAsia="Arial" w:hAnsi="Arial"/>
          <w:color w:val="555555"/>
          <w:sz w:val="22"/>
          <w:szCs w:val="22"/>
        </w:rPr>
        <w:t xml:space="preserve">Data schema v1 — from DATA tags, organized into core objects and relationships.</w:t>
      </w:r>
    </w:p>
    <w:p>
      <w:pPr>
        <w:pStyle w:val="ListParagraph"/>
        <w:numPr>
          <w:ilvl w:val="0"/>
          <w:numId w:val="8"/>
        </w:numPr>
        <w:spacing w:before="50" w:after="50" w:line="276"/>
      </w:pPr>
      <w:r>
        <w:rPr>
          <w:rFonts w:ascii="Arial" w:cs="Arial" w:eastAsia="Arial" w:hAnsi="Arial"/>
          <w:color w:val="555555"/>
          <w:sz w:val="22"/>
          <w:szCs w:val="22"/>
        </w:rPr>
        <w:t xml:space="preserve">RBAC matrix — from BOUNDARY tags, cross-referenced with roles mentioned.</w:t>
      </w:r>
    </w:p>
    <w:p>
      <w:pPr>
        <w:pStyle w:val="ListParagraph"/>
        <w:numPr>
          <w:ilvl w:val="0"/>
          <w:numId w:val="8"/>
        </w:numPr>
        <w:spacing w:before="50" w:after="50" w:line="276"/>
      </w:pPr>
      <w:r>
        <w:rPr>
          <w:rFonts w:ascii="Arial" w:cs="Arial" w:eastAsia="Arial" w:hAnsi="Arial"/>
          <w:color w:val="555555"/>
          <w:sz w:val="22"/>
          <w:szCs w:val="22"/>
        </w:rPr>
        <w:t xml:space="preserve">Explicit non-goals — what you’re deliberately not building in v1.</w:t>
      </w:r>
    </w:p>
    <w:p>
      <w:pPr>
        <w:pStyle w:val="ListParagraph"/>
        <w:numPr>
          <w:ilvl w:val="0"/>
          <w:numId w:val="8"/>
        </w:numPr>
        <w:spacing w:before="50" w:after="50" w:line="276"/>
      </w:pPr>
      <w:r>
        <w:rPr>
          <w:rFonts w:ascii="Arial" w:cs="Arial" w:eastAsia="Arial" w:hAnsi="Arial"/>
          <w:color w:val="555555"/>
          <w:sz w:val="22"/>
          <w:szCs w:val="22"/>
        </w:rPr>
        <w:t xml:space="preserve">Success metrics — from SUCCESS tags, made measurable.</w:t>
      </w:r>
    </w:p>
    <w:p>
      <w:pPr>
        <w:pStyle w:val="ListParagraph"/>
        <w:numPr>
          <w:ilvl w:val="0"/>
          <w:numId w:val="8"/>
        </w:numPr>
        <w:spacing w:before="50" w:after="50" w:line="276"/>
      </w:pPr>
      <w:r>
        <w:rPr>
          <w:rFonts w:ascii="Arial" w:cs="Arial" w:eastAsia="Arial" w:hAnsi="Arial"/>
          <w:color w:val="555555"/>
          <w:sz w:val="22"/>
          <w:szCs w:val="22"/>
        </w:rPr>
        <w:t xml:space="preserve">MVP feature list and pilot plan — from the Module 5 recording.</w:t>
      </w:r>
    </w:p>
    <w:p>
      <w:pPr>
        <w:spacing w:before="200" w:after="200"/>
      </w:pPr>
    </w:p>
    <w:p>
      <w:r>
        <w:br w:type="page"/>
      </w:r>
    </w:p>
    <w:p>
      <w:pPr>
        <w:pStyle w:val="Heading1"/>
        <w:spacing w:before="360" w:after="200"/>
      </w:pPr>
      <w:r>
        <w:rPr>
          <w:rFonts w:ascii="Arial" w:cs="Arial" w:eastAsia="Arial" w:hAnsi="Arial"/>
          <w:b/>
          <w:bCs/>
          <w:color w:val="1A1A2E"/>
          <w:sz w:val="32"/>
          <w:szCs w:val="32"/>
        </w:rPr>
        <w:t xml:space="preserve">9. Production Checklist</w:t>
      </w:r>
    </w:p>
    <w:p>
      <w:pPr>
        <w:spacing w:before="80" w:after="80" w:line="276"/>
      </w:pPr>
      <w:r>
        <w:rPr>
          <w:rFonts w:ascii="Arial" w:cs="Arial" w:eastAsia="Arial" w:hAnsi="Arial"/>
          <w:b w:val="false"/>
          <w:bCs w:val="false"/>
          <w:i w:val="false"/>
          <w:iCs w:val="false"/>
          <w:color w:val="555555"/>
          <w:sz w:val="22"/>
          <w:szCs w:val="22"/>
        </w:rPr>
        <w:t xml:space="preserve">Use this checklist every time you produce a new Voice Recording Pack.</w:t>
      </w:r>
    </w:p>
    <w:p>
      <w:pPr>
        <w:spacing w:before="60" w:after="60"/>
      </w:pPr>
    </w:p>
    <w:p>
      <w:pPr>
        <w:spacing w:before="200" w:after="100"/>
      </w:pPr>
      <w:r>
        <w:rPr>
          <w:rFonts w:ascii="Arial" w:cs="Arial" w:eastAsia="Arial" w:hAnsi="Arial"/>
          <w:b/>
          <w:bCs/>
          <w:color w:val="1A1A2E"/>
          <w:sz w:val="22"/>
          <w:szCs w:val="22"/>
        </w:rPr>
        <w:t xml:space="preserve">Pre-Production</w:t>
      </w:r>
    </w:p>
    <w:p>
      <w:pPr>
        <w:spacing w:before="20" w:after="20"/>
      </w:pPr>
    </w:p>
    <w:p>
      <w:pPr>
        <w:pStyle w:val="ListParagraph"/>
        <w:numPr>
          <w:ilvl w:val="0"/>
          <w:numId w:val="9"/>
        </w:numPr>
        <w:spacing w:before="50" w:after="50" w:line="276"/>
      </w:pPr>
      <w:r>
        <w:rPr>
          <w:rFonts w:ascii="Arial" w:cs="Arial" w:eastAsia="Arial" w:hAnsi="Arial"/>
          <w:color w:val="555555"/>
          <w:sz w:val="22"/>
          <w:szCs w:val="22"/>
        </w:rPr>
        <w:t xml:space="preserve">☐  Deep research dossier completed (web research on org)</w:t>
      </w:r>
    </w:p>
    <w:p>
      <w:pPr>
        <w:pStyle w:val="ListParagraph"/>
        <w:numPr>
          <w:ilvl w:val="0"/>
          <w:numId w:val="9"/>
        </w:numPr>
        <w:spacing w:before="50" w:after="50" w:line="276"/>
      </w:pPr>
      <w:r>
        <w:rPr>
          <w:rFonts w:ascii="Arial" w:cs="Arial" w:eastAsia="Arial" w:hAnsi="Arial"/>
          <w:color w:val="555555"/>
          <w:sz w:val="22"/>
          <w:szCs w:val="22"/>
        </w:rPr>
        <w:t xml:space="preserve">☐  Call transcripts / meeting notes tagged (if available)</w:t>
      </w:r>
    </w:p>
    <w:p>
      <w:pPr>
        <w:pStyle w:val="ListParagraph"/>
        <w:numPr>
          <w:ilvl w:val="0"/>
          <w:numId w:val="9"/>
        </w:numPr>
        <w:spacing w:before="50" w:after="50" w:line="276"/>
      </w:pPr>
      <w:r>
        <w:rPr>
          <w:rFonts w:ascii="Arial" w:cs="Arial" w:eastAsia="Arial" w:hAnsi="Arial"/>
          <w:color w:val="555555"/>
          <w:sz w:val="22"/>
          <w:szCs w:val="22"/>
        </w:rPr>
        <w:t xml:space="preserve">☐  Background materials collected and reviewed</w:t>
      </w:r>
    </w:p>
    <w:p>
      <w:pPr>
        <w:pStyle w:val="ListParagraph"/>
        <w:numPr>
          <w:ilvl w:val="0"/>
          <w:numId w:val="9"/>
        </w:numPr>
        <w:spacing w:before="50" w:after="50" w:line="276"/>
      </w:pPr>
      <w:r>
        <w:rPr>
          <w:rFonts w:ascii="Arial" w:cs="Arial" w:eastAsia="Arial" w:hAnsi="Arial"/>
          <w:color w:val="555555"/>
          <w:sz w:val="22"/>
          <w:szCs w:val="22"/>
        </w:rPr>
        <w:t xml:space="preserve">☐  Gap analysis completed: list of 15–30 specific questions</w:t>
      </w:r>
    </w:p>
    <w:p>
      <w:pPr>
        <w:pStyle w:val="ListParagraph"/>
        <w:numPr>
          <w:ilvl w:val="0"/>
          <w:numId w:val="9"/>
        </w:numPr>
        <w:spacing w:before="50" w:after="50" w:line="276"/>
      </w:pPr>
      <w:r>
        <w:rPr>
          <w:rFonts w:ascii="Arial" w:cs="Arial" w:eastAsia="Arial" w:hAnsi="Arial"/>
          <w:color w:val="555555"/>
          <w:sz w:val="22"/>
          <w:szCs w:val="22"/>
        </w:rPr>
        <w:t xml:space="preserve">☐  Decision made on additional voices (ops, users, partners)</w:t>
      </w:r>
    </w:p>
    <w:p>
      <w:pPr>
        <w:spacing w:before="40" w:after="40"/>
      </w:pPr>
    </w:p>
    <w:p>
      <w:pPr>
        <w:spacing w:before="200" w:after="100"/>
      </w:pPr>
      <w:r>
        <w:rPr>
          <w:rFonts w:ascii="Arial" w:cs="Arial" w:eastAsia="Arial" w:hAnsi="Arial"/>
          <w:b/>
          <w:bCs/>
          <w:color w:val="1A1A2E"/>
          <w:sz w:val="22"/>
          <w:szCs w:val="22"/>
        </w:rPr>
        <w:t xml:space="preserve">Pack Assembly</w:t>
      </w:r>
    </w:p>
    <w:p>
      <w:pPr>
        <w:spacing w:before="20" w:after="20"/>
      </w:pPr>
    </w:p>
    <w:p>
      <w:pPr>
        <w:pStyle w:val="ListParagraph"/>
        <w:numPr>
          <w:ilvl w:val="0"/>
          <w:numId w:val="10"/>
        </w:numPr>
        <w:spacing w:before="50" w:after="50" w:line="276"/>
      </w:pPr>
      <w:r>
        <w:rPr>
          <w:rFonts w:ascii="Arial" w:cs="Arial" w:eastAsia="Arial" w:hAnsi="Arial"/>
          <w:color w:val="555555"/>
          <w:sz w:val="22"/>
          <w:szCs w:val="22"/>
        </w:rPr>
        <w:t xml:space="preserve">☐  All 5 modules have customized prompts (not generic baseline)</w:t>
      </w:r>
    </w:p>
    <w:p>
      <w:pPr>
        <w:pStyle w:val="ListParagraph"/>
        <w:numPr>
          <w:ilvl w:val="0"/>
          <w:numId w:val="10"/>
        </w:numPr>
        <w:spacing w:before="50" w:after="50" w:line="276"/>
      </w:pPr>
      <w:r>
        <w:rPr>
          <w:rFonts w:ascii="Arial" w:cs="Arial" w:eastAsia="Arial" w:hAnsi="Arial"/>
          <w:color w:val="555555"/>
          <w:sz w:val="22"/>
          <w:szCs w:val="22"/>
        </w:rPr>
        <w:t xml:space="preserve">☐  Prompts use client’s actual terminology, program names, and tools</w:t>
      </w:r>
    </w:p>
    <w:p>
      <w:pPr>
        <w:pStyle w:val="ListParagraph"/>
        <w:numPr>
          <w:ilvl w:val="0"/>
          <w:numId w:val="10"/>
        </w:numPr>
        <w:spacing w:before="50" w:after="50" w:line="276"/>
      </w:pPr>
      <w:r>
        <w:rPr>
          <w:rFonts w:ascii="Arial" w:cs="Arial" w:eastAsia="Arial" w:hAnsi="Arial"/>
          <w:color w:val="555555"/>
          <w:sz w:val="22"/>
          <w:szCs w:val="22"/>
        </w:rPr>
        <w:t xml:space="preserve">☐  Each module has 6–8 prompts max (no interrogation effect)</w:t>
      </w:r>
    </w:p>
    <w:p>
      <w:pPr>
        <w:pStyle w:val="ListParagraph"/>
        <w:numPr>
          <w:ilvl w:val="0"/>
          <w:numId w:val="10"/>
        </w:numPr>
        <w:spacing w:before="50" w:after="50" w:line="276"/>
      </w:pPr>
      <w:r>
        <w:rPr>
          <w:rFonts w:ascii="Arial" w:cs="Arial" w:eastAsia="Arial" w:hAnsi="Arial"/>
          <w:color w:val="555555"/>
          <w:sz w:val="22"/>
          <w:szCs w:val="22"/>
        </w:rPr>
        <w:t xml:space="preserve">☐  Follow-up arrows (→) reference research findings where relevant</w:t>
      </w:r>
    </w:p>
    <w:p>
      <w:pPr>
        <w:pStyle w:val="ListParagraph"/>
        <w:numPr>
          <w:ilvl w:val="0"/>
          <w:numId w:val="10"/>
        </w:numPr>
        <w:spacing w:before="50" w:after="50" w:line="276"/>
      </w:pPr>
      <w:r>
        <w:rPr>
          <w:rFonts w:ascii="Arial" w:cs="Arial" w:eastAsia="Arial" w:hAnsi="Arial"/>
          <w:color w:val="555555"/>
          <w:sz w:val="22"/>
          <w:szCs w:val="22"/>
        </w:rPr>
        <w:t xml:space="preserve">☐  PRD outputs line included at bottom of each module</w:t>
      </w:r>
    </w:p>
    <w:p>
      <w:pPr>
        <w:pStyle w:val="ListParagraph"/>
        <w:numPr>
          <w:ilvl w:val="0"/>
          <w:numId w:val="10"/>
        </w:numPr>
        <w:spacing w:before="50" w:after="50" w:line="276"/>
      </w:pPr>
      <w:r>
        <w:rPr>
          <w:rFonts w:ascii="Arial" w:cs="Arial" w:eastAsia="Arial" w:hAnsi="Arial"/>
          <w:color w:val="555555"/>
          <w:sz w:val="22"/>
          <w:szCs w:val="22"/>
        </w:rPr>
        <w:t xml:space="preserve">☐  30-minute shortcut path clearly stated</w:t>
      </w:r>
    </w:p>
    <w:p>
      <w:pPr>
        <w:pStyle w:val="ListParagraph"/>
        <w:numPr>
          <w:ilvl w:val="0"/>
          <w:numId w:val="10"/>
        </w:numPr>
        <w:spacing w:before="50" w:after="50" w:line="276"/>
      </w:pPr>
      <w:r>
        <w:rPr>
          <w:rFonts w:ascii="Arial" w:cs="Arial" w:eastAsia="Arial" w:hAnsi="Arial"/>
          <w:color w:val="555555"/>
          <w:sz w:val="22"/>
          <w:szCs w:val="22"/>
        </w:rPr>
        <w:t xml:space="preserve">☐  Consent statement included</w:t>
      </w:r>
    </w:p>
    <w:p>
      <w:pPr>
        <w:pStyle w:val="ListParagraph"/>
        <w:numPr>
          <w:ilvl w:val="0"/>
          <w:numId w:val="10"/>
        </w:numPr>
        <w:spacing w:before="50" w:after="50" w:line="276"/>
      </w:pPr>
      <w:r>
        <w:rPr>
          <w:rFonts w:ascii="Arial" w:cs="Arial" w:eastAsia="Arial" w:hAnsi="Arial"/>
          <w:color w:val="555555"/>
          <w:sz w:val="22"/>
          <w:szCs w:val="22"/>
        </w:rPr>
        <w:t xml:space="preserve">☐  Artifacts list customized to what this org is likely to have</w:t>
      </w:r>
    </w:p>
    <w:p>
      <w:pPr>
        <w:pStyle w:val="ListParagraph"/>
        <w:numPr>
          <w:ilvl w:val="0"/>
          <w:numId w:val="10"/>
        </w:numPr>
        <w:spacing w:before="50" w:after="50" w:line="276"/>
      </w:pPr>
      <w:r>
        <w:rPr>
          <w:rFonts w:ascii="Arial" w:cs="Arial" w:eastAsia="Arial" w:hAnsi="Arial"/>
          <w:color w:val="555555"/>
          <w:sz w:val="22"/>
          <w:szCs w:val="22"/>
        </w:rPr>
        <w:t xml:space="preserve">☐  “What Happens Next” section present with their timeline</w:t>
      </w:r>
    </w:p>
    <w:p>
      <w:pPr>
        <w:pStyle w:val="ListParagraph"/>
        <w:numPr>
          <w:ilvl w:val="0"/>
          <w:numId w:val="10"/>
        </w:numPr>
        <w:spacing w:before="50" w:after="50" w:line="276"/>
      </w:pPr>
      <w:r>
        <w:rPr>
          <w:rFonts w:ascii="Arial" w:cs="Arial" w:eastAsia="Arial" w:hAnsi="Arial"/>
          <w:color w:val="555555"/>
          <w:sz w:val="22"/>
          <w:szCs w:val="22"/>
        </w:rPr>
        <w:t xml:space="preserve">☐  Optional voices section included (even if brief)</w:t>
      </w:r>
    </w:p>
    <w:p>
      <w:pPr>
        <w:pStyle w:val="ListParagraph"/>
        <w:numPr>
          <w:ilvl w:val="0"/>
          <w:numId w:val="10"/>
        </w:numPr>
        <w:spacing w:before="50" w:after="50" w:line="276"/>
      </w:pPr>
      <w:r>
        <w:rPr>
          <w:rFonts w:ascii="Arial" w:cs="Arial" w:eastAsia="Arial" w:hAnsi="Arial"/>
          <w:color w:val="555555"/>
          <w:sz w:val="22"/>
          <w:szCs w:val="22"/>
        </w:rPr>
        <w:t xml:space="preserve">☐  Document is under 10 pages</w:t>
      </w:r>
    </w:p>
    <w:p>
      <w:pPr>
        <w:pStyle w:val="ListParagraph"/>
        <w:numPr>
          <w:ilvl w:val="0"/>
          <w:numId w:val="10"/>
        </w:numPr>
        <w:spacing w:before="50" w:after="50" w:line="276"/>
      </w:pPr>
      <w:r>
        <w:rPr>
          <w:rFonts w:ascii="Arial" w:cs="Arial" w:eastAsia="Arial" w:hAnsi="Arial"/>
          <w:color w:val="555555"/>
          <w:sz w:val="22"/>
          <w:szCs w:val="22"/>
        </w:rPr>
        <w:t xml:space="preserve">☐  Delivery email drafted and matched to client’s tone</w:t>
      </w:r>
    </w:p>
    <w:p>
      <w:pPr>
        <w:spacing w:before="40" w:after="40"/>
      </w:pPr>
    </w:p>
    <w:p>
      <w:pPr>
        <w:spacing w:before="200" w:after="100"/>
      </w:pPr>
      <w:r>
        <w:rPr>
          <w:rFonts w:ascii="Arial" w:cs="Arial" w:eastAsia="Arial" w:hAnsi="Arial"/>
          <w:b/>
          <w:bCs/>
          <w:color w:val="1A1A2E"/>
          <w:sz w:val="22"/>
          <w:szCs w:val="22"/>
        </w:rPr>
        <w:t xml:space="preserve">Post-Return</w:t>
      </w:r>
    </w:p>
    <w:p>
      <w:pPr>
        <w:spacing w:before="20" w:after="20"/>
      </w:pPr>
    </w:p>
    <w:p>
      <w:pPr>
        <w:pStyle w:val="ListParagraph"/>
        <w:numPr>
          <w:ilvl w:val="0"/>
          <w:numId w:val="2"/>
        </w:numPr>
        <w:spacing w:before="50" w:after="50" w:line="276"/>
      </w:pPr>
      <w:r>
        <w:rPr>
          <w:rFonts w:ascii="Arial" w:cs="Arial" w:eastAsia="Arial" w:hAnsi="Arial"/>
          <w:color w:val="555555"/>
          <w:sz w:val="22"/>
          <w:szCs w:val="22"/>
        </w:rPr>
        <w:t xml:space="preserve">☐  All recordings transcribed</w:t>
      </w:r>
    </w:p>
    <w:p>
      <w:pPr>
        <w:pStyle w:val="ListParagraph"/>
        <w:numPr>
          <w:ilvl w:val="0"/>
          <w:numId w:val="2"/>
        </w:numPr>
        <w:spacing w:before="50" w:after="50" w:line="276"/>
      </w:pPr>
      <w:r>
        <w:rPr>
          <w:rFonts w:ascii="Arial" w:cs="Arial" w:eastAsia="Arial" w:hAnsi="Arial"/>
          <w:color w:val="555555"/>
          <w:sz w:val="22"/>
          <w:szCs w:val="22"/>
        </w:rPr>
        <w:t xml:space="preserve">☐  Transcripts tagged with standard categories</w:t>
      </w:r>
    </w:p>
    <w:p>
      <w:pPr>
        <w:pStyle w:val="ListParagraph"/>
        <w:numPr>
          <w:ilvl w:val="0"/>
          <w:numId w:val="2"/>
        </w:numPr>
        <w:spacing w:before="50" w:after="50" w:line="276"/>
      </w:pPr>
      <w:r>
        <w:rPr>
          <w:rFonts w:ascii="Arial" w:cs="Arial" w:eastAsia="Arial" w:hAnsi="Arial"/>
          <w:color w:val="555555"/>
          <w:sz w:val="22"/>
          <w:szCs w:val="22"/>
        </w:rPr>
        <w:t xml:space="preserve">☐  Research dossier + tagged transcripts merged into PRD draft</w:t>
      </w:r>
    </w:p>
    <w:p>
      <w:pPr>
        <w:pStyle w:val="ListParagraph"/>
        <w:numPr>
          <w:ilvl w:val="0"/>
          <w:numId w:val="2"/>
        </w:numPr>
        <w:spacing w:before="50" w:after="50" w:line="276"/>
      </w:pPr>
      <w:r>
        <w:rPr>
          <w:rFonts w:ascii="Arial" w:cs="Arial" w:eastAsia="Arial" w:hAnsi="Arial"/>
          <w:color w:val="555555"/>
          <w:sz w:val="22"/>
          <w:szCs w:val="22"/>
        </w:rPr>
        <w:t xml:space="preserve">☐  PRD draft sent to client for review within 5 business days</w:t>
      </w:r>
    </w:p>
    <w:p>
      <w:pPr>
        <w:pStyle w:val="ListParagraph"/>
        <w:numPr>
          <w:ilvl w:val="0"/>
          <w:numId w:val="2"/>
        </w:numPr>
        <w:spacing w:before="50" w:after="50" w:line="276"/>
      </w:pPr>
      <w:r>
        <w:rPr>
          <w:rFonts w:ascii="Arial" w:cs="Arial" w:eastAsia="Arial" w:hAnsi="Arial"/>
          <w:color w:val="555555"/>
          <w:sz w:val="22"/>
          <w:szCs w:val="22"/>
        </w:rPr>
        <w:t xml:space="preserve">☐  Client feedback incorporated into final PRD</w:t>
      </w:r>
    </w:p>
    <w:p>
      <w:pPr>
        <w:spacing w:before="300" w:after="300"/>
      </w:pPr>
    </w:p>
    <w:p>
      <w:pPr>
        <w:pBdr>
          <w:top w:val="single" w:color="999999" w:sz="1" w:space="8"/>
        </w:pBdr>
        <w:spacing w:before="200"/>
        <w:jc w:val="center"/>
      </w:pPr>
      <w:r>
        <w:rPr>
          <w:rFonts w:ascii="Arial" w:cs="Arial" w:eastAsia="Arial" w:hAnsi="Arial"/>
          <w:color w:val="999999"/>
          <w:spacing w:val="150"/>
          <w:sz w:val="18"/>
          <w:szCs w:val="18"/>
        </w:rPr>
        <w:t xml:space="preserve">TRUE STEELE LABS</w:t>
      </w:r>
    </w:p>
    <w:p>
      <w:pPr>
        <w:spacing w:after="40"/>
        <w:jc w:val="center"/>
      </w:pPr>
      <w:r>
        <w:rPr>
          <w:rFonts w:ascii="Arial" w:cs="Arial" w:eastAsia="Arial" w:hAnsi="Arial"/>
          <w:i/>
          <w:iCs/>
          <w:color w:val="999999"/>
          <w:sz w:val="18"/>
          <w:szCs w:val="18"/>
        </w:rPr>
        <w:t xml:space="preserve">Ship production software for mission-driven organizations.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True Steele Labs  •  </w:t>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999999"/>
        <w:sz w:val="16"/>
        <w:szCs w:val="16"/>
      </w:rPr>
      <w:t xml:space="preserve">TSL Voice Recording Pack Production Guide</w:t>
    </w: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bullet"/>
      <w:lvlText w:val="–"/>
      <w:lvlJc w:val="left"/>
      <w:pPr>
        <w:ind w:left="1080" w:hanging="360"/>
      </w:pPr>
    </w:lvl>
  </w:abstractNum>
  <w:abstractNum w:abstractNumId="14" w15:restartNumberingAfterBreak="0">
    <w:multiLevelType w:val="hybridMultilevel"/>
    <w:lvl w:ilvl="0" w15:tentative="1">
      <w:start w:val="1"/>
      <w:numFmt w:val="bullet"/>
      <w:lvlText w:val="–"/>
      <w:lvlJc w:val="left"/>
      <w:pPr>
        <w:ind w:left="1080" w:hanging="360"/>
      </w:pPr>
    </w:lvl>
  </w:abstractNum>
  <w:abstractNum w:abstractNumId="15" w15:restartNumberingAfterBreak="0">
    <w:multiLevelType w:val="hybridMultilevel"/>
    <w:lvl w:ilvl="0" w15:tentative="1">
      <w:start w:val="1"/>
      <w:numFmt w:val="bullet"/>
      <w:lvlText w:val="–"/>
      <w:lvlJc w:val="left"/>
      <w:pPr>
        <w:ind w:left="1080" w:hanging="360"/>
      </w:pPr>
    </w:lvl>
  </w:abstractNum>
  <w:abstractNum w:abstractNumId="16"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10"/>
    <w:lvlOverride w:ilvl="0">
      <w:startOverride w:val="1"/>
    </w:lvlOverride>
  </w:num>
  <w:num w:numId="4">
    <w:abstractNumId w:val="4"/>
    <w:lvlOverride w:ilvl="0">
      <w:startOverride w:val="1"/>
    </w:lvlOverride>
  </w:num>
  <w:num w:numId="5">
    <w:abstractNumId w:val="5"/>
    <w:lvlOverride w:ilvl="0">
      <w:startOverride w:val="1"/>
    </w:lvlOverride>
  </w:num>
  <w:num w:numId="6">
    <w:abstractNumId w:val="11"/>
    <w:lvlOverride w:ilvl="0">
      <w:startOverride w:val="1"/>
    </w:lvlOverride>
  </w:num>
  <w:num w:numId="7">
    <w:abstractNumId w:val="12"/>
    <w:lvlOverride w:ilvl="0">
      <w:startOverride w:val="1"/>
    </w:lvlOverride>
  </w:num>
  <w:num w:numId="8">
    <w:abstractNumId w:val="6"/>
    <w:lvlOverride w:ilvl="0">
      <w:startOverride w:val="1"/>
    </w:lvlOverride>
  </w:num>
  <w:num w:numId="9">
    <w:abstractNumId w:val="7"/>
    <w:lvlOverride w:ilvl="0">
      <w:startOverride w:val="1"/>
    </w:lvlOverride>
  </w:num>
  <w:num w:numId="10">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2026-02-23T15:57:23.506Z</dcterms:created>
  <dcterms:modified xsi:type="dcterms:W3CDTF">2026-02-23T15:57:23.507Z</dcterms:modified>
</cp:coreProperties>
</file>

<file path=docProps/custom.xml><?xml version="1.0" encoding="utf-8"?>
<Properties xmlns="http://schemas.openxmlformats.org/officeDocument/2006/custom-properties" xmlns:vt="http://schemas.openxmlformats.org/officeDocument/2006/docPropsVTypes"/>
</file>