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Prospect Profile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K. Corley Kenna</w:t>
      </w:r>
    </w:p>
    <w:p>
      <w:pPr>
        <w:pBdr>
          <w:bottom w:val="single" w:color="2D6A4F" w:sz="8" w:space="4"/>
        </w:pBdr>
        <w:spacing w:after="6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Chief Impact and Communications Officer, Patagonia</w:t>
      </w:r>
    </w:p>
    <w:p>
      <w:pPr>
        <w:spacing w:after="160"/>
      </w:pPr>
    </w:p>
    <w:p>
      <w:pPr>
        <w:pStyle w:val="Heading1"/>
        <w:pBdr>
          <w:bottom w:val="single" w:color="2D6A4F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Profile &amp; Contact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Chief Impact and Communications Officer, Patagonia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Ventura, California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kckenna@hotmail.com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LinkedIn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linkedin.com/in/k-corley-kenna-16789237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D6A4F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Background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Corley leads Patagonia's impact strategy and communications, setting or strongly influencing corporate giving, partnerships, and environmental/social impact programs — including Patagonia Action Works. She brings a long senior career in corporate communications and public affairs, with previous roles at Ralph Lauren and Burson-Marsteller.</w:t>
      </w:r>
    </w:p>
    <w:p>
      <w:pPr>
        <w:pStyle w:val="Heading1"/>
        <w:pBdr>
          <w:bottom w:val="single" w:color="2D6A4F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Relationship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Proximity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Warm (score 48) — connected via shared outdoor/impact sector, regional proximity (Ventura ↔ SF Bay Area), and mutual contact Greg Curtis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Familiarity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 (rated 1) — all communication has been outbound with no replies received to 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Mutual Connections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Greg Curtis (introduced you), Annie Maxwell (connected the dots)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LinkedIn Connected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August 6, 2025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D6A4F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Communication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4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6,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request with Outdoorithm Collective intro — referenced Arc'teryx funding, REI support, 83 families served, and Greg Curtis introduction.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Aug 7, 2025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Follow-up offering to share more; no-agenda ask framed around OC's mission and growing the movement beyond individual trips.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Feb 10, 2026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Outbound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intro email (CC'd Sally) referencing Greg Curtis and Annie Maxwell, citing 400+ participants, National Park Foundation/Yosemite grant, Arc'teryx support, and Sally's REI Emark fellowship. Asked for 20 minutes of her time.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touchpoints: </w:t>
      </w:r>
      <w:r>
        <w:rPr>
          <w:rFonts w:ascii="Arial" w:cs="Arial" w:eastAsia="Arial" w:hAnsi="Arial"/>
          <w:sz w:val="22"/>
          <w:szCs w:val="22"/>
        </w:rPr>
        <w:t xml:space="preserve">3 (all outbound)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Replies received: </w:t>
      </w:r>
      <w:r>
        <w:rPr>
          <w:rFonts w:ascii="Arial" w:cs="Arial" w:eastAsia="Arial" w:hAnsi="Arial"/>
          <w:sz w:val="22"/>
          <w:szCs w:val="22"/>
        </w:rPr>
        <w:t xml:space="preserve">0 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OC Engagement: </w:t>
      </w:r>
      <w:r>
        <w:rPr>
          <w:rFonts w:ascii="Arial" w:cs="Arial" w:eastAsia="Arial" w:hAnsi="Arial"/>
          <w:sz w:val="22"/>
          <w:szCs w:val="22"/>
        </w:rPr>
        <w:t xml:space="preserve">None</w:t>
      </w:r>
    </w:p>
    <w:p>
      <w:pPr>
        <w:pStyle w:val="Heading1"/>
        <w:pBdr>
          <w:bottom w:val="single" w:color="2D6A4F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Fundraising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Ask Readiness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Cultivate First (score 68)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Personal Giving Capacity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$1,000–$10,000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Suggested Ask Range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$2,500–$10,000 (or founding-advisor/partnership engagement)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Kindora Pitch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 — potential champion who can influence Patagonia's corporate grantmaking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Outdoorithm Invite Fit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High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D6A4F" w:sz="6" w:space="1"/>
        </w:pBdr>
        <w:spacing w:before="32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Recommended Next Steps</w:t>
      </w:r>
    </w:p>
    <w:p>
      <w:pPr>
        <w:shd w:fill="FDF3F2" w:val="clear"/>
        <w:spacing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⚠️  Key Risk: </w:t>
      </w:r>
      <w:r>
        <w:rPr>
          <w:rFonts w:ascii="Arial" w:cs="Arial" w:eastAsia="Arial" w:hAnsi="Arial"/>
          <w:sz w:val="22"/>
          <w:szCs w:val="22"/>
        </w:rPr>
        <w:t xml:space="preserve">Another cold email without prior engagement will feel transactional. The next touch should be social/organic (LinkedIn) rather than a direct ask.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Engage on LinkedIn — comment thoughtfully on her posts about environmental justice without pitching.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an Outdoorithm Collective impact story on LinkedIn that tags themes she cares about (not a direct solicitation).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a shorter, warmer LinkedIn DM referencing her specific Patagonia work and offer a low-commitment 20-minute conversation.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she responds, follow up with a concise personal email tying OC outcomes to her equity priorities and invite her to a founding-advisory call or pilot site visit.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Target a monetary ask 6–8 weeks after genuine two-way engagement has been established.</w:t>
      </w: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2026-02-25T01:23:31.292Z</dcterms:created>
  <dcterms:modified xsi:type="dcterms:W3CDTF">2026-02-25T01:23:31.293Z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