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Prospect Profile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Greg Curtis</w:t>
      </w:r>
    </w:p>
    <w:p>
      <w:pPr>
        <w:pBdr>
          <w:bottom w:val="single" w:color="1B4F72" w:sz="8" w:space="4"/>
        </w:pBdr>
        <w:spacing w:after="60"/>
      </w:pPr>
      <w:r>
        <w:rPr>
          <w:rFonts w:ascii="Arial" w:cs="Arial" w:eastAsia="Arial" w:hAnsi="Arial"/>
          <w:i/>
          <w:iCs/>
          <w:color w:val="1B4F72"/>
          <w:sz w:val="24"/>
          <w:szCs w:val="24"/>
        </w:rPr>
        <w:t xml:space="preserve">Executive Director, Holdfast Collective  |  Former Deputy General Counsel, Patagonia</w:t>
      </w:r>
    </w:p>
    <w:p>
      <w:pPr>
        <w:spacing w:after="160"/>
      </w:pPr>
    </w:p>
    <w:p>
      <w:pPr>
        <w:pStyle w:val="Heading1"/>
        <w:pBdr>
          <w:bottom w:val="single" w:color="1B4F72" w:sz="6" w:space="1"/>
        </w:pBd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Profile &amp;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Executive Director, Holdfast Collective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Previous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Deputy General Counsel, Patagonia; senior legal roles at United Technologies and large law firms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Angeles, California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greg.curtis@holdfast.earth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Personal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greg_curtis13@hotmail.com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LinkedIn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linkedin.com/in/greg-curtis-367bb481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4F72" w:sz="6" w:space="1"/>
        </w:pBd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Background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Greg leads Holdfast Collective, the nonprofit entity at the center of Patagonia's landmark 2022 ownership restructuring — in which Patagonia transferred all non-voting stock to Holdfast to fund environmental causes. Before taking on this role, Greg served as Deputy General Counsel at Patagonia, and his career spans senior in-house legal positions at major corporations and law firms. He is deeply embedded in the outdoor, conservation, and nonprofit world, with direct influence over significant environmental grantmaking.</w:t>
      </w:r>
    </w:p>
    <w:p>
      <w:pPr>
        <w:pStyle w:val="Heading1"/>
        <w:pBdr>
          <w:bottom w:val="single" w:color="1B4F72" w:sz="6" w:space="1"/>
        </w:pBd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Relationship Origin &amp;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Proximity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Familiar (score 32), upgraded to moderately warm through active engagement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Origin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Milken Institute Corporate Philanthropy panel in 2023 (you withdrew after testing positive for COVID); reconnected Oct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Mutual Connections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Jason Rissman (you facilitated intro to Greg), Annie Maxwell (connected you to Corley Kenna via Greg)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CRM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Influencer (not yet a donor)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Contribution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Referred you to Corley Kenna, Chief Impact and Communications Officer at Patagonia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4F72" w:sz="6" w:space="1"/>
        </w:pBd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Communication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3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 25,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Outbound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Milken panel callback, Outdoorithm intro, career chat request — referenced upcoming Google departure.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 28,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Inbound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Enthusiastic reply; proactively shared ED leads at Resources Legacy Fund and TNC California; proposed meeting dates Nov 14–15.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 28,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Outbound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availability for proposed meeting times.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 8,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Outbound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Rescheduled meeting around Big Bend National Park trip with Boyz N The Wood; proposed late Nov or early Dec.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 11,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Inbound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Teams meeting invite. "Have fun at Big Bend!"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 12,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Outbound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meeting time.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~Late Nov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Bilateral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video call completed. (Exact date not captured.)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 29,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Outbound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Thank-you message after the call.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4,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Outbound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Forwarded Jason Rissman intro — facilitated a connection between Greg and Jason (immersive entertainment + climate action).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15,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Outbound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Invited Greg (CC'd Sally) to Outdoorithm Collective's first Southern California trip — spring break family camping at Joshua Tree National Park. Included signup link and teased the outdoorithm.com platform.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touchpoints: </w:t>
      </w:r>
      <w:r>
        <w:rPr>
          <w:rFonts w:ascii="Arial" w:cs="Arial" w:eastAsia="Arial" w:hAnsi="Arial"/>
          <w:sz w:val="22"/>
          <w:szCs w:val="22"/>
        </w:rPr>
        <w:t xml:space="preserve">10 (email, LinkedIn, video)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Bidirectional: </w:t>
      </w:r>
      <w:r>
        <w:rPr>
          <w:rFonts w:ascii="Arial" w:cs="Arial" w:eastAsia="Arial" w:hAnsi="Arial"/>
          <w:sz w:val="22"/>
          <w:szCs w:val="22"/>
        </w:rPr>
        <w:t xml:space="preserve">Yes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Replies received: </w:t>
      </w:r>
      <w:r>
        <w:rPr>
          <w:rFonts w:ascii="Arial" w:cs="Arial" w:eastAsia="Arial" w:hAnsi="Arial"/>
          <w:sz w:val="22"/>
          <w:szCs w:val="22"/>
        </w:rPr>
        <w:t xml:space="preserve">3+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Joshua Tree response: </w:t>
      </w:r>
      <w:r>
        <w:rPr>
          <w:rFonts w:ascii="Arial" w:cs="Arial" w:eastAsia="Arial" w:hAnsi="Arial"/>
          <w:sz w:val="22"/>
          <w:szCs w:val="22"/>
        </w:rPr>
        <w:t xml:space="preserve">Not yet captured</w:t>
      </w:r>
    </w:p>
    <w:p>
      <w:pPr>
        <w:pStyle w:val="Heading1"/>
        <w:pBdr>
          <w:bottom w:val="single" w:color="1B4F72" w:sz="6" w:space="1"/>
        </w:pBd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Relationship 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Genuinely engaged — proactively shared job leads, accepted video call, responded warmly across multiple touchpoints.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"We go back" quality — the shared Milken panel origin gives the relationship texture and credibility even without a completed in-person meeting.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You've delivered value — facilitated the Jason Rissman introduction, creating meaningful reciprocity.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He's opened doors for you — the Corley Kenna referral signals real advocacy and trust.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Joshua Tree invite creates a potential experiential anchor — an opportunity for a personal, relationship-deepening moment with your families.</w:t>
      </w:r>
    </w:p>
    <w:p>
      <w:pPr>
        <w:spacing w:after="80"/>
      </w:pPr>
    </w:p>
    <w:p>
      <w:pPr>
        <w:pStyle w:val="Heading1"/>
        <w:pBdr>
          <w:bottom w:val="single" w:color="1B4F72" w:sz="6" w:space="1"/>
        </w:pBd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Fundraising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Ask Readiness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Cultivate First (score 72)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Giving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$1,000–$10,000 (personal)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Suggested Ask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$1,000–$5,000, or volunteer/partner-in-kind/facilitation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Recommended Channel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Personal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Kindora Pitch 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as a nonprofit ED, he's a natural user and champion for grant-matching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Outdoorithm Invite 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4F72" w:sz="6" w:space="1"/>
        </w:pBd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Recommended Next Steps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96F3D"/>
          <w:sz w:val="22"/>
          <w:szCs w:val="22"/>
        </w:rPr>
        <w:t xml:space="preserve">✅  Relationship is warm enough to move toward an ask — but frame him as a founding partner, not just a donor.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up on Joshua Tree — if no response captured, a light check-in is warranted. His reaction to the experiential invite will signal where he 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Engage on LinkedIn — comment on his posts to keep the relationship visible between direct outreach.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 a founding-partner ask — position his operational insight and network as something that shapes OC's programming, not just a check.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 concrete options: $1K–$5K founding gift OR hands-on partnership (co-designing an expedition, connecting you to Holdfast's grantee network).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Timeline: 4–6 weeks of warm touches, then a concise personal email with a specific, low-friction ask.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2026-02-25T01:33:46.807Z</dcterms:created>
  <dcterms:modified xsi:type="dcterms:W3CDTF">2026-02-25T01:33:46.808Z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