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olor w:val="666666"/>
          <w:sz w:val="20"/>
        </w:rPr>
        <w:t>Prospect Profile</w:t>
      </w:r>
    </w:p>
    <w:p>
      <w:r>
        <w:rPr>
          <w:rFonts w:ascii="Arial" w:hAnsi="Arial"/>
          <w:b/>
          <w:color w:val="1A1A1A"/>
          <w:sz w:val="40"/>
        </w:rPr>
        <w:t>K. Corley Kenna</w:t>
      </w:r>
    </w:p>
    <w:p>
      <w:r>
        <w:rPr>
          <w:rFonts w:ascii="Arial" w:hAnsi="Arial"/>
          <w:color w:val="2D6A4F"/>
          <w:sz w:val="24"/>
        </w:rPr>
        <w:t>Chief Impact and Communications Officer, Patagonia</w:t>
      </w:r>
    </w:p>
    <w:p/>
    <w:p>
      <w:r>
        <w:rPr>
          <w:rFonts w:ascii="Arial" w:hAnsi="Arial"/>
          <w:b/>
          <w:color w:val="2D6A4F"/>
          <w:sz w:val="28"/>
        </w:rPr>
        <w:t>Profile &amp; Contact</w:t>
      </w:r>
    </w:p>
    <w:tbl>
      <w:tblPr>
        <w:tblW w:type="auto" w:w="0"/>
        <w:jc w:val="center"/>
        <w:tblLayout w:type="autofit"/>
        <w:tblLook w:firstColumn="1" w:firstRow="1" w:lastColumn="0" w:lastRow="0" w:noHBand="0" w:noVBand="1" w:val="04A0"/>
      </w:tblPr>
      <w:tblGrid>
        <w:gridCol w:w="4680"/>
        <w:gridCol w:w="4680"/>
      </w:tblGrid>
      <w:tr>
        <w:tc>
          <w:tcPr>
            <w:tcW w:type="dxa" w:w="4680"/>
            <w:shd w:fill="EAF4EE"/>
          </w:tcPr>
          <w:p>
            <w:r/>
            <w:r>
              <w:rPr>
                <w:rFonts w:ascii="Arial" w:hAnsi="Arial"/>
                <w:b/>
                <w:sz w:val="22"/>
              </w:rPr>
              <w:t>Role</w:t>
            </w:r>
          </w:p>
        </w:tc>
        <w:tc>
          <w:tcPr>
            <w:tcW w:type="dxa" w:w="4680"/>
            <w:shd w:fill="EAF4EE"/>
          </w:tcPr>
          <w:p>
            <w:r/>
            <w:r>
              <w:rPr>
                <w:rFonts w:ascii="Arial" w:hAnsi="Arial"/>
                <w:b w:val="0"/>
                <w:sz w:val="22"/>
              </w:rPr>
              <w:t>Chief Impact and Communications Officer, Patagonia</w:t>
            </w:r>
          </w:p>
        </w:tc>
      </w:tr>
      <w:tr>
        <w:tc>
          <w:tcPr>
            <w:tcW w:type="dxa" w:w="4680"/>
            <w:shd w:fill="FFFFFF"/>
          </w:tcPr>
          <w:p>
            <w:r/>
            <w:r>
              <w:rPr>
                <w:rFonts w:ascii="Arial" w:hAnsi="Arial"/>
                <w:b/>
                <w:sz w:val="22"/>
              </w:rPr>
              <w:t>Location</w:t>
            </w:r>
          </w:p>
        </w:tc>
        <w:tc>
          <w:tcPr>
            <w:tcW w:type="dxa" w:w="4680"/>
            <w:shd w:fill="FFFFFF"/>
          </w:tcPr>
          <w:p>
            <w:r/>
            <w:r>
              <w:rPr>
                <w:rFonts w:ascii="Arial" w:hAnsi="Arial"/>
                <w:b w:val="0"/>
                <w:sz w:val="22"/>
              </w:rPr>
              <w:t>Ventura, California, United States</w:t>
            </w:r>
          </w:p>
        </w:tc>
      </w:tr>
      <w:tr>
        <w:tc>
          <w:tcPr>
            <w:tcW w:type="dxa" w:w="4680"/>
            <w:shd w:fill="EAF4EE"/>
          </w:tcPr>
          <w:p>
            <w:r/>
            <w:r>
              <w:rPr>
                <w:rFonts w:ascii="Arial" w:hAnsi="Arial"/>
                <w:b/>
                <w:sz w:val="22"/>
              </w:rPr>
              <w:t>Email</w:t>
            </w:r>
          </w:p>
        </w:tc>
        <w:tc>
          <w:tcPr>
            <w:tcW w:type="dxa" w:w="4680"/>
            <w:shd w:fill="EAF4EE"/>
          </w:tcPr>
          <w:p>
            <w:r/>
            <w:r>
              <w:rPr>
                <w:rFonts w:ascii="Arial" w:hAnsi="Arial"/>
                <w:b w:val="0"/>
                <w:sz w:val="22"/>
              </w:rPr>
              <w:t>kckenna@hotmail.com</w:t>
            </w:r>
          </w:p>
        </w:tc>
      </w:tr>
      <w:tr>
        <w:tc>
          <w:tcPr>
            <w:tcW w:type="dxa" w:w="4680"/>
            <w:shd w:fill="FFFFFF"/>
          </w:tcPr>
          <w:p>
            <w:r/>
            <w:r>
              <w:rPr>
                <w:rFonts w:ascii="Arial" w:hAnsi="Arial"/>
                <w:b/>
                <w:sz w:val="22"/>
              </w:rPr>
              <w:t>LinkedIn</w:t>
            </w:r>
          </w:p>
        </w:tc>
        <w:tc>
          <w:tcPr>
            <w:tcW w:type="dxa" w:w="4680"/>
            <w:shd w:fill="FFFFFF"/>
          </w:tcPr>
          <w:p>
            <w:r/>
            <w:r>
              <w:rPr>
                <w:rFonts w:ascii="Arial" w:hAnsi="Arial"/>
                <w:b w:val="0"/>
                <w:sz w:val="22"/>
              </w:rPr>
              <w:t>linkedin.com/in/k-corley-kenna-16789237</w:t>
            </w:r>
          </w:p>
        </w:tc>
      </w:tr>
    </w:tbl>
    <w:p>
      <w:r>
        <w:rPr>
          <w:rFonts w:ascii="Arial" w:hAnsi="Arial"/>
          <w:b/>
          <w:color w:val="2D6A4F"/>
          <w:sz w:val="28"/>
        </w:rPr>
        <w:t>Background</w:t>
      </w:r>
    </w:p>
    <w:p>
      <w:r>
        <w:rPr>
          <w:rFonts w:ascii="Arial" w:hAnsi="Arial"/>
          <w:sz w:val="22"/>
        </w:rPr>
        <w:t>As Chief Impact &amp; Communications Officer, Corley likely sets or strongly influences Patagonia’s corporate giving, impact strategy, and partnerships. That makes her a high-value internal champion for tools that improve grantmaking and steward corporate philanthropic investment. Even if procurement ultimately involves other teams, Corley can sponsor pilot projects or introductions to decision-makers. As a C-level executive at a well-known consumer brand, Corley likely has solid personal disposable income compared with mid-career professionals. That said, there's no hard evidence of large personal liquidity (no FEC records, no known founder equity or public asset sales). Per guidance, institutional funds or Patagonia’s corporate giving are not counted toward personal wealth. Given title and sector, mid-level personal giving capacity ($1K–$10K) is the most defensible estimate.</w:t>
      </w:r>
    </w:p>
    <w:p>
      <w:r>
        <w:rPr>
          <w:rFonts w:ascii="Arial" w:hAnsi="Arial"/>
          <w:b/>
          <w:color w:val="2D6A4F"/>
          <w:sz w:val="28"/>
        </w:rPr>
        <w:t>Relationship Origin &amp; Status</w:t>
      </w:r>
    </w:p>
    <w:tbl>
      <w:tblPr>
        <w:tblW w:type="auto" w:w="0"/>
        <w:jc w:val="center"/>
        <w:tblLayout w:type="autofit"/>
        <w:tblLook w:firstColumn="1" w:firstRow="1" w:lastColumn="0" w:lastRow="0" w:noHBand="0" w:noVBand="1" w:val="04A0"/>
      </w:tblPr>
      <w:tblGrid>
        <w:gridCol w:w="4680"/>
        <w:gridCol w:w="4680"/>
      </w:tblGrid>
      <w:tr>
        <w:tc>
          <w:tcPr>
            <w:tcW w:type="dxa" w:w="4680"/>
            <w:shd w:fill="EAF4EE"/>
          </w:tcPr>
          <w:p>
            <w:r/>
            <w:r>
              <w:rPr>
                <w:rFonts w:ascii="Arial" w:hAnsi="Arial"/>
                <w:b/>
                <w:sz w:val="22"/>
              </w:rPr>
              <w:t>Proximity</w:t>
            </w:r>
          </w:p>
        </w:tc>
        <w:tc>
          <w:tcPr>
            <w:tcW w:type="dxa" w:w="4680"/>
            <w:shd w:fill="EAF4EE"/>
          </w:tcPr>
          <w:p>
            <w:r/>
            <w:r>
              <w:rPr>
                <w:rFonts w:ascii="Arial" w:hAnsi="Arial"/>
                <w:b w:val="0"/>
                <w:sz w:val="22"/>
              </w:rPr>
              <w:t>Warm (score 48) — There is an active LinkedIn connection and strong topical/sector overlap (outdoor access, corporate impact). However the</w:t>
            </w:r>
          </w:p>
        </w:tc>
      </w:tr>
      <w:tr>
        <w:tc>
          <w:tcPr>
            <w:tcW w:type="dxa" w:w="4680"/>
            <w:shd w:fill="FFFFFF"/>
          </w:tcPr>
          <w:p>
            <w:r/>
            <w:r>
              <w:rPr>
                <w:rFonts w:ascii="Arial" w:hAnsi="Arial"/>
                <w:b/>
                <w:sz w:val="22"/>
              </w:rPr>
              <w:t>Familiarity</w:t>
            </w:r>
          </w:p>
        </w:tc>
        <w:tc>
          <w:tcPr>
            <w:tcW w:type="dxa" w:w="4680"/>
            <w:shd w:fill="FFFFFF"/>
          </w:tcPr>
          <w:p>
            <w:r/>
            <w:r>
              <w:rPr>
                <w:rFonts w:ascii="Arial" w:hAnsi="Arial"/>
                <w:b w:val="0"/>
                <w:sz w:val="22"/>
              </w:rPr>
              <w:t>Relationship is shallow: Justin has a familiarity rating of 1 and communication is effectively one-way (2 threads, no bidirectional replies; last outreach was Justins intro email on 2026-02-10)</w:t>
            </w:r>
          </w:p>
        </w:tc>
      </w:tr>
      <w:tr>
        <w:tc>
          <w:tcPr>
            <w:tcW w:type="dxa" w:w="4680"/>
            <w:shd w:fill="EAF4EE"/>
          </w:tcPr>
          <w:p>
            <w:r/>
            <w:r>
              <w:rPr>
                <w:rFonts w:ascii="Arial" w:hAnsi="Arial"/>
                <w:b/>
                <w:sz w:val="22"/>
              </w:rPr>
              <w:t>LinkedIn Connection</w:t>
            </w:r>
          </w:p>
        </w:tc>
        <w:tc>
          <w:tcPr>
            <w:tcW w:type="dxa" w:w="4680"/>
            <w:shd w:fill="EAF4EE"/>
          </w:tcPr>
          <w:p>
            <w:r/>
            <w:r>
              <w:rPr>
                <w:rFonts w:ascii="Arial" w:hAnsi="Arial"/>
                <w:b w:val="0"/>
                <w:sz w:val="22"/>
              </w:rPr>
              <w:t>Connected on LinkedIn (since 06 Aug 2025)</w:t>
            </w:r>
          </w:p>
        </w:tc>
      </w:tr>
    </w:tbl>
    <w:p>
      <w:r>
        <w:rPr>
          <w:rFonts w:ascii="Arial" w:hAnsi="Arial"/>
          <w:b/>
          <w:color w:val="2D6A4F"/>
          <w:sz w:val="28"/>
        </w:rPr>
        <w:t>Communication Timeline</w:t>
      </w:r>
    </w:p>
    <w:p>
      <w:r>
        <w:rPr>
          <w:rFonts w:ascii="Arial" w:hAnsi="Arial"/>
          <w:b/>
          <w:sz w:val="22"/>
        </w:rPr>
        <w:t xml:space="preserve">Total touchpoints: </w:t>
      </w:r>
      <w:r>
        <w:rPr>
          <w:rFonts w:ascii="Arial" w:hAnsi="Arial"/>
          <w:b w:val="0"/>
          <w:sz w:val="22"/>
        </w:rPr>
        <w:t xml:space="preserve">2   </w:t>
      </w:r>
      <w:r>
        <w:rPr>
          <w:rFonts w:ascii="Arial" w:hAnsi="Arial"/>
          <w:b/>
          <w:sz w:val="22"/>
        </w:rPr>
        <w:t xml:space="preserve">Bidirectional: </w:t>
      </w:r>
      <w:r>
        <w:rPr>
          <w:rFonts w:ascii="Arial" w:hAnsi="Arial"/>
          <w:b w:val="0"/>
          <w:sz w:val="22"/>
        </w:rPr>
        <w:t xml:space="preserve">None captured   </w:t>
      </w:r>
      <w:r>
        <w:rPr>
          <w:rFonts w:ascii="Arial" w:hAnsi="Arial"/>
          <w:b/>
          <w:sz w:val="22"/>
        </w:rPr>
        <w:t xml:space="preserve">FEC Donations: </w:t>
      </w:r>
      <w:r>
        <w:rPr>
          <w:rFonts w:ascii="Arial" w:hAnsi="Arial"/>
          <w:b w:val="0"/>
          <w:sz w:val="22"/>
        </w:rPr>
        <w:t>$0</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D6A4F"/>
          </w:tcPr>
          <w:p>
            <w:r/>
            <w:r>
              <w:rPr>
                <w:rFonts w:ascii="Arial" w:hAnsi="Arial"/>
                <w:b/>
                <w:color w:val="FFFFFF"/>
                <w:sz w:val="20"/>
              </w:rPr>
              <w:t>Date</w:t>
            </w:r>
          </w:p>
        </w:tc>
        <w:tc>
          <w:tcPr>
            <w:tcW w:type="dxa" w:w="2340"/>
            <w:shd w:fill="2D6A4F"/>
          </w:tcPr>
          <w:p>
            <w:r/>
            <w:r>
              <w:rPr>
                <w:rFonts w:ascii="Arial" w:hAnsi="Arial"/>
                <w:b/>
                <w:color w:val="FFFFFF"/>
                <w:sz w:val="20"/>
              </w:rPr>
              <w:t>Channel</w:t>
            </w:r>
          </w:p>
        </w:tc>
        <w:tc>
          <w:tcPr>
            <w:tcW w:type="dxa" w:w="2340"/>
            <w:shd w:fill="2D6A4F"/>
          </w:tcPr>
          <w:p>
            <w:r/>
            <w:r>
              <w:rPr>
                <w:rFonts w:ascii="Arial" w:hAnsi="Arial"/>
                <w:b/>
                <w:color w:val="FFFFFF"/>
                <w:sz w:val="20"/>
              </w:rPr>
              <w:t>Direction</w:t>
            </w:r>
          </w:p>
        </w:tc>
        <w:tc>
          <w:tcPr>
            <w:tcW w:type="dxa" w:w="2340"/>
            <w:shd w:fill="2D6A4F"/>
          </w:tcPr>
          <w:p>
            <w:r/>
            <w:r>
              <w:rPr>
                <w:rFonts w:ascii="Arial" w:hAnsi="Arial"/>
                <w:b/>
                <w:color w:val="FFFFFF"/>
                <w:sz w:val="20"/>
              </w:rPr>
              <w:t>Summary</w:t>
            </w:r>
          </w:p>
        </w:tc>
      </w:tr>
      <w:tr>
        <w:tc>
          <w:tcPr>
            <w:tcW w:type="dxa" w:w="2340"/>
            <w:shd w:fill="EAF4EE"/>
          </w:tcPr>
          <w:p>
            <w:r/>
            <w:r>
              <w:rPr>
                <w:rFonts w:ascii="Arial" w:hAnsi="Arial"/>
                <w:b w:val="0"/>
                <w:sz w:val="20"/>
              </w:rPr>
              <w:t>Aug 07, 2025</w:t>
            </w:r>
          </w:p>
        </w:tc>
        <w:tc>
          <w:tcPr>
            <w:tcW w:type="dxa" w:w="2340"/>
          </w:tcPr>
          <w:p>
            <w:r/>
            <w:r>
              <w:rPr>
                <w:rFonts w:ascii="Arial" w:hAnsi="Arial"/>
                <w:b w:val="0"/>
                <w:sz w:val="20"/>
              </w:rPr>
              <w:t>Linkedin</w:t>
            </w:r>
          </w:p>
        </w:tc>
        <w:tc>
          <w:tcPr>
            <w:tcW w:type="dxa" w:w="2340"/>
          </w:tcPr>
          <w:p>
            <w:r/>
            <w:r>
              <w:rPr>
                <w:rFonts w:ascii="Arial" w:hAnsi="Arial"/>
                <w:b w:val="0"/>
                <w:sz w:val="20"/>
              </w:rPr>
              <w:t>Outbound</w:t>
            </w:r>
          </w:p>
        </w:tc>
        <w:tc>
          <w:tcPr>
            <w:tcW w:type="dxa" w:w="2340"/>
          </w:tcPr>
          <w:p>
            <w:r/>
            <w:r>
              <w:rPr>
                <w:rFonts w:ascii="Arial" w:hAnsi="Arial"/>
                <w:b w:val="0"/>
                <w:sz w:val="20"/>
              </w:rPr>
              <w:t>Hi Corley - After leading Google's largest philanthropy team for a decade, I co-...</w:t>
            </w:r>
          </w:p>
        </w:tc>
      </w:tr>
      <w:tr>
        <w:tc>
          <w:tcPr>
            <w:tcW w:type="dxa" w:w="2340"/>
            <w:shd w:fill="FFFFFF"/>
          </w:tcPr>
          <w:p>
            <w:r/>
            <w:r>
              <w:rPr>
                <w:rFonts w:ascii="Arial" w:hAnsi="Arial"/>
                <w:b w:val="0"/>
                <w:sz w:val="20"/>
              </w:rPr>
              <w:t>Feb 10, 2026</w:t>
            </w:r>
          </w:p>
        </w:tc>
        <w:tc>
          <w:tcPr>
            <w:tcW w:type="dxa" w:w="2340"/>
          </w:tcPr>
          <w:p>
            <w:r/>
            <w:r>
              <w:rPr>
                <w:rFonts w:ascii="Arial" w:hAnsi="Arial"/>
                <w:b w:val="0"/>
                <w:sz w:val="20"/>
              </w:rPr>
              <w:t>Email</w:t>
            </w:r>
          </w:p>
        </w:tc>
        <w:tc>
          <w:tcPr>
            <w:tcW w:type="dxa" w:w="2340"/>
          </w:tcPr>
          <w:p>
            <w:r/>
            <w:r>
              <w:rPr>
                <w:rFonts w:ascii="Arial" w:hAnsi="Arial"/>
                <w:b w:val="0"/>
                <w:sz w:val="20"/>
              </w:rPr>
              <w:t>Sent</w:t>
            </w:r>
          </w:p>
        </w:tc>
        <w:tc>
          <w:tcPr>
            <w:tcW w:type="dxa" w:w="2340"/>
          </w:tcPr>
          <w:p>
            <w:r/>
            <w:r>
              <w:rPr>
                <w:rFonts w:ascii="Arial" w:hAnsi="Arial"/>
                <w:b w:val="0"/>
                <w:sz w:val="20"/>
              </w:rPr>
              <w:t>Justin introduced himself and Outdoorithm Collective after referrals from Greg Curtis and Annie Maxwell, describing t...</w:t>
            </w:r>
          </w:p>
        </w:tc>
      </w:tr>
    </w:tbl>
    <w:p>
      <w:r>
        <w:rPr>
          <w:rFonts w:ascii="Arial" w:hAnsi="Arial"/>
          <w:b/>
          <w:color w:val="2D6A4F"/>
          <w:sz w:val="28"/>
        </w:rPr>
        <w:t>Key Relationship Strengths</w:t>
      </w:r>
    </w:p>
    <w:p>
      <w:pPr>
        <w:pStyle w:val="ListBullet"/>
      </w:pPr>
      <w:r>
        <w:rPr>
          <w:rFonts w:ascii="Arial" w:hAnsi="Arial"/>
          <w:sz w:val="22"/>
        </w:rPr>
        <w:t>Both work in the outdoor / outdoor-impact sector (Outdoorithm vs Patagonia)</w:t>
      </w:r>
    </w:p>
    <w:p>
      <w:pPr>
        <w:pStyle w:val="ListBullet"/>
      </w:pPr>
      <w:r>
        <w:rPr>
          <w:rFonts w:ascii="Arial" w:hAnsi="Arial"/>
          <w:sz w:val="22"/>
        </w:rPr>
        <w:t>Reference Patagonia’s recent campaigns or Patagonia Action Works and note shared commitment to equitable nature access.</w:t>
      </w:r>
    </w:p>
    <w:p>
      <w:pPr>
        <w:pStyle w:val="ListBullet"/>
      </w:pPr>
      <w:r>
        <w:rPr>
          <w:rFonts w:ascii="Arial" w:hAnsi="Arial"/>
          <w:sz w:val="22"/>
        </w:rPr>
        <w:t>Call out Justin’s role as co-founder/treasurer of Outdoorithm Collective and suggest a low-effort pilot or learning conversation.</w:t>
      </w:r>
    </w:p>
    <w:p/>
    <w:p>
      <w:r>
        <w:rPr>
          <w:rFonts w:ascii="Arial" w:hAnsi="Arial"/>
          <w:b/>
          <w:color w:val="2D6A4F"/>
          <w:sz w:val="28"/>
        </w:rPr>
        <w:t>Fundraising Assessment</w:t>
      </w:r>
    </w:p>
    <w:tbl>
      <w:tblPr>
        <w:tblW w:type="auto" w:w="0"/>
        <w:jc w:val="center"/>
        <w:tblLayout w:type="autofit"/>
        <w:tblLook w:firstColumn="1" w:firstRow="1" w:lastColumn="0" w:lastRow="0" w:noHBand="0" w:noVBand="1" w:val="04A0"/>
      </w:tblPr>
      <w:tblGrid>
        <w:gridCol w:w="4680"/>
        <w:gridCol w:w="4680"/>
      </w:tblGrid>
      <w:tr>
        <w:tc>
          <w:tcPr>
            <w:tcW w:type="dxa" w:w="4680"/>
            <w:shd w:fill="EAF4EE"/>
          </w:tcPr>
          <w:p>
            <w:r/>
            <w:r>
              <w:rPr>
                <w:rFonts w:ascii="Arial" w:hAnsi="Arial"/>
                <w:b/>
                <w:sz w:val="22"/>
              </w:rPr>
              <w:t>Ask Readiness</w:t>
            </w:r>
          </w:p>
        </w:tc>
        <w:tc>
          <w:tcPr>
            <w:tcW w:type="dxa" w:w="4680"/>
            <w:shd w:fill="EAF4EE"/>
          </w:tcPr>
          <w:p>
            <w:r/>
            <w:r>
              <w:rPr>
                <w:rFonts w:ascii="Arial" w:hAnsi="Arial"/>
                <w:b w:val="0"/>
                <w:sz w:val="22"/>
              </w:rPr>
              <w:t>Cultivate First (score 68)</w:t>
            </w:r>
          </w:p>
        </w:tc>
      </w:tr>
      <w:tr>
        <w:tc>
          <w:tcPr>
            <w:tcW w:type="dxa" w:w="4680"/>
            <w:shd w:fill="FFFFFF"/>
          </w:tcPr>
          <w:p>
            <w:r/>
            <w:r>
              <w:rPr>
                <w:rFonts w:ascii="Arial" w:hAnsi="Arial"/>
                <w:b/>
                <w:sz w:val="22"/>
              </w:rPr>
              <w:t>Personal Giving Capacity</w:t>
            </w:r>
          </w:p>
        </w:tc>
        <w:tc>
          <w:tcPr>
            <w:tcW w:type="dxa" w:w="4680"/>
            <w:shd w:fill="FFFFFF"/>
          </w:tcPr>
          <w:p>
            <w:r/>
            <w:r>
              <w:rPr>
                <w:rFonts w:ascii="Arial" w:hAnsi="Arial"/>
                <w:b w:val="0"/>
                <w:sz w:val="22"/>
              </w:rPr>
              <w:t>$1K-$10K</w:t>
            </w:r>
          </w:p>
        </w:tc>
      </w:tr>
      <w:tr>
        <w:tc>
          <w:tcPr>
            <w:tcW w:type="dxa" w:w="4680"/>
            <w:shd w:fill="EAF4EE"/>
          </w:tcPr>
          <w:p>
            <w:r/>
            <w:r>
              <w:rPr>
                <w:rFonts w:ascii="Arial" w:hAnsi="Arial"/>
                <w:b/>
                <w:sz w:val="22"/>
              </w:rPr>
              <w:t>Suggested Ask Range</w:t>
            </w:r>
          </w:p>
        </w:tc>
        <w:tc>
          <w:tcPr>
            <w:tcW w:type="dxa" w:w="4680"/>
            <w:shd w:fill="EAF4EE"/>
          </w:tcPr>
          <w:p>
            <w:r/>
            <w:r>
              <w:rPr>
                <w:rFonts w:ascii="Arial" w:hAnsi="Arial"/>
                <w:b w:val="0"/>
                <w:sz w:val="22"/>
              </w:rPr>
              <w:t>$2,500-$10,000 (or founding-advisor/partnership engagement in lieu of an immediate gift)</w:t>
            </w:r>
          </w:p>
        </w:tc>
      </w:tr>
      <w:tr>
        <w:tc>
          <w:tcPr>
            <w:tcW w:type="dxa" w:w="4680"/>
            <w:shd w:fill="FFFFFF"/>
          </w:tcPr>
          <w:p>
            <w:r/>
            <w:r>
              <w:rPr>
                <w:rFonts w:ascii="Arial" w:hAnsi="Arial"/>
                <w:b/>
                <w:sz w:val="22"/>
              </w:rPr>
              <w:t>Recommended Channel</w:t>
            </w:r>
          </w:p>
        </w:tc>
        <w:tc>
          <w:tcPr>
            <w:tcW w:type="dxa" w:w="4680"/>
            <w:shd w:fill="FFFFFF"/>
          </w:tcPr>
          <w:p>
            <w:r/>
            <w:r>
              <w:rPr>
                <w:rFonts w:ascii="Arial" w:hAnsi="Arial"/>
                <w:b w:val="0"/>
                <w:sz w:val="22"/>
              </w:rPr>
              <w:t>Linkedin</w:t>
            </w:r>
          </w:p>
        </w:tc>
      </w:tr>
      <w:tr>
        <w:tc>
          <w:tcPr>
            <w:tcW w:type="dxa" w:w="4680"/>
            <w:shd w:fill="EAF4EE"/>
          </w:tcPr>
          <w:p>
            <w:r/>
            <w:r>
              <w:rPr>
                <w:rFonts w:ascii="Arial" w:hAnsi="Arial"/>
                <w:b/>
                <w:sz w:val="22"/>
              </w:rPr>
              <w:t>Kindora Prospect</w:t>
            </w:r>
          </w:p>
        </w:tc>
        <w:tc>
          <w:tcPr>
            <w:tcW w:type="dxa" w:w="4680"/>
            <w:shd w:fill="EAF4EE"/>
          </w:tcPr>
          <w:p>
            <w:r/>
            <w:r>
              <w:rPr>
                <w:rFonts w:ascii="Arial" w:hAnsi="Arial"/>
                <w:b w:val="0"/>
                <w:sz w:val="22"/>
              </w:rPr>
              <w:t>Yes — Champion</w:t>
            </w:r>
          </w:p>
        </w:tc>
      </w:tr>
      <w:tr>
        <w:tc>
          <w:tcPr>
            <w:tcW w:type="dxa" w:w="4680"/>
            <w:shd w:fill="FFFFFF"/>
          </w:tcPr>
          <w:p>
            <w:r/>
            <w:r>
              <w:rPr>
                <w:rFonts w:ascii="Arial" w:hAnsi="Arial"/>
                <w:b/>
                <w:sz w:val="22"/>
              </w:rPr>
              <w:t>Outdoorithm Invite Fit</w:t>
            </w:r>
          </w:p>
        </w:tc>
        <w:tc>
          <w:tcPr>
            <w:tcW w:type="dxa" w:w="4680"/>
            <w:shd w:fill="FFFFFF"/>
          </w:tcPr>
          <w:p>
            <w:r/>
            <w:r>
              <w:rPr>
                <w:rFonts w:ascii="Arial" w:hAnsi="Arial"/>
                <w:b w:val="0"/>
                <w:sz w:val="22"/>
              </w:rPr>
              <w:t>High</w:t>
            </w:r>
          </w:p>
        </w:tc>
      </w:tr>
    </w:tbl>
    <w:p>
      <w:r>
        <w:rPr>
          <w:rFonts w:ascii="Arial" w:hAnsi="Arial"/>
          <w:b/>
          <w:color w:val="2D6A4F"/>
          <w:sz w:val="28"/>
        </w:rPr>
        <w:t>Recommended Next Steps</w:t>
      </w:r>
    </w:p>
    <w:p>
      <w:r>
        <w:rPr>
          <w:rFonts w:ascii="Arial" w:hAnsi="Arial"/>
          <w:i/>
          <w:sz w:val="22"/>
        </w:rPr>
        <w:t>⚠️  Key Risk: Another cold outreach without prior engagement will feel transactional. The next touch should be social/organic (LinkedIn) rather than a direct ask.</w:t>
      </w:r>
    </w:p>
    <w:p>
      <w:pPr>
        <w:pStyle w:val="ListBullet"/>
      </w:pPr>
      <w:r>
        <w:rPr>
          <w:rFonts w:ascii="Arial" w:hAnsi="Arial"/>
          <w:sz w:val="22"/>
        </w:rPr>
        <w:t>2-3 LinkedIn touchpoints over 4-6 weeks: (1) engage with and comment on her recent posts about environmental justice using a short, informed comment; (2) share a 1-paragraph OC impact story tagging themes she cares about (not a public solicitation); (3) send a short LinkedIn message referencing her work at Patagonia and offering a 20-30 minute virtual impact conversation.</w:t>
      </w:r>
    </w:p>
    <w:p>
      <w:pPr>
        <w:pStyle w:val="ListBullet"/>
      </w:pPr>
      <w:r>
        <w:rPr>
          <w:rFonts w:ascii="Arial" w:hAnsi="Arial"/>
          <w:sz w:val="22"/>
        </w:rPr>
        <w:t>If she responds positively, follow with a concise personal email (2-4 paragraphs) tying OC outcomes to her equity priorities and inviting her to join a small founding-advisory call or pilot-site visit.</w:t>
      </w:r>
    </w:p>
    <w:p>
      <w:pPr>
        <w:pStyle w:val="ListBullet"/>
      </w:pPr>
      <w:r>
        <w:rPr>
          <w:rFonts w:ascii="Arial" w:hAnsi="Arial"/>
          <w:sz w:val="22"/>
        </w:rPr>
        <w:t>Aim for a monetary ask in 6-8 weeks after initial re-engagement, or sooner if the conversation warms quickly.</w:t>
      </w:r>
    </w:p>
    <w:p/>
    <w:p>
      <w:r>
        <w:rPr>
          <w:rFonts w:ascii="Arial" w:hAnsi="Arial"/>
          <w:sz w:val="22"/>
        </w:rPr>
        <w:t>Personalization angle: As Patagonia's Chief Impact and Communications Officer who centers environmental justice, frame OC as a practical extension of her mission: a pilot-tested program getting underserved youth into guided camping with measurable equity outcomes. Offer a founding-advisor role and a short site visit or data snapshot so her investment feels like strategic leverage, not a one-off charity.</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