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olor w:val="666666"/>
          <w:sz w:val="20"/>
        </w:rPr>
        <w:t>Prospect Profile</w:t>
      </w:r>
    </w:p>
    <w:p>
      <w:r>
        <w:rPr>
          <w:rFonts w:ascii="Arial" w:hAnsi="Arial"/>
          <w:b/>
          <w:color w:val="1A1A1A"/>
          <w:sz w:val="40"/>
        </w:rPr>
        <w:t>Kaz McGrath</w:t>
      </w:r>
    </w:p>
    <w:p>
      <w:r>
        <w:rPr>
          <w:rFonts w:ascii="Arial" w:hAnsi="Arial"/>
          <w:color w:val="2D6A4F"/>
          <w:sz w:val="24"/>
        </w:rPr>
        <w:t>Founder &amp; CEO, PLAI - Purpose led AI</w:t>
      </w:r>
    </w:p>
    <w:p/>
    <w:p>
      <w:r>
        <w:rPr>
          <w:rFonts w:ascii="Arial" w:hAnsi="Arial"/>
          <w:b/>
          <w:color w:val="2D6A4F"/>
          <w:sz w:val="28"/>
        </w:rPr>
        <w:t>Profile &amp; Contact</w:t>
      </w:r>
    </w:p>
    <w:tbl>
      <w:tblPr>
        <w:tblW w:type="auto" w:w="0"/>
        <w:jc w:val="center"/>
        <w:tblLayout w:type="autofit"/>
        <w:tblLook w:firstColumn="1" w:firstRow="1" w:lastColumn="0" w:lastRow="0" w:noHBand="0" w:noVBand="1" w:val="04A0"/>
      </w:tblPr>
      <w:tblGrid>
        <w:gridCol w:w="4680"/>
        <w:gridCol w:w="4680"/>
      </w:tblGrid>
      <w:tr>
        <w:tc>
          <w:tcPr>
            <w:tcW w:type="dxa" w:w="4680"/>
            <w:shd w:fill="EAF4EE"/>
          </w:tcPr>
          <w:p>
            <w:r/>
            <w:r>
              <w:rPr>
                <w:rFonts w:ascii="Arial" w:hAnsi="Arial"/>
                <w:b/>
                <w:sz w:val="22"/>
              </w:rPr>
              <w:t>Role</w:t>
            </w:r>
          </w:p>
        </w:tc>
        <w:tc>
          <w:tcPr>
            <w:tcW w:type="dxa" w:w="4680"/>
            <w:shd w:fill="EAF4EE"/>
          </w:tcPr>
          <w:p>
            <w:r/>
            <w:r>
              <w:rPr>
                <w:rFonts w:ascii="Arial" w:hAnsi="Arial"/>
                <w:b w:val="0"/>
                <w:sz w:val="22"/>
              </w:rPr>
              <w:t>Founder &amp; CEO, PLAI - Purpose led AI</w:t>
            </w:r>
          </w:p>
        </w:tc>
      </w:tr>
      <w:tr>
        <w:tc>
          <w:tcPr>
            <w:tcW w:type="dxa" w:w="4680"/>
            <w:shd w:fill="FFFFFF"/>
          </w:tcPr>
          <w:p>
            <w:r/>
            <w:r>
              <w:rPr>
                <w:rFonts w:ascii="Arial" w:hAnsi="Arial"/>
                <w:b/>
                <w:sz w:val="22"/>
              </w:rPr>
              <w:t>Email</w:t>
            </w:r>
          </w:p>
        </w:tc>
        <w:tc>
          <w:tcPr>
            <w:tcW w:type="dxa" w:w="4680"/>
            <w:shd w:fill="FFFFFF"/>
          </w:tcPr>
          <w:p>
            <w:r/>
            <w:r>
              <w:rPr>
                <w:rFonts w:ascii="Arial" w:hAnsi="Arial"/>
                <w:b w:val="0"/>
                <w:sz w:val="22"/>
              </w:rPr>
              <w:t>kaz@weareplai.com</w:t>
            </w:r>
          </w:p>
        </w:tc>
      </w:tr>
      <w:tr>
        <w:tc>
          <w:tcPr>
            <w:tcW w:type="dxa" w:w="4680"/>
            <w:shd w:fill="EAF4EE"/>
          </w:tcPr>
          <w:p>
            <w:r/>
            <w:r>
              <w:rPr>
                <w:rFonts w:ascii="Arial" w:hAnsi="Arial"/>
                <w:b/>
                <w:sz w:val="22"/>
              </w:rPr>
              <w:t>LinkedIn</w:t>
            </w:r>
          </w:p>
        </w:tc>
        <w:tc>
          <w:tcPr>
            <w:tcW w:type="dxa" w:w="4680"/>
            <w:shd w:fill="EAF4EE"/>
          </w:tcPr>
          <w:p>
            <w:r/>
            <w:r>
              <w:rPr>
                <w:rFonts w:ascii="Arial" w:hAnsi="Arial"/>
                <w:b w:val="0"/>
                <w:sz w:val="22"/>
              </w:rPr>
              <w:t>linkedin.com/in/kazmcgrath</w:t>
            </w:r>
          </w:p>
        </w:tc>
      </w:tr>
    </w:tbl>
    <w:p>
      <w:r>
        <w:rPr>
          <w:rFonts w:ascii="Arial" w:hAnsi="Arial"/>
          <w:b/>
          <w:color w:val="2D6A4F"/>
          <w:sz w:val="28"/>
        </w:rPr>
        <w:t>Background</w:t>
      </w:r>
    </w:p>
    <w:p>
      <w:r>
        <w:rPr>
          <w:rFonts w:ascii="Arial" w:hAnsi="Arial"/>
          <w:sz w:val="22"/>
        </w:rPr>
        <w:t>Kaz runs a global AI-for-impact agency that advises and trains nonprofits; she can both influence adoption among her clients and evaluate technical partners. She is more likely to be a channel partner or internal champion who can introduce Kindora to NGOs and fundraisers than a direct large-enterprise procurement buyer. Kaz is a mission-driven founder and senior nonprofit fundraiser/marketing leader. That background suggests a solid professional income and discretionary capacity in the mid-level donor range, but there's no clear evidence of significant personal liquid wealth (tech equity, FEC donations, or major business exit). Institutional fundraising achievements are strong signals of values and influence but do not translate to personal net worth.</w:t>
      </w:r>
    </w:p>
    <w:p>
      <w:r>
        <w:rPr>
          <w:rFonts w:ascii="Arial" w:hAnsi="Arial"/>
          <w:b/>
          <w:color w:val="2D6A4F"/>
          <w:sz w:val="28"/>
        </w:rPr>
        <w:t>Relationship Origin &amp; Status</w:t>
      </w:r>
    </w:p>
    <w:tbl>
      <w:tblPr>
        <w:tblW w:type="auto" w:w="0"/>
        <w:jc w:val="center"/>
        <w:tblLayout w:type="autofit"/>
        <w:tblLook w:firstColumn="1" w:firstRow="1" w:lastColumn="0" w:lastRow="0" w:noHBand="0" w:noVBand="1" w:val="04A0"/>
      </w:tblPr>
      <w:tblGrid>
        <w:gridCol w:w="4680"/>
        <w:gridCol w:w="4680"/>
      </w:tblGrid>
      <w:tr>
        <w:tc>
          <w:tcPr>
            <w:tcW w:type="dxa" w:w="4680"/>
            <w:shd w:fill="EAF4EE"/>
          </w:tcPr>
          <w:p>
            <w:r/>
            <w:r>
              <w:rPr>
                <w:rFonts w:ascii="Arial" w:hAnsi="Arial"/>
                <w:b/>
                <w:sz w:val="22"/>
              </w:rPr>
              <w:t>Proximity</w:t>
            </w:r>
          </w:p>
        </w:tc>
        <w:tc>
          <w:tcPr>
            <w:tcW w:type="dxa" w:w="4680"/>
            <w:shd w:fill="EAF4EE"/>
          </w:tcPr>
          <w:p>
            <w:r/>
            <w:r>
              <w:rPr>
                <w:rFonts w:ascii="Arial" w:hAnsi="Arial"/>
                <w:b w:val="0"/>
                <w:sz w:val="22"/>
              </w:rPr>
              <w:t>Warm (score 50) — Kaz and Justin operate in the same niche (AI + social impact + nonprofit fundraising). They appear to be peer founders w</w:t>
            </w:r>
          </w:p>
        </w:tc>
      </w:tr>
      <w:tr>
        <w:tc>
          <w:tcPr>
            <w:tcW w:type="dxa" w:w="4680"/>
            <w:shd w:fill="FFFFFF"/>
          </w:tcPr>
          <w:p>
            <w:r/>
            <w:r>
              <w:rPr>
                <w:rFonts w:ascii="Arial" w:hAnsi="Arial"/>
                <w:b/>
                <w:sz w:val="22"/>
              </w:rPr>
              <w:t>Familiarity</w:t>
            </w:r>
          </w:p>
        </w:tc>
        <w:tc>
          <w:tcPr>
            <w:tcW w:type="dxa" w:w="4680"/>
            <w:shd w:fill="FFFFFF"/>
          </w:tcPr>
          <w:p>
            <w:r/>
            <w:r>
              <w:rPr>
                <w:rFonts w:ascii="Arial" w:hAnsi="Arial"/>
                <w:b w:val="0"/>
                <w:sz w:val="22"/>
              </w:rPr>
              <w:t>Justin has a modest, know-them-but-not-close relationship with Kaz (familiarity 2) with one bidirectional LinkedIn thread in Oct 2025 — behaviorally this is an active weak tie that has gone largely inactive</w:t>
            </w:r>
          </w:p>
        </w:tc>
      </w:tr>
    </w:tbl>
    <w:p>
      <w:r>
        <w:rPr>
          <w:rFonts w:ascii="Arial" w:hAnsi="Arial"/>
          <w:b/>
          <w:color w:val="2D6A4F"/>
          <w:sz w:val="28"/>
        </w:rPr>
        <w:t>Communication Timeline</w:t>
      </w:r>
    </w:p>
    <w:p>
      <w:r>
        <w:rPr>
          <w:rFonts w:ascii="Arial" w:hAnsi="Arial"/>
          <w:b/>
          <w:sz w:val="22"/>
        </w:rPr>
        <w:t xml:space="preserve">Total touchpoints: </w:t>
      </w:r>
      <w:r>
        <w:rPr>
          <w:rFonts w:ascii="Arial" w:hAnsi="Arial"/>
          <w:b w:val="0"/>
          <w:sz w:val="22"/>
        </w:rPr>
        <w:t xml:space="preserve">1   </w:t>
      </w:r>
      <w:r>
        <w:rPr>
          <w:rFonts w:ascii="Arial" w:hAnsi="Arial"/>
          <w:b/>
          <w:sz w:val="22"/>
        </w:rPr>
        <w:t xml:space="preserve">Bidirectional: </w:t>
      </w:r>
      <w:r>
        <w:rPr>
          <w:rFonts w:ascii="Arial" w:hAnsi="Arial"/>
          <w:b w:val="0"/>
          <w:sz w:val="22"/>
        </w:rPr>
        <w:t xml:space="preserve">Yes   </w:t>
      </w:r>
      <w:r>
        <w:rPr>
          <w:rFonts w:ascii="Arial" w:hAnsi="Arial"/>
          <w:b/>
          <w:sz w:val="22"/>
        </w:rPr>
        <w:t xml:space="preserve">FEC Donations: </w:t>
      </w:r>
      <w:r>
        <w:rPr>
          <w:rFonts w:ascii="Arial" w:hAnsi="Arial"/>
          <w:b w:val="0"/>
          <w:sz w:val="22"/>
        </w:rPr>
        <w:t>$0</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D6A4F"/>
          </w:tcPr>
          <w:p>
            <w:r/>
            <w:r>
              <w:rPr>
                <w:rFonts w:ascii="Arial" w:hAnsi="Arial"/>
                <w:b/>
                <w:color w:val="FFFFFF"/>
                <w:sz w:val="20"/>
              </w:rPr>
              <w:t>Date</w:t>
            </w:r>
          </w:p>
        </w:tc>
        <w:tc>
          <w:tcPr>
            <w:tcW w:type="dxa" w:w="2340"/>
            <w:shd w:fill="2D6A4F"/>
          </w:tcPr>
          <w:p>
            <w:r/>
            <w:r>
              <w:rPr>
                <w:rFonts w:ascii="Arial" w:hAnsi="Arial"/>
                <w:b/>
                <w:color w:val="FFFFFF"/>
                <w:sz w:val="20"/>
              </w:rPr>
              <w:t>Channel</w:t>
            </w:r>
          </w:p>
        </w:tc>
        <w:tc>
          <w:tcPr>
            <w:tcW w:type="dxa" w:w="2340"/>
            <w:shd w:fill="2D6A4F"/>
          </w:tcPr>
          <w:p>
            <w:r/>
            <w:r>
              <w:rPr>
                <w:rFonts w:ascii="Arial" w:hAnsi="Arial"/>
                <w:b/>
                <w:color w:val="FFFFFF"/>
                <w:sz w:val="20"/>
              </w:rPr>
              <w:t>Direction</w:t>
            </w:r>
          </w:p>
        </w:tc>
        <w:tc>
          <w:tcPr>
            <w:tcW w:type="dxa" w:w="2340"/>
            <w:shd w:fill="2D6A4F"/>
          </w:tcPr>
          <w:p>
            <w:r/>
            <w:r>
              <w:rPr>
                <w:rFonts w:ascii="Arial" w:hAnsi="Arial"/>
                <w:b/>
                <w:color w:val="FFFFFF"/>
                <w:sz w:val="20"/>
              </w:rPr>
              <w:t>Summary</w:t>
            </w:r>
          </w:p>
        </w:tc>
      </w:tr>
      <w:tr>
        <w:tc>
          <w:tcPr>
            <w:tcW w:type="dxa" w:w="2340"/>
            <w:shd w:fill="EAF4EE"/>
          </w:tcPr>
          <w:p>
            <w:r/>
            <w:r>
              <w:rPr>
                <w:rFonts w:ascii="Arial" w:hAnsi="Arial"/>
                <w:b w:val="0"/>
                <w:sz w:val="20"/>
              </w:rPr>
              <w:t>Oct 10, 2025</w:t>
            </w:r>
          </w:p>
        </w:tc>
        <w:tc>
          <w:tcPr>
            <w:tcW w:type="dxa" w:w="2340"/>
          </w:tcPr>
          <w:p>
            <w:r/>
            <w:r>
              <w:rPr>
                <w:rFonts w:ascii="Arial" w:hAnsi="Arial"/>
                <w:b w:val="0"/>
                <w:sz w:val="20"/>
              </w:rPr>
              <w:t>Linkedin</w:t>
            </w:r>
          </w:p>
        </w:tc>
        <w:tc>
          <w:tcPr>
            <w:tcW w:type="dxa" w:w="2340"/>
          </w:tcPr>
          <w:p>
            <w:r/>
            <w:r>
              <w:rPr>
                <w:rFonts w:ascii="Arial" w:hAnsi="Arial"/>
                <w:b w:val="0"/>
                <w:sz w:val="20"/>
              </w:rPr>
              <w:t>Bidirectional</w:t>
            </w:r>
          </w:p>
        </w:tc>
        <w:tc>
          <w:tcPr>
            <w:tcW w:type="dxa" w:w="2340"/>
          </w:tcPr>
          <w:p>
            <w:r/>
            <w:r>
              <w:rPr>
                <w:rFonts w:ascii="Arial" w:hAnsi="Arial"/>
                <w:b w:val="0"/>
                <w:sz w:val="20"/>
              </w:rPr>
              <w:t>Hi Justin. Looking forward to hearing you speak at AIxImpact. Keen to connect - ...</w:t>
            </w:r>
          </w:p>
        </w:tc>
      </w:tr>
    </w:tbl>
    <w:p>
      <w:r>
        <w:rPr>
          <w:rFonts w:ascii="Arial" w:hAnsi="Arial"/>
          <w:b/>
          <w:color w:val="2D6A4F"/>
          <w:sz w:val="28"/>
        </w:rPr>
        <w:t>Key Relationship Strengths</w:t>
      </w:r>
    </w:p>
    <w:p>
      <w:pPr>
        <w:pStyle w:val="ListBullet"/>
      </w:pPr>
      <w:r>
        <w:rPr>
          <w:rFonts w:ascii="Arial" w:hAnsi="Arial"/>
          <w:sz w:val="22"/>
        </w:rPr>
        <w:t>Bidirectional communication established — this is not a cold relationship.</w:t>
      </w:r>
    </w:p>
    <w:p>
      <w:pPr>
        <w:pStyle w:val="ListBullet"/>
      </w:pPr>
      <w:r>
        <w:rPr>
          <w:rFonts w:ascii="Arial" w:hAnsi="Arial"/>
          <w:sz w:val="22"/>
        </w:rPr>
        <w:t>Strong topical/network overlap in AI for social impact and nonprofit fundraising</w:t>
      </w:r>
    </w:p>
    <w:p>
      <w:pPr>
        <w:pStyle w:val="ListBullet"/>
      </w:pPr>
      <w:r>
        <w:rPr>
          <w:rFonts w:ascii="Arial" w:hAnsi="Arial"/>
          <w:sz w:val="22"/>
        </w:rPr>
        <w:t>Mention PLAI's OpenAI forum membership or recent Fundraising.AI activities to show shared community ties</w:t>
      </w:r>
    </w:p>
    <w:p>
      <w:pPr>
        <w:pStyle w:val="ListBullet"/>
      </w:pPr>
      <w:r>
        <w:rPr>
          <w:rFonts w:ascii="Arial" w:hAnsi="Arial"/>
          <w:sz w:val="22"/>
        </w:rPr>
        <w:t>Reference Kaz’s work on the Ration Challenge / fundraising campaigns to acknowledge her fundraising expertise</w:t>
      </w:r>
    </w:p>
    <w:p/>
    <w:p>
      <w:r>
        <w:rPr>
          <w:rFonts w:ascii="Arial" w:hAnsi="Arial"/>
          <w:b/>
          <w:color w:val="2D6A4F"/>
          <w:sz w:val="28"/>
        </w:rPr>
        <w:t>Fundraising Assessment</w:t>
      </w:r>
    </w:p>
    <w:tbl>
      <w:tblPr>
        <w:tblW w:type="auto" w:w="0"/>
        <w:jc w:val="center"/>
        <w:tblLayout w:type="autofit"/>
        <w:tblLook w:firstColumn="1" w:firstRow="1" w:lastColumn="0" w:lastRow="0" w:noHBand="0" w:noVBand="1" w:val="04A0"/>
      </w:tblPr>
      <w:tblGrid>
        <w:gridCol w:w="4680"/>
        <w:gridCol w:w="4680"/>
      </w:tblGrid>
      <w:tr>
        <w:tc>
          <w:tcPr>
            <w:tcW w:type="dxa" w:w="4680"/>
            <w:shd w:fill="EAF4EE"/>
          </w:tcPr>
          <w:p>
            <w:r/>
            <w:r>
              <w:rPr>
                <w:rFonts w:ascii="Arial" w:hAnsi="Arial"/>
                <w:b/>
                <w:sz w:val="22"/>
              </w:rPr>
              <w:t>Ask Readiness</w:t>
            </w:r>
          </w:p>
        </w:tc>
        <w:tc>
          <w:tcPr>
            <w:tcW w:type="dxa" w:w="4680"/>
            <w:shd w:fill="EAF4EE"/>
          </w:tcPr>
          <w:p>
            <w:r/>
            <w:r>
              <w:rPr>
                <w:rFonts w:ascii="Arial" w:hAnsi="Arial"/>
                <w:b w:val="0"/>
                <w:sz w:val="22"/>
              </w:rPr>
              <w:t>Cultivate First (score 68)</w:t>
            </w:r>
          </w:p>
        </w:tc>
      </w:tr>
      <w:tr>
        <w:tc>
          <w:tcPr>
            <w:tcW w:type="dxa" w:w="4680"/>
            <w:shd w:fill="FFFFFF"/>
          </w:tcPr>
          <w:p>
            <w:r/>
            <w:r>
              <w:rPr>
                <w:rFonts w:ascii="Arial" w:hAnsi="Arial"/>
                <w:b/>
                <w:sz w:val="22"/>
              </w:rPr>
              <w:t>Personal Giving Capacity</w:t>
            </w:r>
          </w:p>
        </w:tc>
        <w:tc>
          <w:tcPr>
            <w:tcW w:type="dxa" w:w="4680"/>
            <w:shd w:fill="FFFFFF"/>
          </w:tcPr>
          <w:p>
            <w:r/>
            <w:r>
              <w:rPr>
                <w:rFonts w:ascii="Arial" w:hAnsi="Arial"/>
                <w:b w:val="0"/>
                <w:sz w:val="22"/>
              </w:rPr>
              <w:t>$1K–$10K</w:t>
            </w:r>
          </w:p>
        </w:tc>
      </w:tr>
      <w:tr>
        <w:tc>
          <w:tcPr>
            <w:tcW w:type="dxa" w:w="4680"/>
            <w:shd w:fill="EAF4EE"/>
          </w:tcPr>
          <w:p>
            <w:r/>
            <w:r>
              <w:rPr>
                <w:rFonts w:ascii="Arial" w:hAnsi="Arial"/>
                <w:b/>
                <w:sz w:val="22"/>
              </w:rPr>
              <w:t>Suggested Ask Range</w:t>
            </w:r>
          </w:p>
        </w:tc>
        <w:tc>
          <w:tcPr>
            <w:tcW w:type="dxa" w:w="4680"/>
            <w:shd w:fill="EAF4EE"/>
          </w:tcPr>
          <w:p>
            <w:r/>
            <w:r>
              <w:rPr>
                <w:rFonts w:ascii="Arial" w:hAnsi="Arial"/>
                <w:b w:val="0"/>
                <w:sz w:val="22"/>
              </w:rPr>
              <w:t>$1,000-$5,000 or pro‑bono PLAI partnership (10–20 hours) + smaller gift</w:t>
            </w:r>
          </w:p>
        </w:tc>
      </w:tr>
      <w:tr>
        <w:tc>
          <w:tcPr>
            <w:tcW w:type="dxa" w:w="4680"/>
            <w:shd w:fill="FFFFFF"/>
          </w:tcPr>
          <w:p>
            <w:r/>
            <w:r>
              <w:rPr>
                <w:rFonts w:ascii="Arial" w:hAnsi="Arial"/>
                <w:b/>
                <w:sz w:val="22"/>
              </w:rPr>
              <w:t>Recommended Channel</w:t>
            </w:r>
          </w:p>
        </w:tc>
        <w:tc>
          <w:tcPr>
            <w:tcW w:type="dxa" w:w="4680"/>
            <w:shd w:fill="FFFFFF"/>
          </w:tcPr>
          <w:p>
            <w:r/>
            <w:r>
              <w:rPr>
                <w:rFonts w:ascii="Arial" w:hAnsi="Arial"/>
                <w:b w:val="0"/>
                <w:sz w:val="22"/>
              </w:rPr>
              <w:t>Linkedin</w:t>
            </w:r>
          </w:p>
        </w:tc>
      </w:tr>
      <w:tr>
        <w:tc>
          <w:tcPr>
            <w:tcW w:type="dxa" w:w="4680"/>
            <w:shd w:fill="EAF4EE"/>
          </w:tcPr>
          <w:p>
            <w:r/>
            <w:r>
              <w:rPr>
                <w:rFonts w:ascii="Arial" w:hAnsi="Arial"/>
                <w:b/>
                <w:sz w:val="22"/>
              </w:rPr>
              <w:t>Kindora Prospect</w:t>
            </w:r>
          </w:p>
        </w:tc>
        <w:tc>
          <w:tcPr>
            <w:tcW w:type="dxa" w:w="4680"/>
            <w:shd w:fill="EAF4EE"/>
          </w:tcPr>
          <w:p>
            <w:r/>
            <w:r>
              <w:rPr>
                <w:rFonts w:ascii="Arial" w:hAnsi="Arial"/>
                <w:b w:val="0"/>
                <w:sz w:val="22"/>
              </w:rPr>
              <w:t>Yes — Champion</w:t>
            </w:r>
          </w:p>
        </w:tc>
      </w:tr>
      <w:tr>
        <w:tc>
          <w:tcPr>
            <w:tcW w:type="dxa" w:w="4680"/>
            <w:shd w:fill="FFFFFF"/>
          </w:tcPr>
          <w:p>
            <w:r/>
            <w:r>
              <w:rPr>
                <w:rFonts w:ascii="Arial" w:hAnsi="Arial"/>
                <w:b/>
                <w:sz w:val="22"/>
              </w:rPr>
              <w:t>Outdoorithm Invite Fit</w:t>
            </w:r>
          </w:p>
        </w:tc>
        <w:tc>
          <w:tcPr>
            <w:tcW w:type="dxa" w:w="4680"/>
            <w:shd w:fill="FFFFFF"/>
          </w:tcPr>
          <w:p>
            <w:r/>
            <w:r>
              <w:rPr>
                <w:rFonts w:ascii="Arial" w:hAnsi="Arial"/>
                <w:b w:val="0"/>
                <w:sz w:val="22"/>
              </w:rPr>
              <w:t>Medium</w:t>
            </w:r>
          </w:p>
        </w:tc>
      </w:tr>
    </w:tbl>
    <w:p>
      <w:r>
        <w:rPr>
          <w:rFonts w:ascii="Arial" w:hAnsi="Arial"/>
          <w:b/>
          <w:color w:val="2D6A4F"/>
          <w:sz w:val="28"/>
        </w:rPr>
        <w:t>Recommended Next Steps</w:t>
      </w:r>
    </w:p>
    <w:p>
      <w:r>
        <w:rPr>
          <w:rFonts w:ascii="Arial" w:hAnsi="Arial"/>
          <w:i/>
          <w:sz w:val="22"/>
        </w:rPr>
        <w:t>✅  Relationship is warm enough to move toward an ask — but frame as a founding partner, not just a donor.</w:t>
      </w:r>
    </w:p>
    <w:p>
      <w:pPr>
        <w:pStyle w:val="ListBullet"/>
      </w:pPr>
      <w:r>
        <w:rPr>
          <w:rFonts w:ascii="Arial" w:hAnsi="Arial"/>
          <w:sz w:val="22"/>
        </w:rPr>
        <w:t>2-3 LinkedIn touchpoints over 4-6 weeks: (1) engage and comment thoughtfully on Kaz's recent posts (AI for social impact), (2) share a short Outdoorithm impact story post tagging her (no ask), (3) send a concise LinkedIn DM referencing her Ration Challenge work and PLAI mission, offering a 20–30 minute exploratory chat about pro‑bono AI help to scale OC impact.</w:t>
      </w:r>
    </w:p>
    <w:p>
      <w:pPr>
        <w:pStyle w:val="ListBullet"/>
      </w:pPr>
      <w:r>
        <w:rPr>
          <w:rFonts w:ascii="Arial" w:hAnsi="Arial"/>
          <w:sz w:val="22"/>
        </w:rPr>
        <w:t>If the call is positive, follow with a personalized email within 1 week proposing two concrete partnership options (a $1k–$5k founding gift OR 10–20 hours of pro‑bono PLAI support plus a smaller gift).</w:t>
      </w:r>
    </w:p>
    <w:p>
      <w:pPr>
        <w:pStyle w:val="ListBullet"/>
      </w:pPr>
      <w:r>
        <w:rPr>
          <w:rFonts w:ascii="Arial" w:hAnsi="Arial"/>
          <w:sz w:val="22"/>
        </w:rPr>
        <w:t>Aim to make an ask in 6–8 weeks after the initial re‑engagement.</w:t>
      </w:r>
    </w:p>
    <w:p/>
    <w:p>
      <w:r>
        <w:rPr>
          <w:rFonts w:ascii="Arial" w:hAnsi="Arial"/>
          <w:sz w:val="22"/>
        </w:rPr>
        <w:t>Personalization angle: Frame OC as a hands‑on, design-forward nonprofit where her AI-for-good expertise can immediately multiply impact — pitch the opportunity as a short, high‑leverage partnership (pro‑bono product/strategy hours) that also offers the option to join as a founding donor to validate and scale early programming.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