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r>
        <w:rPr>
          <w:rFonts w:ascii="Arial" w:cs="Arial" w:eastAsia="Arial" w:hAnsi="Arial"/>
          <w:b/>
          <w:bCs/>
          <w:color w:val="0D7377"/>
          <w:sz w:val="56"/>
          <w:szCs w:val="56"/>
        </w:rPr>
        <w:t xml:space="preserve">KINDORA</w:t>
      </w:r>
    </w:p>
    <w:p>
      <w:pPr>
        <w:spacing w:after="200"/>
      </w:pP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none"/>
              <w:left w:val="none"/>
              <w:bottom w:val="single" w:color="0D7377" w:sz="4"/>
              <w:right w:val="none"/>
            </w:tcBorders>
          </w:tcPr>
          <w:p>
            <w:pPr>
              <w:spacing w:after="0"/>
            </w:pPr>
          </w:p>
        </w:tc>
      </w:tr>
    </w:tbl>
    <w:p>
      <w:pPr>
        <w:spacing w:after="300"/>
      </w:pPr>
    </w:p>
    <w:p>
      <w:r>
        <w:rPr>
          <w:rFonts w:ascii="Arial" w:cs="Arial" w:eastAsia="Arial" w:hAnsi="Arial"/>
          <w:color w:val="1A1A2E"/>
          <w:sz w:val="36"/>
          <w:szCs w:val="36"/>
        </w:rPr>
        <w:t xml:space="preserve">Strategy &amp; Operating Plan</w:t>
      </w:r>
    </w:p>
    <w:p>
      <w:pPr>
        <w:spacing w:after="60"/>
      </w:pPr>
    </w:p>
    <w:p>
      <w:r>
        <w:rPr>
          <w:rFonts w:ascii="Arial" w:cs="Arial" w:eastAsia="Arial" w:hAnsi="Arial"/>
          <w:color w:val="999999"/>
          <w:sz w:val="20"/>
          <w:szCs w:val="20"/>
        </w:rPr>
        <w:t xml:space="preserve">A Public Benefit Corporation  |  February 2026  |  Confidential</w:t>
      </w:r>
    </w:p>
    <w:p>
      <w:pPr>
        <w:sectPr>
          <w:pgSz w:w="12240" w:h="15840" w:orient="portrait"/>
          <w:pgMar w:top="1440" w:right="1440" w:bottom="1440" w:left="1440" w:header="708" w:footer="708" w:gutter="0"/>
          <w:pgNumType/>
          <w:docGrid w:linePitch="360"/>
        </w:sectPr>
      </w:pPr>
    </w:p>
    <w:p>
      <w:pPr>
        <w:pStyle w:val="Heading1"/>
      </w:pPr>
      <w:r>
        <w:t xml:space="preserve">The Thesis</w:t>
      </w:r>
    </w:p>
    <w:p>
      <w:pPr>
        <w:spacing w:after="200" w:line="300"/>
      </w:pPr>
      <w:r>
        <w:rPr>
          <w:rFonts w:ascii="Georgia" w:cs="Georgia" w:eastAsia="Georgia" w:hAnsi="Georgia"/>
          <w:color w:val="333333"/>
          <w:sz w:val="22"/>
          <w:szCs w:val="22"/>
        </w:rPr>
        <w:t xml:space="preserve">Philanthropy has a proximity problem. Americans have set aside $250 billion in donor-advised funds for charity, but much of it sits invested rather than moving as grants. Eighty percent of major donors give based on personal recommendations from someone they trust. Meanwhile, 77% of Black-led nonprofits operate on less than $500,000 a year. The money exists. The intent exists. What’s missing is a way for funders to find and trust the leaders closest to the problems.</w:t>
      </w:r>
    </w:p>
    <w:p>
      <w:pPr>
        <w:spacing w:after="200" w:line="300"/>
      </w:pPr>
      <w:r>
        <w:rPr>
          <w:rFonts w:ascii="Georgia" w:cs="Georgia" w:eastAsia="Georgia" w:hAnsi="Georgia"/>
          <w:color w:val="333333"/>
          <w:sz w:val="22"/>
          <w:szCs w:val="22"/>
        </w:rPr>
        <w:t xml:space="preserve">The donor networks that move capital are segregated by race, class, and geography. Wealthy donors recommend other wealthy donors’ favorite nonprofits. And the professional tools that could bridge the gap — funder databases, strategic research, grant writing support — cost $300–$500 a month with mandatory annual contracts, pricing out 85% of nonprofits. Disproportionately, the ones closest to the communities they serve.</w:t>
      </w:r>
    </w:p>
    <w:p>
      <w:pPr>
        <w:spacing w:after="200" w:line="300"/>
      </w:pPr>
      <w:r>
        <w:rPr>
          <w:rFonts w:ascii="Georgia" w:cs="Georgia" w:eastAsia="Georgia" w:hAnsi="Georgia"/>
          <w:color w:val="333333"/>
          <w:sz w:val="22"/>
          <w:szCs w:val="22"/>
        </w:rPr>
        <w:t xml:space="preserve">This is not just a moral failure. It is an effectiveness failure. Across public health, mental health, humanitarian response, and community development, solutions designed and led by people with direct experience of the problem consistently outperform alternatives designed by outsiders — but only under specific conditions: when those leaders also have real decision-making power, the skills to navigate institutions, enough resources, and genuine support from funders.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6"/>
              <w:bottom w:val="none"/>
              <w:right w:val="none"/>
            </w:tcBorders>
            <w:shd w:fill="FFF9EE" w:val="clear"/>
            <w:tcMar>
              <w:top w:type="dxa" w:w="200"/>
              <w:left w:type="dxa" w:w="300"/>
              <w:bottom w:type="dxa" w:w="200"/>
              <w:right w:type="dxa" w:w="200"/>
            </w:tcMar>
          </w:tcPr>
          <w:p>
            <w:pPr>
              <w:spacing w:after="100"/>
            </w:pPr>
            <w:r>
              <w:rPr>
                <w:rFonts w:ascii="Georgia" w:cs="Georgia" w:eastAsia="Georgia" w:hAnsi="Georgia"/>
                <w:b/>
                <w:bCs/>
                <w:color w:val="333333"/>
                <w:sz w:val="21"/>
                <w:szCs w:val="21"/>
              </w:rPr>
              <w:t xml:space="preserve">Sex worker community empowerment programs: </w:t>
            </w:r>
            <w:r>
              <w:rPr>
                <w:rFonts w:ascii="Georgia" w:cs="Georgia" w:eastAsia="Georgia" w:hAnsi="Georgia"/>
                <w:color w:val="333333"/>
                <w:sz w:val="21"/>
                <w:szCs w:val="21"/>
              </w:rPr>
              <w:t xml:space="preserve">32% reduction in HIV (OR 0.68), 39% reduction in gonorrhea (OR 0.61), 3x condom use (OR 3.27) vs. externally designed interventions (Kerrigan et al., 2014). </w:t>
            </w:r>
            <w:r>
              <w:rPr>
                <w:rFonts w:ascii="Georgia" w:cs="Georgia" w:eastAsia="Georgia" w:hAnsi="Georgia"/>
                <w:b/>
                <w:bCs/>
                <w:color w:val="333333"/>
                <w:sz w:val="21"/>
                <w:szCs w:val="21"/>
              </w:rPr>
              <w:t xml:space="preserve">Participatory self-help agencies: </w:t>
            </w:r>
            <w:r>
              <w:rPr>
                <w:rFonts w:ascii="Georgia" w:cs="Georgia" w:eastAsia="Georgia" w:hAnsi="Georgia"/>
                <w:color w:val="333333"/>
                <w:sz w:val="21"/>
                <w:szCs w:val="21"/>
              </w:rPr>
              <w:t xml:space="preserve">significant gains in empowerment (p=.008), self-efficacy (p&lt;.001), and social integration (p&lt;.001) vs. clinical services alone (Segal et al., 2010).</w:t>
            </w:r>
          </w:p>
        </w:tc>
      </w:tr>
    </w:tbl>
    <w:p>
      <w:pPr>
        <w:spacing w:after="50"/>
      </w:pPr>
    </w:p>
    <w:p>
      <w:pPr>
        <w:spacing w:after="200" w:line="300"/>
      </w:pPr>
      <w:r>
        <w:rPr>
          <w:rFonts w:ascii="Georgia" w:cs="Georgia" w:eastAsia="Georgia" w:hAnsi="Georgia"/>
          <w:color w:val="333333"/>
          <w:sz w:val="22"/>
          <w:szCs w:val="22"/>
        </w:rPr>
        <w:t xml:space="preserve">Kindora exists to close the gap between proximity and power — by giving the leaders closest to the problems the tools, information, and visibility that help them get funded.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0D7377" w:sz="2"/>
              <w:right w:val="none"/>
            </w:tcBorders>
          </w:tcPr>
          <w:p>
            <w:pPr>
              <w:spacing w:after="0"/>
            </w:pPr>
          </w:p>
        </w:tc>
      </w:tr>
    </w:tbl>
    <w:p>
      <w:pPr>
        <w:spacing w:after="80"/>
      </w:pPr>
    </w:p>
    <w:p>
      <w:pPr>
        <w:pStyle w:val="Heading1"/>
      </w:pPr>
      <w:r>
        <w:t xml:space="preserv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7377" w:sz="6"/>
              <w:bottom w:val="none"/>
              <w:right w:val="none"/>
            </w:tcBorders>
            <w:shd w:fill="F0F9F9" w:val="clear"/>
            <w:tcMar>
              <w:top w:type="dxa" w:w="200"/>
              <w:left w:type="dxa" w:w="300"/>
              <w:bottom w:type="dxa" w:w="200"/>
              <w:right w:type="dxa" w:w="200"/>
            </w:tcMar>
          </w:tcPr>
          <w:p>
            <w:pPr>
              <w:spacing w:after="80"/>
            </w:pPr>
            <w:r>
              <w:rPr>
                <w:rFonts w:ascii="Georgia" w:cs="Georgia" w:eastAsia="Georgia" w:hAnsi="Georgia"/>
                <w:i/>
                <w:iCs/>
                <w:color w:val="1A1A2E"/>
                <w:sz w:val="24"/>
                <w:szCs w:val="24"/>
              </w:rPr>
              <w:t xml:space="preserve">A world where proximity to the struggle </w:t>
            </w:r>
            <w:r>
              <w:rPr>
                <w:rFonts w:ascii="Georgia" w:cs="Georgia" w:eastAsia="Georgia" w:hAnsi="Georgia"/>
                <w:b/>
                <w:bCs/>
                <w:i/>
                <w:iCs/>
                <w:color w:val="1A1A2E"/>
                <w:sz w:val="24"/>
                <w:szCs w:val="24"/>
              </w:rPr>
              <w:t xml:space="preserve">— not proximity to power — </w:t>
            </w:r>
            <w:r>
              <w:rPr>
                <w:rFonts w:ascii="Georgia" w:cs="Georgia" w:eastAsia="Georgia" w:hAnsi="Georgia"/>
                <w:i/>
                <w:iCs/>
                <w:color w:val="1A1A2E"/>
                <w:sz w:val="24"/>
                <w:szCs w:val="24"/>
              </w:rPr>
              <w:t xml:space="preserve">determines who gets trusted, funded, and followed.</w:t>
            </w:r>
          </w:p>
        </w:tc>
      </w:tr>
    </w:tbl>
    <w:p>
      <w:pPr>
        <w:spacing w:after="80"/>
      </w:pPr>
    </w:p>
    <w:p>
      <w:pPr>
        <w:spacing w:after="200" w:line="300"/>
      </w:pPr>
      <w:r>
        <w:rPr>
          <w:rFonts w:ascii="Georgia" w:cs="Georgia" w:eastAsia="Georgia" w:hAnsi="Georgia"/>
          <w:color w:val="333333"/>
          <w:sz w:val="22"/>
          <w:szCs w:val="22"/>
        </w:rPr>
        <w:t xml:space="preserve">“Followed” is the key word. It means funders defer to the judgment of leaders who hold both deep proximity to the struggle and the fluency in systems of power required to convert community insight into population-level change. Kindora is the vehicle, not the destination.</w:t>
      </w:r>
    </w:p>
    <w:p>
      <w:pPr>
        <w:spacing w:after="80"/>
      </w:pPr>
    </w:p>
    <w:p>
      <w:pPr>
        <w:pStyle w:val="Heading1"/>
      </w:pPr>
      <w:r>
        <w:t xml:space="preserve">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7377" w:sz="6"/>
              <w:bottom w:val="none"/>
              <w:right w:val="none"/>
            </w:tcBorders>
            <w:shd w:fill="F0F9F9" w:val="clear"/>
            <w:tcMar>
              <w:top w:type="dxa" w:w="200"/>
              <w:left w:type="dxa" w:w="300"/>
              <w:bottom w:type="dxa" w:w="200"/>
              <w:right w:type="dxa" w:w="200"/>
            </w:tcMar>
          </w:tcPr>
          <w:p>
            <w:pPr>
              <w:spacing w:after="80"/>
            </w:pPr>
            <w:r>
              <w:rPr>
                <w:rFonts w:ascii="Georgia" w:cs="Georgia" w:eastAsia="Georgia" w:hAnsi="Georgia"/>
                <w:i/>
                <w:iCs/>
                <w:color w:val="1A1A2E"/>
                <w:sz w:val="24"/>
                <w:szCs w:val="24"/>
              </w:rPr>
              <w:t xml:space="preserve">Kindora uses AI to give every nonprofit the funder research, connections, and strategic guidance that used to be reserved for organizations with the right connections.</w:t>
            </w:r>
          </w:p>
        </w:tc>
      </w:tr>
    </w:tbl>
    <w:p>
      <w:pPr>
        <w:spacing w:after="80"/>
      </w:pPr>
    </w:p>
    <w:p>
      <w:pPr>
        <w:spacing w:after="200" w:line="300"/>
      </w:pPr>
      <w:r>
        <w:rPr>
          <w:rFonts w:ascii="Georgia" w:cs="Georgia" w:eastAsia="Georgia" w:hAnsi="Georgia"/>
          <w:color w:val="333333"/>
          <w:sz w:val="22"/>
          <w:szCs w:val="22"/>
        </w:rPr>
        <w:t xml:space="preserve">Kindora is a Delaware Public Benefit Corporation. Our charter mission, filed with the state, is: </w:t>
      </w:r>
      <w:r>
        <w:rPr>
          <w:rFonts w:ascii="Georgia" w:cs="Georgia" w:eastAsia="Georgia" w:hAnsi="Georgia"/>
          <w:i/>
          <w:iCs/>
          <w:color w:val="333333"/>
          <w:sz w:val="22"/>
          <w:szCs w:val="22"/>
        </w:rPr>
        <w:t xml:space="preserve">to democratize philanthropic giving to under-resourced nonprofits. </w:t>
      </w:r>
      <w:r>
        <w:rPr>
          <w:rFonts w:ascii="Georgia" w:cs="Georgia" w:eastAsia="Georgia" w:hAnsi="Georgia"/>
          <w:color w:val="333333"/>
          <w:sz w:val="22"/>
          <w:szCs w:val="22"/>
        </w:rPr>
        <w:t xml:space="preserve">This is a legal commitment, not a tagline.</w:t>
      </w:r>
    </w:p>
    <w:p>
      <w:pPr>
        <w:spacing w:after="200" w:line="300"/>
      </w:pPr>
      <w:r>
        <w:rPr>
          <w:rFonts w:ascii="Georgia" w:cs="Georgia" w:eastAsia="Georgia" w:hAnsi="Georgia"/>
          <w:color w:val="333333"/>
          <w:sz w:val="22"/>
          <w:szCs w:val="22"/>
        </w:rPr>
        <w:t xml:space="preserve">We serve the 85% of nonprofits priced out of professional fundraising tools. In practice, this means three things. First, we give leaders closest to the work the funder research, grant writing help, and network maps that help them navigate the institutions that control funding — not just serve communities within them. Second, we return time to mission: fundraisers spend up to 60% of their hours on manual prospecting, data work, and application formatting. Kindora automates the exhausting parts so those hours go back to building relationships and running programs. Third, we build the skills that having the right connections used to be the only way to develop — including AI-powered pitch practice that lets nonprofit leaders rehearse real funder conversations, get coached on their delivery, and learn to talk about their work in the language that gets it funded.</w:t>
      </w:r>
    </w:p>
    <w:p>
      <w:pPr>
        <w:spacing w:after="80"/>
      </w:pPr>
    </w:p>
    <w:p>
      <w:pPr>
        <w:pStyle w:val="Heading1"/>
      </w:pPr>
      <w:r>
        <w:t xml:space="preserve">Values</w:t>
      </w:r>
    </w:p>
    <w:p>
      <w:pPr>
        <w:spacing w:after="200" w:line="300"/>
      </w:pPr>
      <w:r>
        <w:rPr>
          <w:rFonts w:ascii="Georgia" w:cs="Georgia" w:eastAsia="Georgia" w:hAnsi="Georgia"/>
          <w:color w:val="333333"/>
          <w:sz w:val="22"/>
          <w:szCs w:val="22"/>
        </w:rPr>
        <w:t xml:space="preserve">These are operating constraints, not aspirations. Every product feature, pricing decision, and partnership should be testable against them.</w:t>
      </w:r>
    </w:p>
    <w:p>
      <w:pPr>
        <w:pStyle w:val="Heading3"/>
      </w:pPr>
      <w:r>
        <w:t xml:space="preserve">Proximity</w:t>
      </w:r>
    </w:p>
    <w:p>
      <w:pPr>
        <w:spacing w:after="200" w:line="300"/>
      </w:pPr>
      <w:r>
        <w:rPr>
          <w:rFonts w:ascii="Georgia" w:cs="Georgia" w:eastAsia="Georgia" w:hAnsi="Georgia"/>
          <w:color w:val="333333"/>
          <w:sz w:val="22"/>
          <w:szCs w:val="22"/>
        </w:rPr>
        <w:t xml:space="preserve">The people closest to a problem usually understand it best. But understanding a problem is not the same as having the power to fix it at scale. The leaders we are built to serve combine deep knowledge of the problem with the ability to work the systems — government, philanthropy, policy — that need to move for solutions to reach everyone who needs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6"/>
              <w:bottom w:val="none"/>
              <w:right w:val="none"/>
            </w:tcBorders>
            <w:shd w:fill="FFF9EE" w:val="clear"/>
            <w:tcMar>
              <w:top w:type="dxa" w:w="200"/>
              <w:left w:type="dxa" w:w="300"/>
              <w:bottom w:type="dxa" w:w="200"/>
              <w:right w:type="dxa" w:w="200"/>
            </w:tcMar>
          </w:tcPr>
          <w:p>
            <w:pPr>
              <w:spacing w:after="100"/>
            </w:pPr>
            <w:r>
              <w:rPr>
                <w:rFonts w:ascii="Georgia" w:cs="Georgia" w:eastAsia="Georgia" w:hAnsi="Georgia"/>
                <w:b/>
                <w:bCs/>
                <w:color w:val="333333"/>
                <w:sz w:val="21"/>
                <w:szCs w:val="21"/>
              </w:rPr>
              <w:t xml:space="preserve">Important caveat: </w:t>
            </w:r>
            <w:r>
              <w:rPr>
                <w:rFonts w:ascii="Georgia" w:cs="Georgia" w:eastAsia="Georgia" w:hAnsi="Georgia"/>
                <w:color w:val="333333"/>
                <w:sz w:val="21"/>
                <w:szCs w:val="21"/>
              </w:rPr>
              <w:t xml:space="preserve">A 2011 study found that programs where people with lived experience were hired as staff but given no real authority produced worse outcomes than professional services alone (Segal et al., 2011). Having lived experience in the room is not enough. The people with that experience need actual decision-making power.</w:t>
            </w:r>
          </w:p>
        </w:tc>
      </w:tr>
    </w:tbl>
    <w:p>
      <w:pPr>
        <w:spacing w:after="50"/>
      </w:pPr>
    </w:p>
    <w:p>
      <w:pPr>
        <w:pStyle w:val="Heading3"/>
      </w:pPr>
      <w:r>
        <w:t xml:space="preserve">Trust</w:t>
      </w:r>
    </w:p>
    <w:p>
      <w:pPr>
        <w:spacing w:after="200" w:line="300"/>
      </w:pPr>
      <w:r>
        <w:rPr>
          <w:rFonts w:ascii="Georgia" w:cs="Georgia" w:eastAsia="Georgia" w:hAnsi="Georgia"/>
          <w:color w:val="333333"/>
          <w:sz w:val="22"/>
          <w:szCs w:val="22"/>
        </w:rPr>
        <w:t xml:space="preserve">Wealthy donors get recommendations from other wealthy people. The same few hundred nonprofits get funded while thousands of grassroots organizations remain invisible — not because they lack impact, but because no one in the funder’s world has heard of them. Kindora builds new connections by making these organizations’ work visible to funders who would never have found them through their existing networks.</w:t>
      </w:r>
    </w:p>
    <w:p>
      <w:pPr>
        <w:pStyle w:val="Heading3"/>
      </w:pPr>
      <w:r>
        <w:t xml:space="preserve">Dignity</w:t>
      </w:r>
    </w:p>
    <w:p>
      <w:pPr>
        <w:spacing w:after="200" w:line="300"/>
      </w:pPr>
      <w:r>
        <w:rPr>
          <w:rFonts w:ascii="Georgia" w:cs="Georgia" w:eastAsia="Georgia" w:hAnsi="Georgia"/>
          <w:color w:val="333333"/>
          <w:sz w:val="22"/>
          <w:szCs w:val="22"/>
        </w:rPr>
        <w:t xml:space="preserve">Fundraising should not require performing poverty or proving worthiness. Our tools treat every nonprofit as a peer, not a supplicant.</w:t>
      </w:r>
    </w:p>
    <w:p>
      <w:pPr>
        <w:pStyle w:val="Heading3"/>
      </w:pPr>
      <w:r>
        <w:t xml:space="preserve">Access</w:t>
      </w:r>
    </w:p>
    <w:p>
      <w:pPr>
        <w:spacing w:after="200" w:line="300"/>
      </w:pPr>
      <w:r>
        <w:rPr>
          <w:rFonts w:ascii="Georgia" w:cs="Georgia" w:eastAsia="Georgia" w:hAnsi="Georgia"/>
          <w:color w:val="333333"/>
          <w:sz w:val="22"/>
          <w:szCs w:val="22"/>
        </w:rPr>
        <w:t xml:space="preserve">Professional fundraising tools should not be a luxury. We maintain a permanent free tier, price paid plans at a fraction of the market, and never require annual contracts. The 85% of nonprofits priced out of professional tools are disproportionately the organizations closest to the communities they serve. Charging $300–$500 a month keeps out exactly the people who need these tools most.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0D7377" w:sz="2"/>
              <w:right w:val="none"/>
            </w:tcBorders>
          </w:tcPr>
          <w:p>
            <w:pPr>
              <w:spacing w:after="0"/>
            </w:pPr>
          </w:p>
        </w:tc>
      </w:tr>
    </w:tbl>
    <w:p>
      <w:pPr>
        <w:spacing w:after="80"/>
      </w:pPr>
    </w:p>
    <w:p>
      <w:pPr>
        <w:pStyle w:val="Heading1"/>
      </w:pPr>
      <w:r>
        <w:t xml:space="preserve">The Evidence Base</w:t>
      </w:r>
    </w:p>
    <w:p>
      <w:pPr>
        <w:spacing w:after="200" w:line="300"/>
      </w:pPr>
      <w:r>
        <w:rPr>
          <w:rFonts w:ascii="Georgia" w:cs="Georgia" w:eastAsia="Georgia" w:hAnsi="Georgia"/>
          <w:color w:val="333333"/>
          <w:sz w:val="22"/>
          <w:szCs w:val="22"/>
        </w:rPr>
        <w:t xml:space="preserve">The case for proximity is both moral and practical. But the practical case has conditions. Here is an honest account of where closeness to the problem delivers — and where it fails.</w:t>
      </w:r>
    </w:p>
    <w:p>
      <w:pPr>
        <w:pStyle w:val="Heading2"/>
      </w:pPr>
      <w:r>
        <w:t xml:space="preserve">Where Closeness to the Problem Delivers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Reaching hidden populations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Peer HIV education: 2x knowledge (OR 2.28), 2x condom use (OR 1.92), 63% reduction in equipment sharing (OR 0.37)</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Medley et al., 2009 (meta-analysis, 30 studies)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Solutions communities adopt</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Sex worker community empowerment: 32% reduction in HIV, 47% reduction in syphilis, 3x condom use</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Kerrigan et al., 2014 (systematic review)</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Agency and recovery</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Participatory self-help agencies: significant gains in empowerment, self-efficacy, social integration vs. clinical services alone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Segal et al., 2010 (RCT, n=1,042)</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Service accountability</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Community-led monitoring: improved access, staff attitudes, supply chains, care re-engagement</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Chinoona et al., 2025 (Zimbabwe program data)</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Indigenous health</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 health worker–led chronic care: reduced HbA1c more than usual care in remote communities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Cluster RCT, Indigenous communities</w:t>
            </w:r>
          </w:p>
        </w:tc>
      </w:tr>
    </w:tbl>
    <w:p>
      <w:pPr>
        <w:spacing w:after="80"/>
      </w:pPr>
    </w:p>
    <w:p>
      <w:pPr>
        <w:pStyle w:val="Heading2"/>
      </w:pPr>
      <w:r>
        <w:t xml:space="preserve">Where Closeness to the Problem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What It Means for Kindora</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Closeness without power</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Programs that hired people with lived experience but gave them no authority produced worse outcomes than professional services alone (Segal, 2011)</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Putting community members on staff is not enough. Design for real decision-making power.</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Efficiency without independence</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Humanitarian aid moved faster through local organizations but showed little evidence of those organizations gaining real power (McGrath et al., 2025)</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If foundations buy licenses but keep all the decisions, we’ve built a prettier version of the status quo.</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Gains that disappear when funding ends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Ford BUILD: flexible funding built resilience, but gains vanished when the money stopped. Same pattern in community-led monitoring.</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Our value is helping organizations diversify their funding, not depend on one source. Build lasting infrastructure.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wrong locals grab the power</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Community-driven development: just having participation doesn’t overcome existing hierarchies within communities (Mansuri &amp; Rao, 2013)</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Closeness to the struggle must include the people furthest from power within their own communities, not just local elites.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 impact that doesn’t scale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Community-level programs show strong local results but rarely produce lasting institutional change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Being close to the problem gives you the diagnosis. Knowing how to work the institutions gives you the ability to fix it at scale.</w:t>
            </w:r>
          </w:p>
        </w:tc>
      </w:tr>
    </w:tbl>
    <w:p>
      <w:pPr>
        <w:spacing w:after="80"/>
      </w:pPr>
    </w:p>
    <w:p>
      <w:pPr>
        <w:pStyle w:val="Heading2"/>
      </w:pPr>
      <w:r>
        <w:t xml:space="preserve">The Conditional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7377" w:sz="6"/>
              <w:bottom w:val="none"/>
              <w:right w:val="none"/>
            </w:tcBorders>
            <w:shd w:fill="F0F9F9" w:val="clear"/>
            <w:tcMar>
              <w:top w:type="dxa" w:w="200"/>
              <w:left w:type="dxa" w:w="300"/>
              <w:bottom w:type="dxa" w:w="200"/>
              <w:right w:type="dxa" w:w="200"/>
            </w:tcMar>
          </w:tcPr>
          <w:p>
            <w:pPr>
              <w:spacing w:after="80"/>
            </w:pPr>
            <w:r>
              <w:rPr>
                <w:rFonts w:ascii="Georgia" w:cs="Georgia" w:eastAsia="Georgia" w:hAnsi="Georgia"/>
                <w:i/>
                <w:iCs/>
                <w:color w:val="1A1A2E"/>
                <w:sz w:val="24"/>
                <w:szCs w:val="24"/>
              </w:rPr>
              <w:t xml:space="preserve">Proximity alone is not enough. Solutions led by people with lived experience outperform outside-designed alternatives when those leaders also have real decision-making power, the skills to work within the systems that need to change, enough resources to execute, and genuine accountability to the communities they serve.</w:t>
            </w:r>
          </w:p>
        </w:tc>
      </w:tr>
    </w:tbl>
    <w:p>
      <w:pPr>
        <w:spacing w:after="50"/>
      </w:pPr>
    </w:p>
    <w:p>
      <w:pPr>
        <w:pStyle w:val="Heading3"/>
      </w:pPr>
      <w:r>
        <w:t xml:space="preserve">The Leaders We’re Built For</w:t>
      </w:r>
    </w:p>
    <w:p>
      <w:pPr>
        <w:spacing w:after="200" w:line="300"/>
      </w:pPr>
      <w:r>
        <w:rPr>
          <w:rFonts w:ascii="Georgia" w:cs="Georgia" w:eastAsia="Georgia" w:hAnsi="Georgia"/>
          <w:color w:val="333333"/>
          <w:sz w:val="22"/>
          <w:szCs w:val="22"/>
        </w:rPr>
        <w:t xml:space="preserve">There is a naive version of the proximity argument: find the person closest to the problem and fund them. Full stop. This version fails. A community leader with deep lived experience who cannot navigate a legislative hearing, build a coalition, or communicate to institutional funders will do good work in her neighborhood. She will not make it systemic.</w:t>
      </w:r>
    </w:p>
    <w:p>
      <w:pPr>
        <w:spacing w:after="200" w:line="300"/>
      </w:pPr>
      <w:r>
        <w:rPr>
          <w:rFonts w:ascii="Georgia" w:cs="Georgia" w:eastAsia="Georgia" w:hAnsi="Georgia"/>
          <w:color w:val="333333"/>
          <w:sz w:val="22"/>
          <w:szCs w:val="22"/>
        </w:rPr>
        <w:t xml:space="preserve">The leaders Kindora is built for are bridges: people who have watched families fall through intake cracks for fifteen years and know how to write the policy memo that changes the intake system. Their closeness to the problem gives them the diagnosis. Their ability to work within institutions gives them the ability to fix it at scale. The current system selects for institutional skill without closeness to the problem. The fix is not to select for closeness without institutional skill. It is to support the leaders who have both — and to help those who have the diagnosis build the skills to make it move money.</w:t>
      </w:r>
    </w:p>
    <w:p>
      <w:pPr>
        <w:spacing w:after="200" w:line="300"/>
      </w:pPr>
      <w:r>
        <w:rPr>
          <w:rFonts w:ascii="Georgia" w:cs="Georgia" w:eastAsia="Georgia" w:hAnsi="Georgia"/>
          <w:color w:val="333333"/>
          <w:sz w:val="22"/>
          <w:szCs w:val="22"/>
        </w:rPr>
        <w:t xml:space="preserve">This is not abstract. It is built into the product. Kindora’s network mapping tools let nonprofits trace connections to funders through board and staff overlap. Our contact enrichment reveals the people behind foundations — their backgrounds, interests, and email addresses. And our AI pitch practice feature lets nonprofit leaders rehearse real funder conversations in voice, practicing with AI personas built from actual funder data: their giving history, priorities, known concerns, and communication style. After each session, an AI coach scores the pitch across eight dimensions and gives specific feedback on what landed and what to sharpen. There is an art to communicating in rooms where money moves. We are closing the gap between knowing the work and being able to talk about it in ways that get it funded.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0D7377" w:sz="2"/>
              <w:right w:val="none"/>
            </w:tcBorders>
          </w:tcPr>
          <w:p>
            <w:pPr>
              <w:spacing w:after="0"/>
            </w:pPr>
          </w:p>
        </w:tc>
      </w:tr>
    </w:tbl>
    <w:p>
      <w:pPr>
        <w:spacing w:after="80"/>
      </w:pPr>
    </w:p>
    <w:p>
      <w:pPr>
        <w:pStyle w:val="Heading1"/>
      </w:pPr>
      <w:r>
        <w:t xml:space="preserve">Brand Position</w:t>
      </w:r>
    </w:p>
    <w:p>
      <w:pPr>
        <w:spacing w:after="200" w:line="300"/>
      </w:pPr>
      <w:r>
        <w:rPr>
          <w:rFonts w:ascii="Georgia" w:cs="Georgia" w:eastAsia="Georgia" w:hAnsi="Georgia"/>
          <w:b/>
          <w:bCs/>
          <w:color w:val="333333"/>
          <w:sz w:val="22"/>
          <w:szCs w:val="22"/>
        </w:rPr>
        <w:t xml:space="preserve">Every week, Kindora delivers the grants that fit your organization, are open for applications right now, and are realistic to win. </w:t>
      </w:r>
      <w:r>
        <w:rPr>
          <w:rFonts w:ascii="Georgia" w:cs="Georgia" w:eastAsia="Georgia" w:hAnsi="Georgia"/>
          <w:color w:val="333333"/>
          <w:sz w:val="22"/>
          <w:szCs w:val="22"/>
        </w:rPr>
        <w:t xml:space="preserve">Then it makes the path from discovery to submission fast: deep funder research in one click, a grant draft grounded in what that specific funder cares about, a network map showing who on your board connects to the foundation, and AI pitch practice with a coach built on real funder data. The whole journey from “here’s an opportunity” to “here’s a strong application” collapses from weeks to hours.</w:t>
      </w:r>
    </w:p>
    <w:p>
      <w:pPr>
        <w:spacing w:after="200" w:line="300"/>
      </w:pPr>
      <w:r>
        <w:rPr>
          <w:rFonts w:ascii="Georgia" w:cs="Georgia" w:eastAsia="Georgia" w:hAnsi="Georgia"/>
          <w:b/>
          <w:bCs/>
          <w:color w:val="333333"/>
          <w:sz w:val="22"/>
          <w:szCs w:val="22"/>
        </w:rPr>
        <w:t xml:space="preserve">The weekly match is the hook. The submission pipeline is the product. </w:t>
      </w:r>
      <w:r>
        <w:rPr>
          <w:rFonts w:ascii="Georgia" w:cs="Georgia" w:eastAsia="Georgia" w:hAnsi="Georgia"/>
          <w:color w:val="333333"/>
          <w:sz w:val="22"/>
          <w:szCs w:val="22"/>
        </w:rPr>
        <w:t xml:space="preserve">Nonprofits come because they need to find who funds their work — reliably, every week, without spending $300/month on a database. They stay because going after those opportunities gets radically easier. </w:t>
      </w:r>
      <w:r>
        <w:rPr>
          <w:rFonts w:ascii="Georgia" w:cs="Georgia" w:eastAsia="Georgia" w:hAnsi="Georgia"/>
          <w:b/>
          <w:bCs/>
          <w:color w:val="333333"/>
          <w:sz w:val="22"/>
          <w:szCs w:val="22"/>
        </w:rPr>
        <w:t xml:space="preserve">Unlike </w:t>
      </w:r>
      <w:r>
        <w:rPr>
          <w:rFonts w:ascii="Georgia" w:cs="Georgia" w:eastAsia="Georgia" w:hAnsi="Georgia"/>
          <w:color w:val="333333"/>
          <w:sz w:val="22"/>
          <w:szCs w:val="22"/>
        </w:rPr>
        <w:t xml:space="preserve">Instrumentl and Candid, Kindora starts at $0, requires no annual contract, and is built to change behavior: not “search when you have time” but “act on the best opportunities every week.”</w:t>
      </w:r>
    </w:p>
    <w:p>
      <w:pPr>
        <w:pStyle w:val="Heading2"/>
      </w:pPr>
      <w:r>
        <w:t xml:space="preserve">What Gets Us In the Door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Lever</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Honest Assessment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weekly matching</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 scrape 50,000 funder URLs every week, parse open/closed status, extract eligibility and deadlines, and match against each org’s profile. Users get a weekly feed of grants that fit them and are open right now.</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This is our sharpest wedge. It changes behavior from “search when you have time” to “act on what landed this week.” The scraping infrastructure is genuinely hard to replicate — Instrumentl has it with a team of 100+. We do it with two founders. But scraping alone isn’t the defense; the defense is what we learn from what people do with the matches.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Submission pipeline (not a feature list)</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Matching is useless if acting on it takes weeks. Each match connects to: one-click funder research, a draft grounded in that funder’s priorities, a network map showing warm connections, and pitch practice. The full path from discovery to submission collapses from weeks to hours.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Competitors could build any individual feature. The integrated pipeline — where matching feeds research feeds drafting feeds network mapping — is harder to assemble and harder to make seamless. And it’s what foundations are actually buying for their grantees.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Pricing that removes barriers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free tier, $25/mo entry, no annual contracts. 88–92% cheaper than competitors.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Great for the 85% who can’t afford existing tools. But being cheapest is not a long-term defense — competitors can cut prices, and AI makes basic research and drafting cheaper every month.</w:t>
            </w:r>
          </w:p>
        </w:tc>
      </w:tr>
    </w:tbl>
    <w:p>
      <w:pPr>
        <w:spacing w:after="80"/>
      </w:pPr>
    </w:p>
    <w:p>
      <w:pPr>
        <w:pStyle w:val="Heading2"/>
      </w:pPr>
      <w:r>
        <w:t xml:space="preserve">What Keeps Us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Why It’s Hard to Copy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opportunity graph</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 scrape 50,000 funder URLs weekly. We parse open/closed status, eligibility requirements, deadlines, and funding priorities. We structure this into a live opportunity feed matched to each organization’s profile. This is not a static database — it’s a weekly pulse of what’s available right now.</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Building and maintaining this pipeline is expensive, tedious, and operationally complex. Instrumentl does something similar with 100+ staff. We do it with two founders and AI. The scraping is the fuel. What makes it defensible is the matching intelligence we build on top: as users pursue, ignore, apply, and report outcomes, the matches get better every cycle.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 learn what actually wins grants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 time a user applies for a grant and reports the result, we get smarter. Over time, we build a dataset of which funders fund what, how long they take, what they respond to, and what kinds of organizations win. No one else has this.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You can’t download this from the internet. It takes thousands of organizations using the platform over years. The more people use Kindora, the better the predictions get. This is data AI agents will want to access, not replace.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 map who trusts whom</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Our network mapping shows how nonprofit boards and staff connect to foundation boards and staff. Our pitch practice is built on real funder data. Together, these help nonprofits find the person who can open the door — and practice what to say when it opens.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When AI makes every application look polished, the scarce thing becomes: does the funder know you? Has someone vouched for your work? Can you speak their language? That’s what we help build. No public database captures it.</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Foundations are our sales channel</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Foundations buy Kindora access for all their grantees as a capacity-building investment. One sale brings 40–80 organizations onto the platform. It becomes a budget line item that renews annually.</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Justin spent a decade as the buyer at Google.org, directing $700M in grants. He knows what program officers need because he was one. The relationships, the credibility, and the understanding of what foundations actually buy — a competitor would need years to build this.</w:t>
            </w:r>
          </w:p>
        </w:tc>
      </w:tr>
    </w:tbl>
    <w:p>
      <w:pPr>
        <w:spacing w:after="200" w:line="300"/>
      </w:pPr>
      <w:r>
        <w:rPr>
          <w:rFonts w:ascii="Georgia" w:cs="Georgia" w:eastAsia="Georgia" w:hAnsi="Georgia"/>
          <w:color w:val="333333"/>
          <w:sz w:val="22"/>
          <w:szCs w:val="22"/>
        </w:rPr>
        <w:t xml:space="preserve">In one sentence: Kindora’s real advantage is the combination of a live opportunity feed no one else maintains at our price point, a growing dataset of what actually wins, a relationship map that helps people find warm paths to funders, and a foundation sales channel that brings hundreds of organizations onto the platform at once. Any one piece is useful. Together they compound.</w:t>
      </w:r>
    </w:p>
    <w:p>
      <w:pPr>
        <w:spacing w:after="80"/>
      </w:pPr>
    </w:p>
    <w:p>
      <w:pPr>
        <w:pStyle w:val="Heading2"/>
      </w:pPr>
      <w: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872"/>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Kindora</w:t>
            </w:r>
          </w:p>
        </w:tc>
        <w:tc>
          <w:tcPr>
            <w:tcW w:type="dxa" w:w="1872"/>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Instrumentl</w:t>
            </w:r>
          </w:p>
        </w:tc>
        <w:tc>
          <w:tcPr>
            <w:tcW w:type="dxa" w:w="1872"/>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Candid</w:t>
            </w:r>
          </w:p>
        </w:tc>
        <w:tc>
          <w:tcPr>
            <w:tcW w:type="dxa" w:w="1872"/>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GrantStation</w:t>
            </w:r>
          </w:p>
        </w:tc>
      </w:tr>
      <w:tr>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Entry price</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forever</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$299/mo</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$37/mo (annual)</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$95–199/yr (annual)</w:t>
            </w:r>
          </w:p>
        </w:tc>
      </w:tr>
      <w:tr>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Matching model</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Real-time weekly feed: 50K URLs scraped, open-now opportunities pushed to you</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Database search (user pulls)</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Database search</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Database search</w:t>
            </w:r>
          </w:p>
        </w:tc>
      </w:tr>
      <w:tr>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Grant writing</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drafts grounded in funder-specific research</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Answer resurfacing</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LOI writer</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Network mapping</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Board/staff to funder connections + contact enrichment</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Limited</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Pitch practice</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voice sessions with real funder personas + coaching</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Outcome tracking</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Match outcomes, win rates, funder response patterns (building)</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Post-award tracking</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Enterprise model</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Foundation buys for grantee portfolio</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Institutional subscriptions</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Target</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85% priced out</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$1M+ orgs</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Researchers</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Budget orgs</w:t>
            </w:r>
          </w:p>
        </w:tc>
      </w:tr>
    </w:tbl>
    <w:p>
      <w:pPr>
        <w:spacing w:after="50"/>
      </w:pPr>
    </w:p>
    <w:p>
      <w:pPr>
        <w:spacing w:after="200" w:line="300"/>
      </w:pPr>
      <w:r>
        <w:rPr>
          <w:rFonts w:ascii="Georgia" w:cs="Georgia" w:eastAsia="Georgia" w:hAnsi="Georgia"/>
          <w:color w:val="333333"/>
          <w:sz w:val="22"/>
          <w:szCs w:val="22"/>
        </w:rPr>
        <w:t xml:space="preserve">The fundamental difference: existing tools are databases you search. Kindora is a weekly feed that finds you. Competitors built for organizations with a development director and $300/month to spend on research software. We built for the executive director running a $400K organization who needs to know this week’s best opportunities and needs the path from discovery to submission to be short. As our data grows, we move upmarket. By the time competitors respond, we own both the relationship with the nonprofits closest to the work and the best data on what actually gets funded.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0D7377" w:sz="2"/>
              <w:right w:val="none"/>
            </w:tcBorders>
          </w:tcPr>
          <w:p>
            <w:pPr>
              <w:spacing w:after="0"/>
            </w:pPr>
          </w:p>
        </w:tc>
      </w:tr>
    </w:tbl>
    <w:p>
      <w:pPr>
        <w:spacing w:after="80"/>
      </w:pPr>
    </w:p>
    <w:p>
      <w:pPr>
        <w:pStyle w:val="Heading1"/>
      </w:pPr>
      <w:r>
        <w:t xml:space="preserve">Operating Model</w:t>
      </w:r>
    </w:p>
    <w:p>
      <w:pPr>
        <w:pStyle w:val="Heading2"/>
      </w:pPr>
      <w:r>
        <w:t xml:space="preserve">Two Ways We Grow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Nonprofits Find Us (Self-Serve)</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Foundations Buy for Their Grantees (Enterprise)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Individual nonprofit</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Foundation / funder</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How</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They sign up, try the free tier, upgrade if it works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Justin’s relationships from a decade at Google.org</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Revenue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$25–$399/mo subscriptions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$5K–$15K/yr enterprise licenses (platform fee + per-org pricing)</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Why they buy</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Find and win grants at a fraction of the cost</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Invest in grantee capacity; help them raise money beyond your own portfolio</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Owner</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Karibu</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Justin</w:t>
            </w:r>
          </w:p>
        </w:tc>
      </w:tr>
    </w:tbl>
    <w:p>
      <w:pPr>
        <w:spacing w:after="80"/>
      </w:pPr>
    </w:p>
    <w:p>
      <w:pPr>
        <w:pStyle w:val="Heading2"/>
      </w:pPr>
      <w:r>
        <w:t xml:space="preserve">Enterprise Guardrails: Avoiding the Capacity-Building Trap</w:t>
      </w:r>
    </w:p>
    <w:p>
      <w:pPr>
        <w:spacing w:after="200" w:line="300"/>
      </w:pPr>
      <w:r>
        <w:rPr>
          <w:rFonts w:ascii="Georgia" w:cs="Georgia" w:eastAsia="Georgia" w:hAnsi="Georgia"/>
          <w:color w:val="333333"/>
          <w:sz w:val="22"/>
          <w:szCs w:val="22"/>
        </w:rPr>
        <w:t xml:space="preserve">There is a version of this model that looks good on paper but changes nothing: foundations buy licenses, grantees use the tool, but the foundation still controls all the decisions and the grantees are no more independent than before. The research on humanitarian aid shows this pattern clearly — when funders use local organizations for efficiency but keep all the power, the system gets faster without getting fairer. Three rules keep us honest:</w:t>
      </w:r>
    </w:p>
    <w:p>
      <w:pPr>
        <w:pStyle w:val="ListParagraph"/>
        <w:numPr>
          <w:ilvl w:val="0"/>
          <w:numId w:val="2"/>
        </w:numPr>
        <w:spacing w:after="120" w:line="300"/>
      </w:pPr>
      <w:r>
        <w:rPr>
          <w:rFonts w:ascii="Georgia" w:cs="Georgia" w:eastAsia="Georgia" w:hAnsi="Georgia"/>
          <w:b/>
          <w:bCs/>
          <w:color w:val="333333"/>
          <w:sz w:val="22"/>
          <w:szCs w:val="22"/>
        </w:rPr>
        <w:t xml:space="preserve">Help grantees find other funders. </w:t>
      </w:r>
      <w:r>
        <w:rPr>
          <w:rFonts w:ascii="Georgia" w:cs="Georgia" w:eastAsia="Georgia" w:hAnsi="Georgia"/>
          <w:color w:val="333333"/>
          <w:sz w:val="22"/>
          <w:szCs w:val="22"/>
        </w:rPr>
        <w:t xml:space="preserve">The whole point of the tool is to help grantees diversify their funding — including beyond the foundation that bought the license.</w:t>
      </w:r>
    </w:p>
    <w:p>
      <w:pPr>
        <w:pStyle w:val="ListParagraph"/>
        <w:numPr>
          <w:ilvl w:val="0"/>
          <w:numId w:val="2"/>
        </w:numPr>
        <w:spacing w:after="120" w:line="300"/>
      </w:pPr>
      <w:r>
        <w:rPr>
          <w:rFonts w:ascii="Georgia" w:cs="Georgia" w:eastAsia="Georgia" w:hAnsi="Georgia"/>
          <w:b/>
          <w:bCs/>
          <w:color w:val="333333"/>
          <w:sz w:val="22"/>
          <w:szCs w:val="22"/>
        </w:rPr>
        <w:t xml:space="preserve">Grantees control their own accounts. </w:t>
      </w:r>
      <w:r>
        <w:rPr>
          <w:rFonts w:ascii="Georgia" w:cs="Georgia" w:eastAsia="Georgia" w:hAnsi="Georgia"/>
          <w:color w:val="333333"/>
          <w:sz w:val="22"/>
          <w:szCs w:val="22"/>
        </w:rPr>
        <w:t xml:space="preserve">Foundations cannot see what their grantees are searching for, who they’re pursuing, or what their strategy is.</w:t>
      </w:r>
    </w:p>
    <w:p>
      <w:pPr>
        <w:pStyle w:val="ListParagraph"/>
        <w:numPr>
          <w:ilvl w:val="0"/>
          <w:numId w:val="2"/>
        </w:numPr>
        <w:spacing w:after="120" w:line="300"/>
      </w:pPr>
      <w:r>
        <w:rPr>
          <w:rFonts w:ascii="Georgia" w:cs="Georgia" w:eastAsia="Georgia" w:hAnsi="Georgia"/>
          <w:b/>
          <w:bCs/>
          <w:color w:val="333333"/>
          <w:sz w:val="22"/>
          <w:szCs w:val="22"/>
        </w:rPr>
        <w:t xml:space="preserve">Test every deal: does this shift power or just look like it? </w:t>
      </w:r>
      <w:r>
        <w:rPr>
          <w:rFonts w:ascii="Georgia" w:cs="Georgia" w:eastAsia="Georgia" w:hAnsi="Georgia"/>
          <w:color w:val="333333"/>
          <w:sz w:val="22"/>
          <w:szCs w:val="22"/>
        </w:rPr>
        <w:t xml:space="preserve">If a foundation wants a deal where they monitor grantee activity or control which funders grantees can pursue, we walk away.</w:t>
      </w:r>
    </w:p>
    <w:p>
      <w:pPr>
        <w:spacing w:after="80"/>
      </w:pPr>
    </w:p>
    <w:p>
      <w:pPr>
        <w:pStyle w:val="Heading2"/>
      </w:pPr>
      <w:r>
        <w:t xml:space="preserve">Revenue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34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34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Explore</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First-time users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175K+ foundations, 5.7M grants, welcome pack (3 briefs + 150 credits)</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Community</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$25/mo</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Small / grassroots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 briefs/mo, 250 credits, 2 seats, pipeline view, saved searches</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Individual</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$49/mo</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Solo fundraisers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briefs/mo, 500 credits, 3 seats, full pipeline, calendar</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Team</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$199/mo</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Dev teams (3–8)</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30 briefs/mo, 2,000 credits, 8 seats, collaboration, exports</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Consultant</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$399/mo</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Agencies (3+ clients)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 briefs/mo, 4,000 credits, 15 seats, 10 orgs, API, white-label</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Custom</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Foundations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Custom allocations, SSO, dedicated account manager</w:t>
            </w:r>
          </w:p>
        </w:tc>
      </w:tr>
    </w:tbl>
    <w:p>
      <w:pPr>
        <w:spacing w:after="200" w:line="300"/>
      </w:pPr>
      <w:r>
        <w:rPr>
          <w:rFonts w:ascii="Georgia" w:cs="Georgia" w:eastAsia="Georgia" w:hAnsi="Georgia"/>
          <w:color w:val="333333"/>
          <w:sz w:val="22"/>
          <w:szCs w:val="22"/>
        </w:rPr>
        <w:t xml:space="preserve">All paid tiers month-to-month, no annual contract required. Annual plans save 16.7%. AI credits roll over 60 days at 2x monthly cap. Organizations never pay.</w:t>
      </w:r>
    </w:p>
    <w:p>
      <w:pPr>
        <w:spacing w:after="50"/>
      </w:pPr>
    </w:p>
    <w:p>
      <w:pPr>
        <w:pStyle w:val="Heading3"/>
      </w:pPr>
      <w:r>
        <w:t xml:space="preserve">Enterprise Pricing: Foundation Licensing</w:t>
      </w:r>
    </w:p>
    <w:p>
      <w:pPr>
        <w:spacing w:after="200" w:line="300"/>
      </w:pPr>
      <w:r>
        <w:rPr>
          <w:rFonts w:ascii="Georgia" w:cs="Georgia" w:eastAsia="Georgia" w:hAnsi="Georgia"/>
          <w:color w:val="333333"/>
          <w:sz w:val="22"/>
          <w:szCs w:val="22"/>
        </w:rPr>
        <w:t xml:space="preserve">Foundations buy full Kindora access ($49/mo value) for every organization in their portfolio, at a volume discount. Grantees get the real product — not a watered-down version. The discount is steep because we’re not selling to 50 individual customers; we’re selling once to a foundation and onboarding 50 organizations in a single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Portfolio Size</w:t>
            </w:r>
          </w:p>
        </w:tc>
        <w:tc>
          <w:tcPr>
            <w:tcW w:type="dxa" w:w="234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Per Org / Year</w:t>
            </w:r>
          </w:p>
        </w:tc>
        <w:tc>
          <w:tcPr>
            <w:tcW w:type="dxa" w:w="234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Discount off List ($588/yr)</w:t>
            </w:r>
          </w:p>
        </w:tc>
        <w:tc>
          <w:tcPr>
            <w:tcW w:type="dxa" w:w="234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Example Deal</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10–30 orgs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$150/org</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75%</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$1,500–$4,500</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31–75 orgs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$125/org</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79%</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$3,875–$9,375</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76+ orgs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$100/org</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83%</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$7,600+</w:t>
            </w:r>
          </w:p>
        </w:tc>
      </w:tr>
    </w:tbl>
    <w:p>
      <w:pPr>
        <w:spacing w:after="200" w:line="300"/>
      </w:pPr>
      <w:r>
        <w:rPr>
          <w:rFonts w:ascii="Georgia" w:cs="Georgia" w:eastAsia="Georgia" w:hAnsi="Georgia"/>
          <w:color w:val="333333"/>
          <w:sz w:val="22"/>
          <w:szCs w:val="22"/>
        </w:rPr>
        <w:t xml:space="preserve">Platform fee: $2,500–$5,000/year for foundations with 20+ grantees (covers portfolio dashboard, dedicated onboarding, annual impact reporting). Multi-year incentive: 10% off for 2-year commitment, 15% for 3-year.</w:t>
      </w:r>
    </w:p>
    <w:p>
      <w:pPr>
        <w:spacing w:after="200" w:line="300"/>
      </w:pPr>
      <w:r>
        <w:rPr>
          <w:rFonts w:ascii="Georgia" w:cs="Georgia" w:eastAsia="Georgia" w:hAnsi="Georgia"/>
          <w:b/>
          <w:bCs/>
          <w:color w:val="333333"/>
          <w:sz w:val="22"/>
          <w:szCs w:val="22"/>
        </w:rPr>
        <w:t xml:space="preserve">What the foundation gets: </w:t>
      </w:r>
      <w:r>
        <w:rPr>
          <w:rFonts w:ascii="Georgia" w:cs="Georgia" w:eastAsia="Georgia" w:hAnsi="Georgia"/>
          <w:color w:val="333333"/>
          <w:sz w:val="22"/>
          <w:szCs w:val="22"/>
        </w:rPr>
        <w:t xml:space="preserve">A dashboard showing how their grantees are using the platform and what results they’re getting (in aggregate, not individually). Dedicated onboarding for all grantee organizations. An annual impact report. Importantly, foundations cannot see what individual grantees are searching for or which funders they’re pursuing — grantees control their own accounts.</w:t>
      </w:r>
    </w:p>
    <w:p>
      <w:pPr>
        <w:spacing w:after="80"/>
      </w:pPr>
    </w:p>
    <w:p>
      <w:pPr>
        <w:pStyle w:val="Heading2"/>
      </w:pPr>
      <w:r>
        <w:t xml:space="preserve">Current State: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Actual</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Trajectory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Registered organizations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213</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~28 new orgs/month, zero paid marketing</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Paying customers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Paid plans live ~1 month; too early to read conversion rate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Shipping, feature-complete across matching, research, drafting, network mapping, pitch practice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Major rebuild shipped Jan 2026; outcome tracking added Feb 2026</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Enterprise pipeline</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Camelback Ventures: licensing interest expressed for full alumni/fellow network</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Tipping Point meeting scheduled; 25-foundation target list in progress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co-founders, no paid staff</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Justin full-time; Karibu part-time (transitions full-time upon seed close)</w:t>
            </w:r>
          </w:p>
        </w:tc>
      </w:tr>
    </w:tbl>
    <w:p>
      <w:pPr>
        <w:spacing w:after="50"/>
      </w:pPr>
    </w:p>
    <w:p>
      <w:pPr>
        <w:spacing w:after="200" w:line="300"/>
      </w:pPr>
      <w:r>
        <w:rPr>
          <w:rFonts w:ascii="Georgia" w:cs="Georgia" w:eastAsia="Georgia" w:hAnsi="Georgia"/>
          <w:b/>
          <w:bCs/>
          <w:color w:val="333333"/>
          <w:sz w:val="22"/>
          <w:szCs w:val="22"/>
        </w:rPr>
        <w:t xml:space="preserve">What we can measure today vs. what we can’t yet: </w:t>
      </w:r>
      <w:r>
        <w:rPr>
          <w:rFonts w:ascii="Georgia" w:cs="Georgia" w:eastAsia="Georgia" w:hAnsi="Georgia"/>
          <w:color w:val="333333"/>
          <w:sz w:val="22"/>
          <w:szCs w:val="22"/>
        </w:rPr>
        <w:t xml:space="preserve">We can measure signups, activation, weekly usage, and feature adoption right now. We cannot yet measure grant outcomes (dollars won, success rates) because grant cycles run 6–12 months and we only shipped outcome tracking tools in February 2026. By late 2026, we will have real outcome data. In the meantime, the leading indicators are: are organizations coming back weekly, and are foundation deals converting?</w:t>
      </w:r>
    </w:p>
    <w:p>
      <w:pPr>
        <w:spacing w:after="80"/>
      </w:pPr>
    </w:p>
    <w:p>
      <w:pPr>
        <w:pStyle w:val="Heading2"/>
      </w:pPr>
      <w:r>
        <w:t xml:space="preserve">Financial Summary</w:t>
      </w:r>
    </w:p>
    <w:p>
      <w:pPr>
        <w:spacing w:after="200" w:line="300"/>
      </w:pPr>
      <w:r>
        <w:rPr>
          <w:rFonts w:ascii="Georgia" w:cs="Georgia" w:eastAsia="Georgia" w:hAnsi="Georgia"/>
          <w:i/>
          <w:iCs/>
          <w:color w:val="333333"/>
          <w:sz w:val="22"/>
          <w:szCs w:val="22"/>
        </w:rPr>
        <w:t xml:space="preserve">Historical: August–December 2025 (first partial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68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Actual</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Revenue</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$1,227 (beta subscriptions + partnerships)</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Total Operating Expenses</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$33,630</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 Operating Loss</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$(32,403)</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Cash (Dec 31, 2025)</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$17,597</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Founders’ Capital Contributed</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$50,000</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Platform IP (acquired from True Steele LLC)</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$40,000</w:t>
            </w:r>
          </w:p>
        </w:tc>
      </w:tr>
    </w:tbl>
    <w:p>
      <w:pPr>
        <w:spacing w:after="50"/>
      </w:pPr>
    </w:p>
    <w:p>
      <w:pPr>
        <w:spacing w:after="200" w:line="300"/>
      </w:pPr>
      <w:r>
        <w:rPr>
          <w:rFonts w:ascii="Georgia" w:cs="Georgia" w:eastAsia="Georgia" w:hAnsi="Georgia"/>
          <w:i/>
          <w:iCs/>
          <w:color w:val="333333"/>
          <w:sz w:val="22"/>
          <w:szCs w:val="22"/>
        </w:rPr>
        <w:t xml:space="preserve">Projected: 2026–2028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34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234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234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2028</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Revenue</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$1.0M</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$3.0M</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$9.0M</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Gross Margin</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75%</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75%</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75%</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 Income</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$(408K)</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$(128K)</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$1.99M</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Ending Cash</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$373K</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$278K</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$2.47M</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Customers (ending)</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1,200</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3,600</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10,800</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Foundation Partners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50</w:t>
            </w:r>
          </w:p>
        </w:tc>
      </w:tr>
    </w:tbl>
    <w:p>
      <w:pPr>
        <w:spacing w:after="50"/>
      </w:pPr>
    </w:p>
    <w:p>
      <w:pPr>
        <w:spacing w:after="200" w:line="300"/>
      </w:pPr>
      <w:r>
        <w:rPr>
          <w:rFonts w:ascii="Georgia" w:cs="Georgia" w:eastAsia="Georgia" w:hAnsi="Georgia"/>
          <w:b/>
          <w:bCs/>
          <w:color w:val="333333"/>
          <w:sz w:val="22"/>
          <w:szCs w:val="22"/>
        </w:rPr>
        <w:t xml:space="preserve">Funding: </w:t>
      </w:r>
      <w:r>
        <w:rPr>
          <w:rFonts w:ascii="Georgia" w:cs="Georgia" w:eastAsia="Georgia" w:hAnsi="Georgia"/>
          <w:color w:val="333333"/>
          <w:sz w:val="22"/>
          <w:szCs w:val="22"/>
        </w:rPr>
        <w:t xml:space="preserve">$740K targeted for 2026 (Camelback $40K committed; additional raise in progress). Gives us 23+ months of runway to reach profitability. Revenue mix: 65% direct subscriptions, 25% foundation licensing, 10% professional services.</w:t>
      </w:r>
    </w:p>
    <w:p>
      <w:pPr>
        <w:spacing w:after="200" w:line="300"/>
      </w:pPr>
      <w:r>
        <w:rPr>
          <w:rFonts w:ascii="Georgia" w:cs="Georgia" w:eastAsia="Georgia" w:hAnsi="Georgia"/>
          <w:b/>
          <w:bCs/>
          <w:color w:val="333333"/>
          <w:sz w:val="22"/>
          <w:szCs w:val="22"/>
        </w:rPr>
        <w:t xml:space="preserve">How the money works: </w:t>
      </w:r>
      <w:r>
        <w:rPr>
          <w:rFonts w:ascii="Georgia" w:cs="Georgia" w:eastAsia="Georgia" w:hAnsi="Georgia"/>
          <w:color w:val="333333"/>
          <w:sz w:val="22"/>
          <w:szCs w:val="22"/>
        </w:rPr>
        <w:t xml:space="preserve">For every dollar of revenue, about 75 cents is gross profit (our main costs are AI and infrastructure). A new customer pays back their acquisition cost in 12–14 months, improving to 8–10 months by 2028. Average customer is worth $2,700 over three years. We target less than 5% of customers leaving per month.</w:t>
      </w:r>
    </w:p>
    <w:p>
      <w:pPr>
        <w:spacing w:after="200" w:line="300"/>
      </w:pPr>
      <w:r>
        <w:rPr>
          <w:rFonts w:ascii="Georgia" w:cs="Georgia" w:eastAsia="Georgia" w:hAnsi="Georgia"/>
          <w:b/>
          <w:bCs/>
          <w:color w:val="333333"/>
          <w:sz w:val="22"/>
          <w:szCs w:val="22"/>
        </w:rPr>
        <w:t xml:space="preserve">Note: </w:t>
      </w:r>
      <w:r>
        <w:rPr>
          <w:rFonts w:ascii="Georgia" w:cs="Georgia" w:eastAsia="Georgia" w:hAnsi="Georgia"/>
          <w:color w:val="333333"/>
          <w:sz w:val="22"/>
          <w:szCs w:val="22"/>
        </w:rPr>
        <w:t xml:space="preserve">The $1M/2026 projection assumes we raise the full $740K and hire a team. That’s the ceiling. The goal targets below ($10K monthly recurring revenue, $150K enterprise annual revenue) are what we can hit with or without the raise. Sequence: Feb–April close enterprise deals, May–July pitch investors, August–September close the round.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0D7377" w:sz="2"/>
              <w:right w:val="none"/>
            </w:tcBorders>
          </w:tcPr>
          <w:p>
            <w:pPr>
              <w:spacing w:after="0"/>
            </w:pPr>
          </w:p>
        </w:tc>
      </w:tr>
    </w:tbl>
    <w:p>
      <w:pPr>
        <w:spacing w:after="80"/>
      </w:pPr>
    </w:p>
    <w:p>
      <w:pPr>
        <w:pStyle w:val="Heading1"/>
      </w:pPr>
      <w:r>
        <w:t xml:space="preserve">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Justin Steele</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Karibu Davis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Role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Co-Founder &amp; CEO</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Co-Founder &amp; CTO</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Full-time</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Part-time; transitions full-time upon seed close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Background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Directed $698M in philanthropy at Google.org over nearly a decade. Managed Americas portfolio. Harvard MBA/MPA, UVA engineering.</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Senior engineer at Meta. Technical architecture, AI/ML systems, full-stack development.</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Kindora focus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Enterprise sales, strategy, fundraising, product vision</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Platform architecture, AI pipeline, product development</w:t>
            </w:r>
          </w:p>
        </w:tc>
      </w:tr>
    </w:tbl>
    <w:p>
      <w:pPr>
        <w:spacing w:after="50"/>
      </w:pPr>
    </w:p>
    <w:p>
      <w:pPr>
        <w:spacing w:after="200" w:line="300"/>
      </w:pPr>
      <w:r>
        <w:rPr>
          <w:rFonts w:ascii="Georgia" w:cs="Georgia" w:eastAsia="Georgia" w:hAnsi="Georgia"/>
          <w:b/>
          <w:bCs/>
          <w:color w:val="333333"/>
          <w:sz w:val="22"/>
          <w:szCs w:val="22"/>
        </w:rPr>
        <w:t xml:space="preserve">On Karibu’s transition: </w:t>
      </w:r>
      <w:r>
        <w:rPr>
          <w:rFonts w:ascii="Georgia" w:cs="Georgia" w:eastAsia="Georgia" w:hAnsi="Georgia"/>
          <w:color w:val="333333"/>
          <w:sz w:val="22"/>
          <w:szCs w:val="22"/>
        </w:rPr>
        <w:t xml:space="preserve">Karibu has built the entire Kindora platform — matching engine, Intel Briefs, grant drafting, network mapping, pitch practice, and the recent product rebuild — while working part-time. He transitions to full-time when the seed round closes and provides clear financial runway. This is a standard pre-seed arrangement: the technical co-founder builds the product on the side until funding makes the jump feasible. The relevant question is output, and the product speaks for itself.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0D7377" w:sz="2"/>
              <w:right w:val="none"/>
            </w:tcBorders>
          </w:tcPr>
          <w:p>
            <w:pPr>
              <w:spacing w:after="0"/>
            </w:pPr>
          </w:p>
        </w:tc>
      </w:tr>
    </w:tbl>
    <w:p>
      <w:pPr>
        <w:spacing w:after="80"/>
      </w:pPr>
    </w:p>
    <w:p>
      <w:pPr>
        <w:pStyle w:val="Heading1"/>
      </w:pPr>
      <w:r>
        <w:t xml:space="preserve">Goals &amp; Key Results</w:t>
      </w:r>
    </w:p>
    <w:p>
      <w:pPr>
        <w:spacing w:after="200" w:line="300"/>
      </w:pPr>
      <w:r>
        <w:rPr>
          <w:rFonts w:ascii="Georgia" w:cs="Georgia" w:eastAsia="Georgia" w:hAnsi="Georgia"/>
          <w:color w:val="333333"/>
          <w:sz w:val="22"/>
          <w:szCs w:val="22"/>
        </w:rPr>
        <w:t xml:space="preserve">We use Google’s goal-setting framework: each goal scores 0.0–1.0. Hitting 0.6–0.7 means we’re stretching appropriately. Hitting 1.0 means we set the bar too low.</w:t>
      </w:r>
    </w:p>
    <w:p>
      <w:pPr>
        <w:pStyle w:val="Heading2"/>
      </w:pPr>
      <w:r>
        <w:t xml:space="preserve">Goal 1: 5 Foundation Deals, $150K+ Annual Revenue by December 2026</w:t>
      </w:r>
    </w:p>
    <w:p>
      <w:pPr>
        <w:spacing w:after="200" w:line="300"/>
      </w:pPr>
      <w:r>
        <w:rPr>
          <w:rFonts w:ascii="Georgia" w:cs="Georgia" w:eastAsia="Georgia" w:hAnsi="Georgia"/>
          <w:i/>
          <w:iCs/>
          <w:color w:val="333333"/>
          <w:sz w:val="22"/>
          <w:szCs w:val="22"/>
        </w:rPr>
        <w:t xml:space="preserve">Owner: Justin</w:t>
      </w:r>
    </w:p>
    <w:p>
      <w:pPr>
        <w:spacing w:after="200" w:line="300"/>
      </w:pPr>
      <w:r>
        <w:rPr>
          <w:rFonts w:ascii="Georgia" w:cs="Georgia" w:eastAsia="Georgia" w:hAnsi="Georgia"/>
          <w:color w:val="333333"/>
          <w:sz w:val="22"/>
          <w:szCs w:val="22"/>
        </w:rPr>
        <w:t xml:space="preserve">Justin spent a decade as the buyer at Google.org, directing $698M in grants. These are not cold calls — they’re warm relationships where trust already exists. Camelback Ventures has already expressed interest in licensing Kindora for their entire alumni and fellow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Key Result</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By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Camelback deal signed. Pitch deck, pricing, and target list of 25 foundations built.</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March 2026</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 deals closed or in paid pilot (including Camelback). 150+ grantee orgs onboarded.</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June 2026</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 sales hire. 10+ active foundation conversations in progress.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Sept 2026</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 deals closed, $150K+ combined annual revenue. Repeatable sales process documented.</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Dec 2026</w:t>
            </w:r>
          </w:p>
        </w:tc>
      </w:tr>
    </w:tbl>
    <w:p>
      <w:pPr>
        <w:spacing w:after="200" w:line="300"/>
      </w:pPr>
      <w:r>
        <w:rPr>
          <w:rFonts w:ascii="Georgia" w:cs="Georgia" w:eastAsia="Georgia" w:hAnsi="Georgia"/>
          <w:i/>
          <w:iCs/>
          <w:color w:val="333333"/>
          <w:sz w:val="22"/>
          <w:szCs w:val="22"/>
        </w:rPr>
        <w:t xml:space="preserve">At 0.6–0.7: </w:t>
      </w:r>
      <w:r>
        <w:rPr>
          <w:rFonts w:ascii="Georgia" w:cs="Georgia" w:eastAsia="Georgia" w:hAnsi="Georgia"/>
          <w:color w:val="333333"/>
          <w:sz w:val="22"/>
          <w:szCs w:val="22"/>
        </w:rPr>
        <w:t xml:space="preserve">3–4 deals, $90K–$105K annual revenue. Each deal brings 60–80 grantee organizations onto the platform, feeding Goal 2.</w:t>
      </w:r>
    </w:p>
    <w:p>
      <w:pPr>
        <w:spacing w:after="80"/>
      </w:pPr>
    </w:p>
    <w:p>
      <w:pPr>
        <w:pStyle w:val="Heading2"/>
      </w:pPr>
      <w:r>
        <w:t xml:space="preserve">Goal 2: 2,000 Organizations, $10K Monthly Revenue by December 2026</w:t>
      </w:r>
    </w:p>
    <w:p>
      <w:pPr>
        <w:spacing w:after="200" w:line="300"/>
      </w:pPr>
      <w:r>
        <w:rPr>
          <w:rFonts w:ascii="Georgia" w:cs="Georgia" w:eastAsia="Georgia" w:hAnsi="Georgia"/>
          <w:i/>
          <w:iCs/>
          <w:color w:val="333333"/>
          <w:sz w:val="22"/>
          <w:szCs w:val="22"/>
        </w:rPr>
        <w:t xml:space="preserve">Owner: Karibu</w:t>
      </w:r>
    </w:p>
    <w:p>
      <w:pPr>
        <w:spacing w:after="200" w:line="300"/>
      </w:pPr>
      <w:r>
        <w:rPr>
          <w:rFonts w:ascii="Georgia" w:cs="Georgia" w:eastAsia="Georgia" w:hAnsi="Georgia"/>
          <w:color w:val="333333"/>
          <w:sz w:val="22"/>
          <w:szCs w:val="22"/>
        </w:rPr>
        <w:t xml:space="preserve">Foundation deals are an engine for individual signups: each deal brings 60–80 grantee organizations onto the platform. Five deals means 300–400 organizations arriving through foundations alone, on top of organic signups (~28 orgs/month with zero ad spend) and partnerships with nonprofit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Key Result</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By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 orgs, 30+ paying, publishing 2+ content pieces/month. Pitch practice feature driving word of mouth.</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June 2026</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1,000 orgs, 60+ paying, average revenue per user $40+. Network partnerships driving group signups.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Sept 2026</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 orgs, 120+ paying, $10K+ monthly revenue, fewer than 7% of customers leaving per month.</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 2026</w:t>
            </w:r>
          </w:p>
        </w:tc>
      </w:tr>
    </w:tbl>
    <w:p>
      <w:pPr>
        <w:spacing w:after="200" w:line="300"/>
      </w:pPr>
      <w:r>
        <w:rPr>
          <w:rFonts w:ascii="Georgia" w:cs="Georgia" w:eastAsia="Georgia" w:hAnsi="Georgia"/>
          <w:i/>
          <w:iCs/>
          <w:color w:val="333333"/>
          <w:sz w:val="22"/>
          <w:szCs w:val="22"/>
        </w:rPr>
        <w:t xml:space="preserve">At 0.6–0.7: </w:t>
      </w:r>
      <w:r>
        <w:rPr>
          <w:rFonts w:ascii="Georgia" w:cs="Georgia" w:eastAsia="Georgia" w:hAnsi="Georgia"/>
          <w:color w:val="333333"/>
          <w:sz w:val="22"/>
          <w:szCs w:val="22"/>
        </w:rPr>
        <w:t xml:space="preserve">1,200–1,400 orgs, $6K–$7K monthly revenue — still above the previous target of 1,000 orgs and $5K.</w:t>
      </w:r>
    </w:p>
    <w:p>
      <w:pPr>
        <w:spacing w:after="80"/>
      </w:pPr>
    </w:p>
    <w:p>
      <w:pPr>
        <w:pStyle w:val="Heading2"/>
      </w:pPr>
      <w:r>
        <w:t xml:space="preserve">Goal 3: $750K–$1M Seed Round by September 2026</w:t>
      </w:r>
    </w:p>
    <w:p>
      <w:pPr>
        <w:spacing w:after="200" w:line="300"/>
      </w:pPr>
      <w:r>
        <w:rPr>
          <w:rFonts w:ascii="Georgia" w:cs="Georgia" w:eastAsia="Georgia" w:hAnsi="Georgia"/>
          <w:i/>
          <w:iCs/>
          <w:color w:val="333333"/>
          <w:sz w:val="22"/>
          <w:szCs w:val="22"/>
        </w:rPr>
        <w:t xml:space="preserve">Owner: Justin</w:t>
      </w:r>
    </w:p>
    <w:p>
      <w:pPr>
        <w:spacing w:after="200" w:line="300"/>
      </w:pPr>
      <w:r>
        <w:rPr>
          <w:rFonts w:ascii="Georgia" w:cs="Georgia" w:eastAsia="Georgia" w:hAnsi="Georgia"/>
          <w:color w:val="333333"/>
          <w:sz w:val="22"/>
          <w:szCs w:val="22"/>
        </w:rPr>
        <w:t xml:space="preserve">Feb–April: close foundation deals and build proof this works. May–July: pitch investors. Close by September. We walk into investor meetings with 2–3 signed foundation deals — not a hypothesis, but a proven sales channel no competitor can replicate.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Key Result</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By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Pitch deck and investor materials ready. Lead with Camelback deal + foundation pipeline as proof the sales channel works.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April 2026</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30+ investor conversations. Enter with 2–3 signed foundation deals.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May–July 2026</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term sheets (formal investor offers).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Aug 2026</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Round closed. 20+ months of cash. Founders keep 85%+ of the company.</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Sept 2026</w:t>
            </w:r>
          </w:p>
        </w:tc>
      </w:tr>
    </w:tbl>
    <w:p>
      <w:pPr>
        <w:spacing w:after="200" w:line="300"/>
      </w:pPr>
      <w:r>
        <w:rPr>
          <w:rFonts w:ascii="Georgia" w:cs="Georgia" w:eastAsia="Georgia" w:hAnsi="Georgia"/>
          <w:i/>
          <w:iCs/>
          <w:color w:val="333333"/>
          <w:sz w:val="22"/>
          <w:szCs w:val="22"/>
        </w:rPr>
        <w:t xml:space="preserve">At 0.6–0.7: </w:t>
      </w:r>
      <w:r>
        <w:rPr>
          <w:rFonts w:ascii="Georgia" w:cs="Georgia" w:eastAsia="Georgia" w:hAnsi="Georgia"/>
          <w:color w:val="333333"/>
          <w:sz w:val="22"/>
          <w:szCs w:val="22"/>
        </w:rPr>
        <w:t xml:space="preserve">Close by October–November with $500K–$700K committed.</w:t>
      </w:r>
    </w:p>
    <w:p>
      <w:pPr>
        <w:spacing w:after="80"/>
      </w:pPr>
    </w:p>
    <w:p>
      <w:pPr>
        <w:pStyle w:val="Heading2"/>
      </w:pPr>
      <w:r>
        <w:t xml:space="preserve">What We’ll Show Investors by May 2026</w:t>
      </w:r>
    </w:p>
    <w:p>
      <w:pPr>
        <w:spacing w:after="200" w:line="300"/>
      </w:pPr>
      <w:r>
        <w:rPr>
          <w:rFonts w:ascii="Georgia" w:cs="Georgia" w:eastAsia="Georgia" w:hAnsi="Georgia"/>
          <w:color w:val="333333"/>
          <w:sz w:val="22"/>
          <w:szCs w:val="22"/>
        </w:rPr>
        <w:t xml:space="preserve">Grant outcomes lag 6–12 months. Outcome tracking shipped in February 2026. We cannot have grant win/loss data by the fundraise window. Here is what we can show, and why it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Proof Point</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Target by May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 match engagement</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 people open the weekly matches? Do they click into opportunities? This is the core habit.</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 open rate (target 50%+), click-through rate, and % of users who pursue at least one match per week.</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Matches pursued per org</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Of the grants we surface each week, how many do users actually move into their pipeline? This measures whether matching drives action.</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Track from March. Target: average org pursues 2+ matches per month.</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Submission volume lift</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Are users submitting more grant applications after joining Kindora? This is the behavioral change that predicts revenue growth.</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 grants submitted per org per month. Even directional data (up vs. flat) is signal.</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Weekly active organizations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Shows real usage, not just signups. Are people coming back?</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Target 30%+ of registered orgs active weekly.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Enterprise deals signed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Proves the foundation sales channel works — Kindora’s core distribution advantage.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 signed deals (Camelback + one additional). Grantee onboarding underway.</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Activation rate from enterprise onboarding</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When a foundation buys 50 licenses, how many grantees actually use the product in week 1?</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Track from first enterprise deal. Target 60%+ activation in first 2 weeks.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Paid conversion rate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 orgs that try the free tier, how many upgrade? Even at $25/month, willingness to pay is signal.</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 from March onward as paid plans mature.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Outdoorithm Collective case study</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 named organization that used Kindora through the full cycle: found funders, applied, won grants.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Document outcomes and publish as case study.</w:t>
            </w:r>
          </w:p>
        </w:tc>
      </w:tr>
    </w:tbl>
    <w:p>
      <w:pPr>
        <w:spacing w:after="200" w:line="300"/>
      </w:pPr>
      <w:r>
        <w:rPr>
          <w:rFonts w:ascii="Georgia" w:cs="Georgia" w:eastAsia="Georgia" w:hAnsi="Georgia"/>
          <w:b/>
          <w:bCs/>
          <w:color w:val="333333"/>
          <w:sz w:val="22"/>
          <w:szCs w:val="22"/>
        </w:rPr>
        <w:t xml:space="preserve">The story these metrics tell: </w:t>
      </w:r>
      <w:r>
        <w:rPr>
          <w:rFonts w:ascii="Georgia" w:cs="Georgia" w:eastAsia="Georgia" w:hAnsi="Georgia"/>
          <w:color w:val="333333"/>
          <w:sz w:val="22"/>
          <w:szCs w:val="22"/>
        </w:rPr>
        <w:t xml:space="preserve">We cannot yet prove Kindora helps organizations win more grants — that data needs 6–12 months to materialize. What we can prove is that organizations use the weekly matches, act on them, submit more applications than they did before, and come back every week. Those are the leading indicators that predict grant outcomes. If the habit is real and the submission volume is up, the revenue results will follow.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0D7377" w:sz="2"/>
              <w:right w:val="none"/>
            </w:tcBorders>
          </w:tcPr>
          <w:p>
            <w:pPr>
              <w:spacing w:after="0"/>
            </w:pPr>
          </w:p>
        </w:tc>
      </w:tr>
    </w:tbl>
    <w:p>
      <w:pPr>
        <w:spacing w:after="80"/>
      </w:pPr>
    </w:p>
    <w:p>
      <w:pPr>
        <w:pStyle w:val="Heading1"/>
      </w:pPr>
      <w:r>
        <w:t xml:space="preserve">Public Benefit Accountability</w:t>
      </w:r>
    </w:p>
    <w:p>
      <w:pPr>
        <w:spacing w:after="200" w:line="300"/>
      </w:pPr>
      <w:r>
        <w:rPr>
          <w:rFonts w:ascii="Georgia" w:cs="Georgia" w:eastAsia="Georgia" w:hAnsi="Georgia"/>
          <w:color w:val="333333"/>
          <w:sz w:val="22"/>
          <w:szCs w:val="22"/>
        </w:rPr>
        <w:t xml:space="preserve">The goals above measure company growth. The metrics below measure whether we’re actually doing what our charter says: making it easier for underserved nonprofits to get funded. Both are reported to the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Year 1 Target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Hours returned to mission</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 saved through automated prospecting, research, and application support</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50,000 hours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Grant dollars secured by users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Funding won by organizations using Kindora</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Track baseline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revenue growth vs. sector</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Whether Kindora users grow revenue faster than the nonprofit sector baseline (990 analysis)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Outperform by 10%+</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Demographic diversity of funded orgs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Geographic, racial, and budget-size diversity of organizations achieving funding success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Report annually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0D7377" w:sz="2"/>
              <w:right w:val="none"/>
            </w:tcBorders>
          </w:tcPr>
          <w:p>
            <w:pPr>
              <w:spacing w:after="0"/>
            </w:pPr>
          </w:p>
        </w:tc>
      </w:tr>
    </w:tbl>
    <w:p>
      <w:pPr>
        <w:spacing w:after="80"/>
      </w:pPr>
    </w:p>
    <w:p>
      <w:pPr>
        <w:pStyle w:val="Heading1"/>
      </w:pPr>
      <w:r>
        <w:t xml:space="preserve">How It Gets Better Over Time</w:t>
      </w:r>
    </w:p>
    <w:p>
      <w:pPr>
        <w:pStyle w:val="Heading3"/>
      </w:pPr>
      <w:r>
        <w:t xml:space="preserve">The Cycle</w:t>
      </w:r>
    </w:p>
    <w:p>
      <w:pPr>
        <w:spacing w:after="200" w:line="300"/>
      </w:pPr>
      <w:r>
        <w:rPr>
          <w:rFonts w:ascii="Georgia" w:cs="Georgia" w:eastAsia="Georgia" w:hAnsi="Georgia"/>
          <w:color w:val="333333"/>
          <w:sz w:val="22"/>
          <w:szCs w:val="22"/>
        </w:rPr>
        <w:t xml:space="preserve">Nonprofits join because it’s free and useful. As they use Kindora, we learn: which funders they research, which matches they pursue, which grants they win. That learning makes the matching better. Better matching attracts more nonprofits. More nonprofits attract foundations. Foundation deals bring revenue and more data. The cycle accelerates.</w:t>
      </w:r>
    </w:p>
    <w:p>
      <w:pPr>
        <w:pStyle w:val="Heading3"/>
      </w:pPr>
      <w:r>
        <w:t xml:space="preserve">Learning What Wins: From Drafting Tool to Prediction Engine</w:t>
      </w:r>
    </w:p>
    <w:p>
      <w:pPr>
        <w:spacing w:after="200" w:line="300"/>
      </w:pPr>
      <w:r>
        <w:rPr>
          <w:rFonts w:ascii="Georgia" w:cs="Georgia" w:eastAsia="Georgia" w:hAnsi="Georgia"/>
          <w:color w:val="333333"/>
          <w:sz w:val="22"/>
          <w:szCs w:val="22"/>
        </w:rPr>
        <w:t xml:space="preserve">Today, Kindora helps nonprofits find funders and write grants. That’s useful, but it’s not hard to copy. The long-term advantage comes from learning what actually works — which funders fund what, how long they take to respond, what kinds of organizations win, and why. No one else is collecting this data. Building it requires deliberate tracking at every stage of the fundraising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What We Learn</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What That Means</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How We Capture It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Which matches users actually pursue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ignoring a match tells us as much as users pursuing one. Over time, we learn which matches are worth showing.</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move matches through stages: researching, applied, awarded, or declined.</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What happens after they apply</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Did the funder respond? How long did it take? Did they get the grant? How much?</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 prompt users to report outcomes after deadlines pass. This is the data no one else has.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funders actually behave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Which funders respond quickly? Which ghost applicants? Which prefer certain formats?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Aggregated across thousands of applications. No individual funder or nonprofit is identified.</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Which relationships last</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Do funder–grantee relationships renew year after year? Do grantees diversify over time?</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Tracked over years, especially through foundation deals where we see entire portfolios.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Which organizations are credible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Board quality, financial health, past awards, reporting track record.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Verified through public data (990 filings) and user-reported outcomes.</w:t>
            </w:r>
          </w:p>
        </w:tc>
      </w:tr>
    </w:tbl>
    <w:p>
      <w:pPr>
        <w:spacing w:after="200" w:line="300"/>
      </w:pPr>
      <w:r>
        <w:rPr>
          <w:rFonts w:ascii="Georgia" w:cs="Georgia" w:eastAsia="Georgia" w:hAnsi="Georgia"/>
          <w:b/>
          <w:bCs/>
          <w:color w:val="333333"/>
          <w:sz w:val="22"/>
          <w:szCs w:val="22"/>
        </w:rPr>
        <w:t xml:space="preserve">Privacy: </w:t>
      </w:r>
      <w:r>
        <w:rPr>
          <w:rFonts w:ascii="Georgia" w:cs="Georgia" w:eastAsia="Georgia" w:hAnsi="Georgia"/>
          <w:color w:val="333333"/>
          <w:sz w:val="22"/>
          <w:szCs w:val="22"/>
        </w:rPr>
        <w:t xml:space="preserve">We do not use customer data to train AI foundation models. We do use aggregated, anonymous outcomes to make matching and advice better for everyone. No funder or outside user can see what individual organizations are doing on the platform. This matters: protecting privacy and building better data reinforce each other.</w:t>
      </w:r>
    </w:p>
    <w:p>
      <w:pPr>
        <w:spacing w:after="200" w:line="300"/>
      </w:pPr>
      <w:r>
        <w:rPr>
          <w:rFonts w:ascii="Georgia" w:cs="Georgia" w:eastAsia="Georgia" w:hAnsi="Georgia"/>
          <w:b/>
          <w:bCs/>
          <w:color w:val="333333"/>
          <w:sz w:val="22"/>
          <w:szCs w:val="22"/>
        </w:rPr>
        <w:t xml:space="preserve">Timeline: </w:t>
      </w:r>
      <w:r>
        <w:rPr>
          <w:rFonts w:ascii="Georgia" w:cs="Georgia" w:eastAsia="Georgia" w:hAnsi="Georgia"/>
          <w:color w:val="333333"/>
          <w:sz w:val="22"/>
          <w:szCs w:val="22"/>
        </w:rPr>
        <w:t xml:space="preserve">2026: Build the tracking into the product. Start collecting outcome data. 2027: Enough data to start showing predictions (“organizations like yours win this grant about 34% of the time”). 2028: Enough data to publish real research on what works in fundraising — which funders are most responsive, which approaches win, what makes proximity-led organizations more effective. That research becomes both a public resource and our deepest competitive advantage.</w:t>
      </w:r>
    </w:p>
    <w:p>
      <w:pPr>
        <w:pStyle w:val="Heading3"/>
      </w:pPr>
      <w:r>
        <w:t xml:space="preserve">Who Knows Whom: The Relationship Map</w:t>
      </w:r>
    </w:p>
    <w:p>
      <w:pPr>
        <w:spacing w:after="200" w:line="300"/>
      </w:pPr>
      <w:r>
        <w:rPr>
          <w:rFonts w:ascii="Georgia" w:cs="Georgia" w:eastAsia="Georgia" w:hAnsi="Georgia"/>
          <w:color w:val="333333"/>
          <w:sz w:val="22"/>
          <w:szCs w:val="22"/>
        </w:rPr>
        <w:t xml:space="preserve">Money moves through trust. Today, those trust paths are narrow and shaped by race, class, and geography. Kindora builds new ones: every funder research report, every match, every won grant makes an organization’s track record visible to funders who would never have found them.</w:t>
      </w:r>
    </w:p>
    <w:p>
      <w:pPr>
        <w:spacing w:after="200" w:line="300"/>
      </w:pPr>
      <w:r>
        <w:rPr>
          <w:rFonts w:ascii="Georgia" w:cs="Georgia" w:eastAsia="Georgia" w:hAnsi="Georgia"/>
          <w:color w:val="333333"/>
          <w:sz w:val="22"/>
          <w:szCs w:val="22"/>
        </w:rPr>
        <w:t xml:space="preserve">This is a real product feature, not just a nice idea. It includes: maps showing how nonprofit boards and staff connect to foundation boards and staff, who knows whom and through what relationship, verified facts about organizations (governance, finances, past awards), and a track record of delivery. When AI makes every grant application look polished, funders will care more about these trust signals, not less.</w:t>
      </w:r>
    </w:p>
    <w:p>
      <w:pPr>
        <w:pStyle w:val="Heading3"/>
      </w:pPr>
      <w:r>
        <w:t xml:space="preserve">What Happens When AI Agents Do the Drafting</w:t>
      </w:r>
    </w:p>
    <w:p>
      <w:pPr>
        <w:spacing w:after="200" w:line="300"/>
      </w:pPr>
      <w:r>
        <w:rPr>
          <w:rFonts w:ascii="Georgia" w:cs="Georgia" w:eastAsia="Georgia" w:hAnsi="Georgia"/>
          <w:color w:val="333333"/>
          <w:sz w:val="22"/>
          <w:szCs w:val="22"/>
        </w:rPr>
        <w:t xml:space="preserve">There is a real possibility that AI assistants will eventually handle much of the research and writing that Kindora does today. If that happens, the companies that survive are not the ones with the best interface — they’re the ones that own the data the AI assistants need to do their job. Kindora’s defense is to be the place where fundraising data lives: which grants a nonprofit is pursuing, what each funder’s requirements are, what’s worked before, who the contacts are, and what the relationship history looks like. An AI assistant working for a nonprofit would need to check with Kindora for that context, because it doesn’t exist anywhere else.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0D7377" w:sz="2"/>
              <w:right w:val="none"/>
            </w:tcBorders>
          </w:tcPr>
          <w:p>
            <w:pPr>
              <w:spacing w:after="0"/>
            </w:pPr>
          </w:p>
        </w:tc>
      </w:tr>
    </w:tbl>
    <w:p>
      <w:pPr>
        <w:spacing w:after="80"/>
      </w:pPr>
    </w:p>
    <w:p>
      <w:pPr>
        <w:pStyle w:val="Heading1"/>
      </w:pPr>
      <w:r>
        <w:t xml:space="preserve">Defensibility: What Happens When AI Gets Cheaper</w:t>
      </w:r>
    </w:p>
    <w:p>
      <w:pPr>
        <w:spacing w:after="200" w:line="300"/>
      </w:pPr>
      <w:r>
        <w:rPr>
          <w:rFonts w:ascii="Georgia" w:cs="Georgia" w:eastAsia="Georgia" w:hAnsi="Georgia"/>
          <w:color w:val="333333"/>
          <w:sz w:val="22"/>
          <w:szCs w:val="22"/>
        </w:rPr>
        <w:t xml:space="preserve">The big worry in 2026 is that AI assistants will do the work that software products do today — research, analysis, writing, coordination — without needing a separate product at all. We take this seriously. Here is what we’re honest about.</w:t>
      </w:r>
    </w:p>
    <w:p>
      <w:pPr>
        <w:pStyle w:val="Heading2"/>
      </w:pPr>
      <w:r>
        <w:t xml:space="preserve">Where We Are Vulnerable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The Reality</w:t>
            </w:r>
          </w:p>
        </w:tc>
        <w:tc>
          <w:tcPr>
            <w:tcW w:type="dxa" w:w="312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What We Do About It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Anyone can research funders with AI</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raw data we use — 990 filings, annual reports, foundation websites — is public. A smart AI assistant could produce a decent funder summary today.</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Our research adds real interpretation: funder priorities, giving patterns, what the program officer actually cares about. But the gap between generic AI output and ours will shrink. We need to get faster and go deeper.</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Grant writing is getting easier for everyone</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 AI model upgrade makes basic grant writing more accessible. This is the part of our product most exposed to competition.</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Our grant writing is grounded in funder-specific intelligence that generic AI lacks. But we should not lean too heavily on “we write better drafts” as our main selling point. The drafting is a feature, not the business.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People might see us as just an AI wrapper</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investors or customers think of Kindora as “AI on top of public grant data,” we look like exactly the kind of company that AI assistants replace.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 need to be clear in everything we say: we are building the data on what actually works in fundraising and the relationships that move money. The AI features are how people interact with that data, not the thing itself.</w:t>
            </w:r>
          </w:p>
        </w:tc>
      </w:tr>
    </w:tbl>
    <w:p>
      <w:pPr>
        <w:spacing w:after="50"/>
      </w:pPr>
    </w:p>
    <w:p>
      <w:pPr>
        <w:pStyle w:val="Heading2"/>
      </w:pPr>
      <w:r>
        <w:t xml:space="preserve">Where This Trend Actually Helps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4680"/>
            <w:tcBorders>
              <w:top w:val="single" w:color="E0E0E0" w:sz="1"/>
              <w:left w:val="single" w:color="E0E0E0" w:sz="1"/>
              <w:bottom w:val="single" w:color="E0E0E0" w:sz="1"/>
              <w:right w:val="single" w:color="E0E0E0"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When writing is easy, everyone applies</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AI makes grant applications easy to produce, funders get flooded. They respond by caring more about who they trust and what track record looks like. That’s exactly the data we’re building.</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Foundation deals don’t get replaced by AI assistants</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When Tipping Point buys Kindora access for 50 grantees, they’re buying a capacity-building program with a dashboard and annual reporting. That’s a budget line item and an institutional relationship. No AI assistant replaces that.</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Our pricing doesn’t break the way others’ does</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AI-replaces-software story mainly threatens companies that charge per user for things AI can do for free. We charge foundations per organization for a capacity-building investment. Different economics entirely.</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Our best features use data no one else has</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Pitch practice built on real funder personas. Network maps showing who on your board connects to which foundation. These draw on enriched data that a generic AI assistant can’t access.</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 become the database AI assistants need</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an AI assistant is helping a nonprofit with fundraising, it needs to know: what grants are they already pursuing? What has this funder funded before? What worked last time? That data lives in Kindora. The assistant calls us, not the other way around.</w:t>
            </w:r>
          </w:p>
        </w:tc>
      </w:tr>
    </w:tbl>
    <w:p>
      <w:pPr>
        <w:spacing w:after="50"/>
      </w:pPr>
    </w:p>
    <w:p>
      <w:pPr>
        <w:spacing w:after="200" w:line="300"/>
      </w:pPr>
      <w:r>
        <w:rPr>
          <w:rFonts w:ascii="Georgia" w:cs="Georgia" w:eastAsia="Georgia" w:hAnsi="Georgia"/>
          <w:b/>
          <w:bCs/>
          <w:color w:val="333333"/>
          <w:sz w:val="22"/>
          <w:szCs w:val="22"/>
        </w:rPr>
        <w:t xml:space="preserve">Bottom line: </w:t>
      </w:r>
      <w:r>
        <w:rPr>
          <w:rFonts w:ascii="Georgia" w:cs="Georgia" w:eastAsia="Georgia" w:hAnsi="Georgia"/>
          <w:color w:val="333333"/>
          <w:sz w:val="22"/>
          <w:szCs w:val="22"/>
        </w:rPr>
        <w:t xml:space="preserve">If people think of Kindora as “AI that researches grants and writes drafts,” we are vulnerable. That is exactly what gets cheaper and more generic every year. If people think of Kindora as “the place that knows what actually works in fundraising, who trusts whom, and how money moves” — with foundations as our sales channel and nonprofits as the source of the data — we win. Both paths are available. Everything we build, say, and sell needs to point toward the second.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0D7377" w:sz="2"/>
              <w:right w:val="none"/>
            </w:tcBorders>
          </w:tcPr>
          <w:p>
            <w:pPr>
              <w:spacing w:after="0"/>
            </w:pPr>
          </w:p>
        </w:tc>
      </w:tr>
    </w:tbl>
    <w:p>
      <w:pPr>
        <w:spacing w:after="80"/>
      </w:pPr>
    </w:p>
    <w:p>
      <w:pPr>
        <w:pStyle w:val="Heading1"/>
      </w:pPr>
      <w:r>
        <w:t xml:space="preserve">The Choice</w:t>
      </w:r>
    </w:p>
    <w:p>
      <w:pPr>
        <w:spacing w:after="200" w:line="300"/>
      </w:pPr>
      <w:r>
        <w:rPr>
          <w:rFonts w:ascii="Georgia" w:cs="Georgia" w:eastAsia="Georgia" w:hAnsi="Georgia"/>
          <w:color w:val="333333"/>
          <w:sz w:val="22"/>
          <w:szCs w:val="22"/>
        </w:rPr>
        <w:t xml:space="preserve">Kindora is not a better grant search engine. We are building something different: a world where the social worker who has spent fifteen years watching families fall through intake cracks — and who knows how to write the policy memo that fixes the intake system — is the first person funders call, not the last.</w:t>
      </w:r>
    </w:p>
    <w:p>
      <w:pPr>
        <w:spacing w:after="200" w:line="300"/>
      </w:pPr>
      <w:r>
        <w:rPr>
          <w:rFonts w:ascii="Georgia" w:cs="Georgia" w:eastAsia="Georgia" w:hAnsi="Georgia"/>
          <w:color w:val="333333"/>
          <w:sz w:val="22"/>
          <w:szCs w:val="22"/>
        </w:rPr>
        <w:t xml:space="preserve">We take the counterevidence seriously because honesty makes us better. Closeness to a problem does not automatically produce better results. Participation does not automatically shift power. Local impact does not automatically scale without leaders who can work the institutions and hold political will together. The evidence has conditions. Our design meets those conditions — real decision-making power for the people closest to the work, skills to navigate institutions, enough resources, genuine accountability, and the willingness to hand over control.</w:t>
      </w:r>
    </w:p>
    <w:p>
      <w:pPr>
        <w:spacing w:after="200" w:line="300"/>
      </w:pPr>
      <w:r>
        <w:rPr>
          <w:rFonts w:ascii="Georgia" w:cs="Georgia" w:eastAsia="Georgia" w:hAnsi="Georgia"/>
          <w:color w:val="333333"/>
          <w:sz w:val="22"/>
          <w:szCs w:val="22"/>
        </w:rPr>
        <w:t xml:space="preserve">The vision is bigger than the company. The company is the machine that makes the vision real — one matched funder, one won grant, one funded leader at a time.</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7377" w:sz="6"/>
              <w:bottom w:val="none"/>
              <w:right w:val="none"/>
            </w:tcBorders>
            <w:shd w:fill="F0F9F9" w:val="clear"/>
            <w:tcMar>
              <w:top w:type="dxa" w:w="200"/>
              <w:left w:type="dxa" w:w="300"/>
              <w:bottom w:type="dxa" w:w="200"/>
              <w:right w:type="dxa" w:w="200"/>
            </w:tcMar>
          </w:tcPr>
          <w:p>
            <w:pPr>
              <w:spacing w:after="80"/>
            </w:pPr>
            <w:r>
              <w:rPr>
                <w:rFonts w:ascii="Georgia" w:cs="Georgia" w:eastAsia="Georgia" w:hAnsi="Georgia"/>
                <w:i/>
                <w:iCs/>
                <w:color w:val="1A1A2E"/>
                <w:sz w:val="26"/>
                <w:szCs w:val="26"/>
              </w:rPr>
              <w:t xml:space="preserve">A world where proximity to the struggle </w:t>
            </w:r>
            <w:r>
              <w:rPr>
                <w:rFonts w:ascii="Georgia" w:cs="Georgia" w:eastAsia="Georgia" w:hAnsi="Georgia"/>
                <w:b/>
                <w:bCs/>
                <w:i/>
                <w:iCs/>
                <w:color w:val="1A1A2E"/>
                <w:sz w:val="26"/>
                <w:szCs w:val="26"/>
              </w:rPr>
              <w:t xml:space="preserve">— not proximity to power — </w:t>
            </w:r>
            <w:r>
              <w:rPr>
                <w:rFonts w:ascii="Georgia" w:cs="Georgia" w:eastAsia="Georgia" w:hAnsi="Georgia"/>
                <w:i/>
                <w:iCs/>
                <w:color w:val="1A1A2E"/>
                <w:sz w:val="26"/>
                <w:szCs w:val="26"/>
              </w:rPr>
              <w:t xml:space="preserve">determines who gets trusted, funded, and followed.</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0D7377" w:sz="2"/>
              <w:right w:val="none"/>
            </w:tcBorders>
          </w:tcPr>
          <w:p>
            <w:pPr>
              <w:spacing w:after="0"/>
            </w:pPr>
          </w:p>
        </w:tc>
      </w:tr>
    </w:tbl>
    <w:p>
      <w:pPr>
        <w:spacing w:after="80"/>
      </w:pPr>
    </w:p>
    <w:p>
      <w:pPr>
        <w:pStyle w:val="Heading2"/>
      </w:pPr>
      <w:r>
        <w:t xml:space="preserve">Key References</w:t>
      </w:r>
    </w:p>
    <w:p>
      <w:pPr>
        <w:spacing w:after="200" w:line="300"/>
      </w:pPr>
      <w:r>
        <w:rPr>
          <w:rFonts w:ascii="Georgia" w:cs="Georgia" w:eastAsia="Georgia" w:hAnsi="Georgia"/>
          <w:i/>
          <w:iCs/>
          <w:color w:val="333333"/>
          <w:sz w:val="20"/>
          <w:szCs w:val="20"/>
        </w:rPr>
        <w:t xml:space="preserve">Bridgespan Group. </w:t>
      </w:r>
      <w:r>
        <w:rPr>
          <w:rFonts w:ascii="Georgia" w:cs="Georgia" w:eastAsia="Georgia" w:hAnsi="Georgia"/>
          <w:color w:val="333333"/>
          <w:sz w:val="20"/>
          <w:szCs w:val="20"/>
        </w:rPr>
        <w:t xml:space="preserve">Research on sources of giving recommendations among major donors.</w:t>
      </w:r>
    </w:p>
    <w:p>
      <w:pPr>
        <w:spacing w:after="200" w:line="300"/>
      </w:pPr>
      <w:r>
        <w:rPr>
          <w:rFonts w:ascii="Georgia" w:cs="Georgia" w:eastAsia="Georgia" w:hAnsi="Georgia"/>
          <w:i/>
          <w:iCs/>
          <w:color w:val="333333"/>
          <w:sz w:val="20"/>
          <w:szCs w:val="20"/>
        </w:rPr>
        <w:t xml:space="preserve">Chinoona et al. (2025). </w:t>
      </w:r>
      <w:r>
        <w:rPr>
          <w:rFonts w:ascii="Georgia" w:cs="Georgia" w:eastAsia="Georgia" w:hAnsi="Georgia"/>
          <w:color w:val="333333"/>
          <w:sz w:val="20"/>
          <w:szCs w:val="20"/>
        </w:rPr>
        <w:t xml:space="preserve">Community-led monitoring in Zimbabwe HIV programs.</w:t>
      </w:r>
    </w:p>
    <w:p>
      <w:pPr>
        <w:spacing w:after="200" w:line="300"/>
      </w:pPr>
      <w:r>
        <w:rPr>
          <w:rFonts w:ascii="Georgia" w:cs="Georgia" w:eastAsia="Georgia" w:hAnsi="Georgia"/>
          <w:i/>
          <w:iCs/>
          <w:color w:val="333333"/>
          <w:sz w:val="20"/>
          <w:szCs w:val="20"/>
        </w:rPr>
        <w:t xml:space="preserve">Echoing Green &amp; ABFE. </w:t>
      </w:r>
      <w:r>
        <w:rPr>
          <w:rFonts w:ascii="Georgia" w:cs="Georgia" w:eastAsia="Georgia" w:hAnsi="Georgia"/>
          <w:color w:val="333333"/>
          <w:sz w:val="20"/>
          <w:szCs w:val="20"/>
        </w:rPr>
        <w:t xml:space="preserve">State of Black-Led Nonprofit Organizations.</w:t>
      </w:r>
    </w:p>
    <w:p>
      <w:pPr>
        <w:spacing w:after="200" w:line="300"/>
      </w:pPr>
      <w:r>
        <w:rPr>
          <w:rFonts w:ascii="Georgia" w:cs="Georgia" w:eastAsia="Georgia" w:hAnsi="Georgia"/>
          <w:i/>
          <w:iCs/>
          <w:color w:val="333333"/>
          <w:sz w:val="20"/>
          <w:szCs w:val="20"/>
        </w:rPr>
        <w:t xml:space="preserve">Ford Foundation (2025). </w:t>
      </w:r>
      <w:r>
        <w:rPr>
          <w:rFonts w:ascii="Georgia" w:cs="Georgia" w:eastAsia="Georgia" w:hAnsi="Georgia"/>
          <w:color w:val="333333"/>
          <w:sz w:val="20"/>
          <w:szCs w:val="20"/>
        </w:rPr>
        <w:t xml:space="preserve">Evaluation of BUILD Initiative.</w:t>
      </w:r>
    </w:p>
    <w:p>
      <w:pPr>
        <w:spacing w:after="200" w:line="300"/>
      </w:pPr>
      <w:r>
        <w:rPr>
          <w:rFonts w:ascii="Georgia" w:cs="Georgia" w:eastAsia="Georgia" w:hAnsi="Georgia"/>
          <w:i/>
          <w:iCs/>
          <w:color w:val="333333"/>
          <w:sz w:val="20"/>
          <w:szCs w:val="20"/>
        </w:rPr>
        <w:t xml:space="preserve">Greenfield et al. (2008). </w:t>
      </w:r>
      <w:r>
        <w:rPr>
          <w:rFonts w:ascii="Georgia" w:cs="Georgia" w:eastAsia="Georgia" w:hAnsi="Georgia"/>
          <w:color w:val="333333"/>
          <w:sz w:val="20"/>
          <w:szCs w:val="20"/>
        </w:rPr>
        <w:t xml:space="preserve">Consumer-managed crisis residential RCT (n=393). PMC2782949</w:t>
      </w:r>
    </w:p>
    <w:p>
      <w:pPr>
        <w:spacing w:after="200" w:line="300"/>
      </w:pPr>
      <w:r>
        <w:rPr>
          <w:rFonts w:ascii="Georgia" w:cs="Georgia" w:eastAsia="Georgia" w:hAnsi="Georgia"/>
          <w:i/>
          <w:iCs/>
          <w:color w:val="333333"/>
          <w:sz w:val="20"/>
          <w:szCs w:val="20"/>
        </w:rPr>
        <w:t xml:space="preserve">Kerrigan et al. (2014). </w:t>
      </w:r>
      <w:r>
        <w:rPr>
          <w:rFonts w:ascii="Georgia" w:cs="Georgia" w:eastAsia="Georgia" w:hAnsi="Georgia"/>
          <w:color w:val="333333"/>
          <w:sz w:val="20"/>
          <w:szCs w:val="20"/>
        </w:rPr>
        <w:t xml:space="preserve">Sex worker community empowerment: systematic review &amp; meta-analysis.</w:t>
      </w:r>
    </w:p>
    <w:p>
      <w:pPr>
        <w:spacing w:after="200" w:line="300"/>
      </w:pPr>
      <w:r>
        <w:rPr>
          <w:rFonts w:ascii="Georgia" w:cs="Georgia" w:eastAsia="Georgia" w:hAnsi="Georgia"/>
          <w:i/>
          <w:iCs/>
          <w:color w:val="333333"/>
          <w:sz w:val="20"/>
          <w:szCs w:val="20"/>
        </w:rPr>
        <w:t xml:space="preserve">Lloyd-Evans et al. (2014). </w:t>
      </w:r>
      <w:r>
        <w:rPr>
          <w:rFonts w:ascii="Georgia" w:cs="Georgia" w:eastAsia="Georgia" w:hAnsi="Georgia"/>
          <w:color w:val="333333"/>
          <w:sz w:val="20"/>
          <w:szCs w:val="20"/>
        </w:rPr>
        <w:t xml:space="preserve">Peer support for severe mental illness: meta-analysis of 18 RCTs. PMC3933205</w:t>
      </w:r>
    </w:p>
    <w:p>
      <w:pPr>
        <w:spacing w:after="200" w:line="300"/>
      </w:pPr>
      <w:r>
        <w:rPr>
          <w:rFonts w:ascii="Georgia" w:cs="Georgia" w:eastAsia="Georgia" w:hAnsi="Georgia"/>
          <w:i/>
          <w:iCs/>
          <w:color w:val="333333"/>
          <w:sz w:val="20"/>
          <w:szCs w:val="20"/>
        </w:rPr>
        <w:t xml:space="preserve">Mansuri &amp; Rao (2013). </w:t>
      </w:r>
      <w:r>
        <w:rPr>
          <w:rFonts w:ascii="Georgia" w:cs="Georgia" w:eastAsia="Georgia" w:hAnsi="Georgia"/>
          <w:color w:val="333333"/>
          <w:sz w:val="20"/>
          <w:szCs w:val="20"/>
        </w:rPr>
        <w:t xml:space="preserve">Localizing Development: Does Participation Work? World Bank.</w:t>
      </w:r>
    </w:p>
    <w:p>
      <w:pPr>
        <w:spacing w:after="200" w:line="300"/>
      </w:pPr>
      <w:r>
        <w:rPr>
          <w:rFonts w:ascii="Georgia" w:cs="Georgia" w:eastAsia="Georgia" w:hAnsi="Georgia"/>
          <w:i/>
          <w:iCs/>
          <w:color w:val="333333"/>
          <w:sz w:val="20"/>
          <w:szCs w:val="20"/>
        </w:rPr>
        <w:t xml:space="preserve">McGrath et al. (2025). </w:t>
      </w:r>
      <w:r>
        <w:rPr>
          <w:rFonts w:ascii="Georgia" w:cs="Georgia" w:eastAsia="Georgia" w:hAnsi="Georgia"/>
          <w:color w:val="333333"/>
          <w:sz w:val="20"/>
          <w:szCs w:val="20"/>
        </w:rPr>
        <w:t xml:space="preserve">Humanitarian localization scoping review. BMJ Global Health.</w:t>
      </w:r>
    </w:p>
    <w:p>
      <w:pPr>
        <w:spacing w:after="200" w:line="300"/>
      </w:pPr>
      <w:r>
        <w:rPr>
          <w:rFonts w:ascii="Georgia" w:cs="Georgia" w:eastAsia="Georgia" w:hAnsi="Georgia"/>
          <w:i/>
          <w:iCs/>
          <w:color w:val="333333"/>
          <w:sz w:val="20"/>
          <w:szCs w:val="20"/>
        </w:rPr>
        <w:t xml:space="preserve">Medley et al. (2009). </w:t>
      </w:r>
      <w:r>
        <w:rPr>
          <w:rFonts w:ascii="Georgia" w:cs="Georgia" w:eastAsia="Georgia" w:hAnsi="Georgia"/>
          <w:color w:val="333333"/>
          <w:sz w:val="20"/>
          <w:szCs w:val="20"/>
        </w:rPr>
        <w:t xml:space="preserve">Peer education HIV meta-analysis (30 studies). PMC3927325</w:t>
      </w:r>
    </w:p>
    <w:p>
      <w:pPr>
        <w:spacing w:after="200" w:line="300"/>
      </w:pPr>
      <w:r>
        <w:rPr>
          <w:rFonts w:ascii="Georgia" w:cs="Georgia" w:eastAsia="Georgia" w:hAnsi="Georgia"/>
          <w:i/>
          <w:iCs/>
          <w:color w:val="333333"/>
          <w:sz w:val="20"/>
          <w:szCs w:val="20"/>
        </w:rPr>
        <w:t xml:space="preserve">National Philanthropic Trust (2024). </w:t>
      </w:r>
      <w:r>
        <w:rPr>
          <w:rFonts w:ascii="Georgia" w:cs="Georgia" w:eastAsia="Georgia" w:hAnsi="Georgia"/>
          <w:color w:val="333333"/>
          <w:sz w:val="20"/>
          <w:szCs w:val="20"/>
        </w:rPr>
        <w:t xml:space="preserve">Donor-Advised Fund Report.</w:t>
      </w:r>
    </w:p>
    <w:p>
      <w:pPr>
        <w:spacing w:after="200" w:line="300"/>
      </w:pPr>
      <w:r>
        <w:rPr>
          <w:rFonts w:ascii="Georgia" w:cs="Georgia" w:eastAsia="Georgia" w:hAnsi="Georgia"/>
          <w:i/>
          <w:iCs/>
          <w:color w:val="333333"/>
          <w:sz w:val="20"/>
          <w:szCs w:val="20"/>
        </w:rPr>
        <w:t xml:space="preserve">Segal et al. (2010). </w:t>
      </w:r>
      <w:r>
        <w:rPr>
          <w:rFonts w:ascii="Georgia" w:cs="Georgia" w:eastAsia="Georgia" w:hAnsi="Georgia"/>
          <w:color w:val="333333"/>
          <w:sz w:val="20"/>
          <w:szCs w:val="20"/>
        </w:rPr>
        <w:t xml:space="preserve">Self-help agencies RCT (n=1,042). PMC7518881</w:t>
      </w:r>
    </w:p>
    <w:p>
      <w:pPr>
        <w:spacing w:after="200" w:line="300"/>
      </w:pPr>
      <w:r>
        <w:rPr>
          <w:rFonts w:ascii="Georgia" w:cs="Georgia" w:eastAsia="Georgia" w:hAnsi="Georgia"/>
          <w:i/>
          <w:iCs/>
          <w:color w:val="333333"/>
          <w:sz w:val="20"/>
          <w:szCs w:val="20"/>
        </w:rPr>
        <w:t xml:space="preserve">Segal et al. (2011). </w:t>
      </w:r>
      <w:r>
        <w:rPr>
          <w:rFonts w:ascii="Georgia" w:cs="Georgia" w:eastAsia="Georgia" w:hAnsi="Georgia"/>
          <w:color w:val="333333"/>
          <w:sz w:val="20"/>
          <w:szCs w:val="20"/>
        </w:rPr>
        <w:t xml:space="preserve">Hierarchical consumer-operated program RCT (n=139).</w:t>
      </w:r>
    </w:p>
    <w:p>
      <w:pPr>
        <w:spacing w:after="200" w:line="300"/>
      </w:pPr>
      <w:r>
        <w:rPr>
          <w:rFonts w:ascii="Georgia" w:cs="Georgia" w:eastAsia="Georgia" w:hAnsi="Georgia"/>
          <w:i/>
          <w:iCs/>
          <w:color w:val="333333"/>
          <w:sz w:val="20"/>
          <w:szCs w:val="20"/>
        </w:rPr>
        <w:t xml:space="preserve">White et al. (2020). </w:t>
      </w:r>
      <w:r>
        <w:rPr>
          <w:rFonts w:ascii="Georgia" w:cs="Georgia" w:eastAsia="Georgia" w:hAnsi="Georgia"/>
          <w:color w:val="333333"/>
          <w:sz w:val="20"/>
          <w:szCs w:val="20"/>
        </w:rPr>
        <w:t xml:space="preserve">One-to-one peer support meta-analysis. PMC7657356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KINDORA  |  Strategy &amp; Operating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60" w:after="140"/>
      <w:outlineLvl w:val="1"/>
    </w:pPr>
    <w:rPr>
      <w:rFonts w:ascii="Arial" w:cs="Arial" w:eastAsia="Arial" w:hAnsi="Arial"/>
      <w:b/>
      <w:bCs/>
      <w:color w:val="0D737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2026-02-22T10:14:22.786Z</dcterms:created>
  <dcterms:modified xsi:type="dcterms:W3CDTF">2026-02-22T10:14:22.786Z</dcterms:modified>
</cp:coreProperties>
</file>

<file path=docProps/custom.xml><?xml version="1.0" encoding="utf-8"?>
<Properties xmlns="http://schemas.openxmlformats.org/officeDocument/2006/custom-properties" xmlns:vt="http://schemas.openxmlformats.org/officeDocument/2006/docPropsVTypes"/>
</file>