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to-knowledge-orchestrator-assignment"/>
    <w:p>
      <w:pPr>
        <w:pStyle w:val="Heading1"/>
      </w:pPr>
      <w:r>
        <w:t xml:space="preserve">CTO-Knowledge-Orchestrator Assignment</w:t>
      </w:r>
    </w:p>
    <w:bookmarkStart w:id="20" w:name="X42c6b7e6889a20f2e330c244b962756afd0ba9f"/>
    <w:p>
      <w:pPr>
        <w:pStyle w:val="Heading2"/>
      </w:pPr>
      <w:r>
        <w:t xml:space="preserve">Sales Ops Current-State Audit and Contract Freeze</w:t>
      </w:r>
    </w:p>
    <w:p>
      <w:pPr>
        <w:pStyle w:val="FirstParagraph"/>
      </w:pPr>
      <w:r>
        <w:t xml:space="preserve">You are the technical assurance and cross-repository contract authority for this phase.</w:t>
      </w:r>
    </w:p>
    <w:p>
      <w:pPr>
        <w:pStyle w:val="BodyText"/>
      </w:pPr>
      <w:r>
        <w:t xml:space="preserve">Perform a read-only audit first. Do not modify production code, migrations, schemas, generated contracts, or service behavior during the audit.</w:t>
      </w:r>
    </w:p>
    <w:bookmarkEnd w:id="20"/>
    <w:bookmarkStart w:id="2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Establish the verified implementation baseline required to stabilize TrueVow Sales Ops and its handoff to SaaS Admin.</w:t>
      </w:r>
    </w:p>
    <w:p>
      <w:pPr>
        <w:pStyle w:val="BodyText"/>
      </w:pPr>
      <w:r>
        <w:t xml:space="preserve">The platform contains two separate bounded ontologies:</w:t>
      </w:r>
    </w:p>
    <w:p>
      <w:pPr>
        <w:pStyle w:val="Compact"/>
        <w:numPr>
          <w:ilvl w:val="0"/>
          <w:numId w:val="1001"/>
        </w:numPr>
      </w:pPr>
      <w:r>
        <w:t xml:space="preserve">Sales Ops ontology — TrueVow acquiring law-firm customers.</w:t>
      </w:r>
    </w:p>
    <w:p>
      <w:pPr>
        <w:pStyle w:val="Compact"/>
        <w:numPr>
          <w:ilvl w:val="0"/>
          <w:numId w:val="1001"/>
        </w:numPr>
      </w:pPr>
      <w:r>
        <w:t xml:space="preserve">Legal Product ontology — tenant law firms handling injured clients through INTAKE, RETAINER, TRACE, and SETTLE.</w:t>
      </w:r>
    </w:p>
    <w:p>
      <w:pPr>
        <w:pStyle w:val="FirstParagraph"/>
      </w:pPr>
      <w:r>
        <w:t xml:space="preserve">Do not map Sales Ops Lead, CustomerApplication, QualificationAssessment, ApprovalDecision, CustomerCandidate, or HandoffPackage to legal-product entities such as Inquiry or Matter Candidate.</w:t>
      </w:r>
    </w:p>
    <w:p>
      <w:pPr>
        <w:pStyle w:val="BodyText"/>
      </w:pPr>
      <w:r>
        <w:t xml:space="preserve">The only business bridge is:</w:t>
      </w:r>
    </w:p>
    <w:p>
      <w:pPr>
        <w:pStyle w:val="BodyText"/>
      </w:pPr>
      <w:r>
        <w:t xml:space="preserve">Sales Ops HandoffPackage</w:t>
      </w:r>
      <w:r>
        <w:br/>
      </w:r>
      <w:r>
        <w:t xml:space="preserve">→ SaaS Admin translation</w:t>
      </w:r>
      <w:r>
        <w:br/>
      </w:r>
      <w:r>
        <w:t xml:space="preserve">→ Organization, ContactPoint, Tenant, and product entitlements.</w:t>
      </w:r>
    </w:p>
    <w:bookmarkEnd w:id="21"/>
    <w:bookmarkStart w:id="22" w:name="required-repository-inspection"/>
    <w:p>
      <w:pPr>
        <w:pStyle w:val="Heading2"/>
      </w:pPr>
      <w:r>
        <w:t xml:space="preserve">Required repository inspection</w:t>
      </w:r>
    </w:p>
    <w:p>
      <w:pPr>
        <w:pStyle w:val="FirstParagraph"/>
      </w:pPr>
      <w:r>
        <w:t xml:space="preserve">Inspect the authoritative repositories and documents for:</w:t>
      </w:r>
    </w:p>
    <w:p>
      <w:pPr>
        <w:pStyle w:val="Compact"/>
        <w:numPr>
          <w:ilvl w:val="0"/>
          <w:numId w:val="1002"/>
        </w:numPr>
      </w:pPr>
      <w:r>
        <w:t xml:space="preserve">Sales Ops TypeScript application</w:t>
      </w:r>
    </w:p>
    <w:p>
      <w:pPr>
        <w:pStyle w:val="Compact"/>
        <w:numPr>
          <w:ilvl w:val="0"/>
          <w:numId w:val="1002"/>
        </w:numPr>
      </w:pPr>
      <w:r>
        <w:t xml:space="preserve">Sales Ops Python data pipeline</w:t>
      </w:r>
    </w:p>
    <w:p>
      <w:pPr>
        <w:pStyle w:val="Compact"/>
        <w:numPr>
          <w:ilvl w:val="0"/>
          <w:numId w:val="1002"/>
        </w:numPr>
      </w:pPr>
      <w:r>
        <w:t xml:space="preserve">SaaS Admin</w:t>
      </w:r>
    </w:p>
    <w:p>
      <w:pPr>
        <w:pStyle w:val="Compact"/>
        <w:numPr>
          <w:ilvl w:val="0"/>
          <w:numId w:val="1002"/>
        </w:numPr>
      </w:pPr>
      <w:r>
        <w:t xml:space="preserve">Shared contract registry</w:t>
      </w:r>
    </w:p>
    <w:p>
      <w:pPr>
        <w:pStyle w:val="Compact"/>
        <w:numPr>
          <w:ilvl w:val="0"/>
          <w:numId w:val="1002"/>
        </w:numPr>
      </w:pPr>
      <w:r>
        <w:t xml:space="preserve">Golden contract fixtures</w:t>
      </w:r>
    </w:p>
    <w:p>
      <w:pPr>
        <w:pStyle w:val="Compact"/>
        <w:numPr>
          <w:ilvl w:val="0"/>
          <w:numId w:val="1002"/>
        </w:numPr>
      </w:pPr>
      <w:r>
        <w:t xml:space="preserve">Platform ontology registry</w:t>
      </w:r>
    </w:p>
    <w:p>
      <w:pPr>
        <w:pStyle w:val="Compact"/>
        <w:numPr>
          <w:ilvl w:val="0"/>
          <w:numId w:val="1002"/>
        </w:numPr>
      </w:pPr>
      <w:r>
        <w:t xml:space="preserve">Platform map</w:t>
      </w:r>
    </w:p>
    <w:p>
      <w:pPr>
        <w:pStyle w:val="Compact"/>
        <w:numPr>
          <w:ilvl w:val="0"/>
          <w:numId w:val="1002"/>
        </w:numPr>
      </w:pPr>
      <w:r>
        <w:t xml:space="preserve">Service dependency map</w:t>
      </w:r>
    </w:p>
    <w:p>
      <w:pPr>
        <w:pStyle w:val="Compact"/>
        <w:numPr>
          <w:ilvl w:val="0"/>
          <w:numId w:val="1002"/>
        </w:numPr>
      </w:pPr>
      <w:r>
        <w:t xml:space="preserve">Controlled pilot freeze</w:t>
      </w:r>
    </w:p>
    <w:p>
      <w:pPr>
        <w:pStyle w:val="Compact"/>
        <w:numPr>
          <w:ilvl w:val="0"/>
          <w:numId w:val="1002"/>
        </w:numPr>
      </w:pPr>
      <w:r>
        <w:t xml:space="preserve">Canonical decisions</w:t>
      </w:r>
    </w:p>
    <w:p>
      <w:pPr>
        <w:pStyle w:val="Compact"/>
        <w:numPr>
          <w:ilvl w:val="0"/>
          <w:numId w:val="1002"/>
        </w:numPr>
      </w:pPr>
      <w:r>
        <w:t xml:space="preserve">Existing database migrations</w:t>
      </w:r>
    </w:p>
    <w:p>
      <w:pPr>
        <w:pStyle w:val="Compact"/>
        <w:numPr>
          <w:ilvl w:val="0"/>
          <w:numId w:val="1002"/>
        </w:numPr>
      </w:pPr>
      <w:r>
        <w:t xml:space="preserve">Existing webhook implementations and tests</w:t>
      </w:r>
    </w:p>
    <w:bookmarkEnd w:id="22"/>
    <w:bookmarkStart w:id="30" w:name="required-findings"/>
    <w:p>
      <w:pPr>
        <w:pStyle w:val="Heading2"/>
      </w:pPr>
      <w:r>
        <w:t xml:space="preserve">Required findings</w:t>
      </w:r>
    </w:p>
    <w:bookmarkStart w:id="23" w:name="service-and-endpoint-reality"/>
    <w:p>
      <w:pPr>
        <w:pStyle w:val="Heading3"/>
      </w:pPr>
      <w:r>
        <w:t xml:space="preserve">1. Service and endpoint reality</w:t>
      </w:r>
    </w:p>
    <w:p>
      <w:pPr>
        <w:pStyle w:val="FirstParagraph"/>
      </w:pPr>
      <w:r>
        <w:t xml:space="preserve">Verify in code:</w:t>
      </w:r>
    </w:p>
    <w:p>
      <w:pPr>
        <w:pStyle w:val="Compact"/>
        <w:numPr>
          <w:ilvl w:val="0"/>
          <w:numId w:val="1003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POST /webhooks/sales-ops/application-approved</w:t>
      </w:r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03"/>
        </w:numPr>
      </w:pPr>
      <w:r>
        <w:t xml:space="preserve">Whether it is actually called by Sales Ops</w:t>
      </w:r>
    </w:p>
    <w:p>
      <w:pPr>
        <w:pStyle w:val="Compact"/>
        <w:numPr>
          <w:ilvl w:val="0"/>
          <w:numId w:val="1003"/>
        </w:numPr>
      </w:pPr>
      <w:r>
        <w:t xml:space="preserve">Whether SaaS Admin processes or merely logs the request</w:t>
      </w:r>
    </w:p>
    <w:p>
      <w:pPr>
        <w:pStyle w:val="Compact"/>
        <w:numPr>
          <w:ilvl w:val="0"/>
          <w:numId w:val="1003"/>
        </w:numPr>
      </w:pPr>
      <w:r>
        <w:t xml:space="preserve">Authentication and HMAC implementation</w:t>
      </w:r>
    </w:p>
    <w:p>
      <w:pPr>
        <w:pStyle w:val="Compact"/>
        <w:numPr>
          <w:ilvl w:val="0"/>
          <w:numId w:val="1003"/>
        </w:numPr>
      </w:pPr>
      <w:r>
        <w:t xml:space="preserve">Idempotency implementation</w:t>
      </w:r>
    </w:p>
    <w:p>
      <w:pPr>
        <w:pStyle w:val="Compact"/>
        <w:numPr>
          <w:ilvl w:val="0"/>
          <w:numId w:val="1003"/>
        </w:numPr>
      </w:pPr>
      <w:r>
        <w:t xml:space="preserve">Replay-window implementation</w:t>
      </w:r>
    </w:p>
    <w:p>
      <w:pPr>
        <w:pStyle w:val="Compact"/>
        <w:numPr>
          <w:ilvl w:val="0"/>
          <w:numId w:val="1003"/>
        </w:numPr>
      </w:pPr>
      <w:r>
        <w:t xml:space="preserve">Error response behavior</w:t>
      </w:r>
    </w:p>
    <w:p>
      <w:pPr>
        <w:pStyle w:val="Compact"/>
        <w:numPr>
          <w:ilvl w:val="0"/>
          <w:numId w:val="1003"/>
        </w:numPr>
      </w:pPr>
      <w:r>
        <w:t xml:space="preserve">Retry behavior</w:t>
      </w:r>
    </w:p>
    <w:p>
      <w:pPr>
        <w:pStyle w:val="Compact"/>
        <w:numPr>
          <w:ilvl w:val="0"/>
          <w:numId w:val="1003"/>
        </w:numPr>
      </w:pPr>
      <w:r>
        <w:t xml:space="preserve">Whether an acknowledgment is returned</w:t>
      </w:r>
    </w:p>
    <w:p>
      <w:pPr>
        <w:pStyle w:val="Compact"/>
        <w:numPr>
          <w:ilvl w:val="0"/>
          <w:numId w:val="1003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POST /webhooks/saas-admin/tenant.created</w:t>
      </w:r>
      <w:r>
        <w:t xml:space="preserve"> </w:t>
      </w:r>
      <w:r>
        <w:t xml:space="preserve">is still a stub</w:t>
      </w:r>
    </w:p>
    <w:p>
      <w:pPr>
        <w:pStyle w:val="Compact"/>
        <w:numPr>
          <w:ilvl w:val="0"/>
          <w:numId w:val="1003"/>
        </w:numPr>
      </w:pPr>
      <w:r>
        <w:t xml:space="preserve">Whether any undocumented cross-domain calls exist</w:t>
      </w:r>
    </w:p>
    <w:p>
      <w:pPr>
        <w:pStyle w:val="FirstParagraph"/>
      </w:pPr>
      <w:r>
        <w:t xml:space="preserve">Mark every item:</w:t>
      </w:r>
    </w:p>
    <w:p>
      <w:pPr>
        <w:pStyle w:val="Compact"/>
        <w:numPr>
          <w:ilvl w:val="0"/>
          <w:numId w:val="1004"/>
        </w:numPr>
      </w:pPr>
      <w:r>
        <w:t xml:space="preserve">LIVE</w:t>
      </w:r>
    </w:p>
    <w:p>
      <w:pPr>
        <w:pStyle w:val="Compact"/>
        <w:numPr>
          <w:ilvl w:val="0"/>
          <w:numId w:val="1004"/>
        </w:numPr>
      </w:pPr>
      <w:r>
        <w:t xml:space="preserve">PARTIAL</w:t>
      </w:r>
    </w:p>
    <w:p>
      <w:pPr>
        <w:pStyle w:val="Compact"/>
        <w:numPr>
          <w:ilvl w:val="0"/>
          <w:numId w:val="1004"/>
        </w:numPr>
      </w:pPr>
      <w:r>
        <w:t xml:space="preserve">STUB</w:t>
      </w:r>
    </w:p>
    <w:p>
      <w:pPr>
        <w:pStyle w:val="Compact"/>
        <w:numPr>
          <w:ilvl w:val="0"/>
          <w:numId w:val="1004"/>
        </w:numPr>
      </w:pPr>
      <w:r>
        <w:t xml:space="preserve">DEAD CODE</w:t>
      </w:r>
    </w:p>
    <w:p>
      <w:pPr>
        <w:pStyle w:val="Compact"/>
        <w:numPr>
          <w:ilvl w:val="0"/>
          <w:numId w:val="1004"/>
        </w:numPr>
      </w:pPr>
      <w:r>
        <w:t xml:space="preserve">DOCUMENTED ONLY</w:t>
      </w:r>
    </w:p>
    <w:p>
      <w:pPr>
        <w:pStyle w:val="Compact"/>
        <w:numPr>
          <w:ilvl w:val="0"/>
          <w:numId w:val="1004"/>
        </w:numPr>
      </w:pPr>
      <w:r>
        <w:t xml:space="preserve">NOT FOUND</w:t>
      </w:r>
    </w:p>
    <w:bookmarkEnd w:id="23"/>
    <w:bookmarkStart w:id="24" w:name="eventenvelope-exact-schema-diff"/>
    <w:p>
      <w:pPr>
        <w:pStyle w:val="Heading3"/>
      </w:pPr>
      <w:r>
        <w:t xml:space="preserve">2. EventEnvelope exact schema diff</w:t>
      </w:r>
    </w:p>
    <w:p>
      <w:pPr>
        <w:pStyle w:val="FirstParagraph"/>
      </w:pPr>
      <w:r>
        <w:t xml:space="preserve">Compare the Sales Ops event structure against frozen</w:t>
      </w:r>
      <w:r>
        <w:t xml:space="preserve"> </w:t>
      </w:r>
      <w:r>
        <w:rPr>
          <w:rStyle w:val="VerbatimChar"/>
        </w:rPr>
        <w:t xml:space="preserve">EventEnvelope v1.0.1</w:t>
      </w:r>
      <w:r>
        <w:t xml:space="preserve">.</w:t>
      </w:r>
    </w:p>
    <w:p>
      <w:pPr>
        <w:pStyle w:val="BodyText"/>
      </w:pPr>
      <w:r>
        <w:t xml:space="preserve">Do not rely on reported field counts.</w:t>
      </w:r>
    </w:p>
    <w:p>
      <w:pPr>
        <w:pStyle w:val="BodyText"/>
      </w:pPr>
      <w:r>
        <w:t xml:space="preserve">Produce an exact field-by-field diff containing:</w:t>
      </w:r>
    </w:p>
    <w:p>
      <w:pPr>
        <w:pStyle w:val="Compact"/>
        <w:numPr>
          <w:ilvl w:val="0"/>
          <w:numId w:val="1005"/>
        </w:numPr>
      </w:pPr>
      <w:r>
        <w:t xml:space="preserve">Canonical field name</w:t>
      </w:r>
    </w:p>
    <w:p>
      <w:pPr>
        <w:pStyle w:val="Compact"/>
        <w:numPr>
          <w:ilvl w:val="0"/>
          <w:numId w:val="1005"/>
        </w:numPr>
      </w:pPr>
      <w:r>
        <w:t xml:space="preserve">Canonical type</w:t>
      </w:r>
    </w:p>
    <w:p>
      <w:pPr>
        <w:pStyle w:val="Compact"/>
        <w:numPr>
          <w:ilvl w:val="0"/>
          <w:numId w:val="1005"/>
        </w:numPr>
      </w:pPr>
      <w:r>
        <w:t xml:space="preserve">Required or nullable</w:t>
      </w:r>
    </w:p>
    <w:p>
      <w:pPr>
        <w:pStyle w:val="Compact"/>
        <w:numPr>
          <w:ilvl w:val="0"/>
          <w:numId w:val="1005"/>
        </w:numPr>
      </w:pPr>
      <w:r>
        <w:t xml:space="preserve">Sales Ops equivalent</w:t>
      </w:r>
    </w:p>
    <w:p>
      <w:pPr>
        <w:pStyle w:val="Compact"/>
        <w:numPr>
          <w:ilvl w:val="0"/>
          <w:numId w:val="1005"/>
        </w:numPr>
      </w:pPr>
      <w:r>
        <w:t xml:space="preserve">SaaS Admin equivalent</w:t>
      </w:r>
    </w:p>
    <w:p>
      <w:pPr>
        <w:pStyle w:val="Compact"/>
        <w:numPr>
          <w:ilvl w:val="0"/>
          <w:numId w:val="1005"/>
        </w:numPr>
      </w:pPr>
      <w:r>
        <w:t xml:space="preserve">Compatibility status</w:t>
      </w:r>
    </w:p>
    <w:p>
      <w:pPr>
        <w:pStyle w:val="Compact"/>
        <w:numPr>
          <w:ilvl w:val="0"/>
          <w:numId w:val="1005"/>
        </w:numPr>
      </w:pPr>
      <w:r>
        <w:t xml:space="preserve">Migration required</w:t>
      </w:r>
    </w:p>
    <w:p>
      <w:pPr>
        <w:pStyle w:val="Compact"/>
        <w:numPr>
          <w:ilvl w:val="0"/>
          <w:numId w:val="1005"/>
        </w:numPr>
      </w:pPr>
      <w:r>
        <w:t xml:space="preserve">Defaulting rule</w:t>
      </w:r>
    </w:p>
    <w:p>
      <w:pPr>
        <w:pStyle w:val="FirstParagraph"/>
      </w:pPr>
      <w:r>
        <w:t xml:space="preserve">Pay particular attention to:</w:t>
      </w:r>
    </w:p>
    <w:p>
      <w:pPr>
        <w:pStyle w:val="Compact"/>
        <w:numPr>
          <w:ilvl w:val="0"/>
          <w:numId w:val="1006"/>
        </w:numPr>
      </w:pPr>
      <w:r>
        <w:t xml:space="preserve">authority_class</w:t>
      </w:r>
    </w:p>
    <w:p>
      <w:pPr>
        <w:pStyle w:val="Compact"/>
        <w:numPr>
          <w:ilvl w:val="0"/>
          <w:numId w:val="1006"/>
        </w:numPr>
      </w:pPr>
      <w:r>
        <w:t xml:space="preserve">authority_record_id</w:t>
      </w:r>
    </w:p>
    <w:p>
      <w:pPr>
        <w:pStyle w:val="Compact"/>
        <w:numPr>
          <w:ilvl w:val="0"/>
          <w:numId w:val="1006"/>
        </w:numPr>
      </w:pPr>
      <w:r>
        <w:t xml:space="preserve">policy_version_id</w:t>
      </w:r>
    </w:p>
    <w:p>
      <w:pPr>
        <w:pStyle w:val="Compact"/>
        <w:numPr>
          <w:ilvl w:val="0"/>
          <w:numId w:val="1006"/>
        </w:numPr>
      </w:pPr>
      <w:r>
        <w:t xml:space="preserve">sensitivity_class</w:t>
      </w:r>
    </w:p>
    <w:p>
      <w:pPr>
        <w:pStyle w:val="Compact"/>
        <w:numPr>
          <w:ilvl w:val="0"/>
          <w:numId w:val="1006"/>
        </w:numPr>
      </w:pPr>
      <w:r>
        <w:t xml:space="preserve">tenant_id</w:t>
      </w:r>
    </w:p>
    <w:p>
      <w:pPr>
        <w:pStyle w:val="Compact"/>
        <w:numPr>
          <w:ilvl w:val="0"/>
          <w:numId w:val="1006"/>
        </w:numPr>
      </w:pPr>
      <w:r>
        <w:t xml:space="preserve">event_id</w:t>
      </w:r>
    </w:p>
    <w:p>
      <w:pPr>
        <w:pStyle w:val="Compact"/>
        <w:numPr>
          <w:ilvl w:val="0"/>
          <w:numId w:val="1006"/>
        </w:numPr>
      </w:pPr>
      <w:r>
        <w:t xml:space="preserve">correlation_id</w:t>
      </w:r>
    </w:p>
    <w:p>
      <w:pPr>
        <w:pStyle w:val="Compact"/>
        <w:numPr>
          <w:ilvl w:val="0"/>
          <w:numId w:val="1006"/>
        </w:numPr>
      </w:pPr>
      <w:r>
        <w:t xml:space="preserve">causation_id</w:t>
      </w:r>
    </w:p>
    <w:p>
      <w:pPr>
        <w:pStyle w:val="Compact"/>
        <w:numPr>
          <w:ilvl w:val="0"/>
          <w:numId w:val="1006"/>
        </w:numPr>
      </w:pPr>
      <w:r>
        <w:t xml:space="preserve">aggregate_id</w:t>
      </w:r>
    </w:p>
    <w:p>
      <w:pPr>
        <w:pStyle w:val="Compact"/>
        <w:numPr>
          <w:ilvl w:val="0"/>
          <w:numId w:val="1006"/>
        </w:numPr>
      </w:pPr>
      <w:r>
        <w:t xml:space="preserve">aggregate_version</w:t>
      </w:r>
    </w:p>
    <w:p>
      <w:pPr>
        <w:pStyle w:val="Compact"/>
        <w:numPr>
          <w:ilvl w:val="0"/>
          <w:numId w:val="1006"/>
        </w:numPr>
      </w:pPr>
      <w:r>
        <w:t xml:space="preserve">occurred_at</w:t>
      </w:r>
    </w:p>
    <w:p>
      <w:pPr>
        <w:pStyle w:val="Compact"/>
        <w:numPr>
          <w:ilvl w:val="0"/>
          <w:numId w:val="1006"/>
        </w:numPr>
      </w:pPr>
      <w:r>
        <w:t xml:space="preserve">producer</w:t>
      </w:r>
    </w:p>
    <w:p>
      <w:pPr>
        <w:pStyle w:val="Compact"/>
        <w:numPr>
          <w:ilvl w:val="0"/>
          <w:numId w:val="1006"/>
        </w:numPr>
      </w:pPr>
      <w:r>
        <w:t xml:space="preserve">event_version</w:t>
      </w:r>
    </w:p>
    <w:p>
      <w:pPr>
        <w:pStyle w:val="FirstParagraph"/>
      </w:pPr>
      <w:r>
        <w:t xml:space="preserve">For pre-tenant Sales Ops events, determine whether</w:t>
      </w:r>
      <w:r>
        <w:t xml:space="preserve"> </w:t>
      </w:r>
      <w:r>
        <w:rPr>
          <w:rStyle w:val="VerbatimChar"/>
        </w:rPr>
        <w:t xml:space="preserve">tenant_id = null</w:t>
      </w:r>
      <w:r>
        <w:t xml:space="preserve"> </w:t>
      </w:r>
      <w:r>
        <w:t xml:space="preserve">is permitted by the frozen contract. Do not alter the contract until this is proven.</w:t>
      </w:r>
    </w:p>
    <w:bookmarkEnd w:id="24"/>
    <w:bookmarkStart w:id="25" w:name="sales-ops-lifecycle-audit"/>
    <w:p>
      <w:pPr>
        <w:pStyle w:val="Heading3"/>
      </w:pPr>
      <w:r>
        <w:t xml:space="preserve">3. Sales Ops lifecycle audit</w:t>
      </w:r>
    </w:p>
    <w:p>
      <w:pPr>
        <w:pStyle w:val="FirstParagraph"/>
      </w:pPr>
      <w:r>
        <w:t xml:space="preserve">Extract all lead, application, campaign, qualification, and handoff states from:</w:t>
      </w:r>
    </w:p>
    <w:p>
      <w:pPr>
        <w:pStyle w:val="Compact"/>
        <w:numPr>
          <w:ilvl w:val="0"/>
          <w:numId w:val="1007"/>
        </w:numPr>
      </w:pPr>
      <w:r>
        <w:t xml:space="preserve">TypeScript enums</w:t>
      </w:r>
    </w:p>
    <w:p>
      <w:pPr>
        <w:pStyle w:val="Compact"/>
        <w:numPr>
          <w:ilvl w:val="0"/>
          <w:numId w:val="1007"/>
        </w:numPr>
      </w:pPr>
      <w:r>
        <w:t xml:space="preserve">Python enums/constants</w:t>
      </w:r>
    </w:p>
    <w:p>
      <w:pPr>
        <w:pStyle w:val="Compact"/>
        <w:numPr>
          <w:ilvl w:val="0"/>
          <w:numId w:val="1007"/>
        </w:numPr>
      </w:pPr>
      <w:r>
        <w:t xml:space="preserve">Database constraints</w:t>
      </w:r>
    </w:p>
    <w:p>
      <w:pPr>
        <w:pStyle w:val="Compact"/>
        <w:numPr>
          <w:ilvl w:val="0"/>
          <w:numId w:val="1007"/>
        </w:numPr>
      </w:pPr>
      <w:r>
        <w:t xml:space="preserve">Migration files</w:t>
      </w:r>
    </w:p>
    <w:p>
      <w:pPr>
        <w:pStyle w:val="Compact"/>
        <w:numPr>
          <w:ilvl w:val="0"/>
          <w:numId w:val="1007"/>
        </w:numPr>
      </w:pPr>
      <w:r>
        <w:t xml:space="preserve">API validators</w:t>
      </w:r>
    </w:p>
    <w:p>
      <w:pPr>
        <w:pStyle w:val="Compact"/>
        <w:numPr>
          <w:ilvl w:val="0"/>
          <w:numId w:val="1007"/>
        </w:numPr>
      </w:pPr>
      <w:r>
        <w:t xml:space="preserve">Tests</w:t>
      </w:r>
    </w:p>
    <w:p>
      <w:pPr>
        <w:pStyle w:val="Compact"/>
        <w:numPr>
          <w:ilvl w:val="0"/>
          <w:numId w:val="1007"/>
        </w:numPr>
      </w:pPr>
      <w:r>
        <w:t xml:space="preserve">UI status labels</w:t>
      </w:r>
    </w:p>
    <w:p>
      <w:pPr>
        <w:pStyle w:val="FirstParagraph"/>
      </w:pPr>
      <w:r>
        <w:t xml:space="preserve">Compare them against the canonical Sales Ops lifecycle.</w:t>
      </w:r>
    </w:p>
    <w:p>
      <w:pPr>
        <w:pStyle w:val="BodyText"/>
      </w:pPr>
      <w:r>
        <w:t xml:space="preserve">Identify:</w:t>
      </w:r>
    </w:p>
    <w:p>
      <w:pPr>
        <w:pStyle w:val="Compact"/>
        <w:numPr>
          <w:ilvl w:val="0"/>
          <w:numId w:val="1008"/>
        </w:numPr>
      </w:pPr>
      <w:r>
        <w:t xml:space="preserve">Missing states</w:t>
      </w:r>
    </w:p>
    <w:p>
      <w:pPr>
        <w:pStyle w:val="Compact"/>
        <w:numPr>
          <w:ilvl w:val="0"/>
          <w:numId w:val="1008"/>
        </w:numPr>
      </w:pPr>
      <w:r>
        <w:t xml:space="preserve">Duplicate states</w:t>
      </w:r>
    </w:p>
    <w:p>
      <w:pPr>
        <w:pStyle w:val="Compact"/>
        <w:numPr>
          <w:ilvl w:val="0"/>
          <w:numId w:val="1008"/>
        </w:numPr>
      </w:pPr>
      <w:r>
        <w:t xml:space="preserve">Conflicting names</w:t>
      </w:r>
    </w:p>
    <w:p>
      <w:pPr>
        <w:pStyle w:val="Compact"/>
        <w:numPr>
          <w:ilvl w:val="0"/>
          <w:numId w:val="1008"/>
        </w:numPr>
      </w:pPr>
      <w:r>
        <w:t xml:space="preserve">Illegal transitions</w:t>
      </w:r>
    </w:p>
    <w:p>
      <w:pPr>
        <w:pStyle w:val="Compact"/>
        <w:numPr>
          <w:ilvl w:val="0"/>
          <w:numId w:val="1008"/>
        </w:numPr>
      </w:pPr>
      <w:r>
        <w:t xml:space="preserve">Unreachable states</w:t>
      </w:r>
    </w:p>
    <w:p>
      <w:pPr>
        <w:pStyle w:val="Compact"/>
        <w:numPr>
          <w:ilvl w:val="0"/>
          <w:numId w:val="1008"/>
        </w:numPr>
      </w:pPr>
      <w:r>
        <w:t xml:space="preserve">States used only in UI</w:t>
      </w:r>
    </w:p>
    <w:p>
      <w:pPr>
        <w:pStyle w:val="Compact"/>
        <w:numPr>
          <w:ilvl w:val="0"/>
          <w:numId w:val="1008"/>
        </w:numPr>
      </w:pPr>
      <w:r>
        <w:t xml:space="preserve">States used only in scripts</w:t>
      </w:r>
    </w:p>
    <w:p>
      <w:pPr>
        <w:pStyle w:val="Compact"/>
        <w:numPr>
          <w:ilvl w:val="0"/>
          <w:numId w:val="1008"/>
        </w:numPr>
      </w:pPr>
      <w:r>
        <w:t xml:space="preserve">Database values not represented in code</w:t>
      </w:r>
    </w:p>
    <w:p>
      <w:pPr>
        <w:pStyle w:val="Compact"/>
        <w:numPr>
          <w:ilvl w:val="0"/>
          <w:numId w:val="1008"/>
        </w:numPr>
      </w:pPr>
      <w:r>
        <w:t xml:space="preserve">Code values not allowed by the database</w:t>
      </w:r>
    </w:p>
    <w:bookmarkEnd w:id="25"/>
    <w:bookmarkStart w:id="26" w:name="pipeline-audit"/>
    <w:p>
      <w:pPr>
        <w:pStyle w:val="Heading3"/>
      </w:pPr>
      <w:r>
        <w:t xml:space="preserve">4. Pipeline audit</w:t>
      </w:r>
    </w:p>
    <w:p>
      <w:pPr>
        <w:pStyle w:val="FirstParagraph"/>
      </w:pPr>
      <w:r>
        <w:t xml:space="preserve">Resolve the discrepancy between the stated sixteen-stage TypeScript pipeline and the actually implemented stages.</w:t>
      </w:r>
    </w:p>
    <w:p>
      <w:pPr>
        <w:pStyle w:val="BodyText"/>
      </w:pPr>
      <w:r>
        <w:t xml:space="preserve">Produce the exact stage list for:</w:t>
      </w:r>
    </w:p>
    <w:p>
      <w:pPr>
        <w:pStyle w:val="Compact"/>
        <w:numPr>
          <w:ilvl w:val="0"/>
          <w:numId w:val="1009"/>
        </w:numPr>
      </w:pPr>
      <w:r>
        <w:t xml:space="preserve">TypeScript runtime pipeline</w:t>
      </w:r>
    </w:p>
    <w:p>
      <w:pPr>
        <w:pStyle w:val="Compact"/>
        <w:numPr>
          <w:ilvl w:val="0"/>
          <w:numId w:val="1009"/>
        </w:numPr>
      </w:pPr>
      <w:r>
        <w:t xml:space="preserve">Python batch pipeline</w:t>
      </w:r>
    </w:p>
    <w:p>
      <w:pPr>
        <w:pStyle w:val="Compact"/>
        <w:numPr>
          <w:ilvl w:val="0"/>
          <w:numId w:val="1009"/>
        </w:numPr>
      </w:pPr>
      <w:r>
        <w:t xml:space="preserve">Database progress records</w:t>
      </w:r>
    </w:p>
    <w:p>
      <w:pPr>
        <w:pStyle w:val="Compact"/>
        <w:numPr>
          <w:ilvl w:val="0"/>
          <w:numId w:val="1009"/>
        </w:numPr>
      </w:pPr>
      <w:r>
        <w:t xml:space="preserve">Any legacy agent pipeline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10"/>
        </w:numPr>
      </w:pPr>
      <w:r>
        <w:t xml:space="preserve">Stage owner</w:t>
      </w:r>
    </w:p>
    <w:p>
      <w:pPr>
        <w:pStyle w:val="Compact"/>
        <w:numPr>
          <w:ilvl w:val="0"/>
          <w:numId w:val="1010"/>
        </w:numPr>
      </w:pPr>
      <w:r>
        <w:t xml:space="preserve">Input</w:t>
      </w:r>
    </w:p>
    <w:p>
      <w:pPr>
        <w:pStyle w:val="Compact"/>
        <w:numPr>
          <w:ilvl w:val="0"/>
          <w:numId w:val="1010"/>
        </w:numPr>
      </w:pPr>
      <w:r>
        <w:t xml:space="preserve">Output</w:t>
      </w:r>
    </w:p>
    <w:p>
      <w:pPr>
        <w:pStyle w:val="Compact"/>
        <w:numPr>
          <w:ilvl w:val="0"/>
          <w:numId w:val="1010"/>
        </w:numPr>
      </w:pPr>
      <w:r>
        <w:t xml:space="preserve">Preconditions</w:t>
      </w:r>
    </w:p>
    <w:p>
      <w:pPr>
        <w:pStyle w:val="Compact"/>
        <w:numPr>
          <w:ilvl w:val="0"/>
          <w:numId w:val="1010"/>
        </w:numPr>
      </w:pPr>
      <w:r>
        <w:t xml:space="preserve">Retry behavior</w:t>
      </w:r>
    </w:p>
    <w:p>
      <w:pPr>
        <w:pStyle w:val="Compact"/>
        <w:numPr>
          <w:ilvl w:val="0"/>
          <w:numId w:val="1010"/>
        </w:numPr>
      </w:pPr>
      <w:r>
        <w:t xml:space="preserve">Resume behavior</w:t>
      </w:r>
    </w:p>
    <w:p>
      <w:pPr>
        <w:pStyle w:val="Compact"/>
        <w:numPr>
          <w:ilvl w:val="0"/>
          <w:numId w:val="1010"/>
        </w:numPr>
      </w:pPr>
      <w:r>
        <w:t xml:space="preserve">Idempotency behavior</w:t>
      </w:r>
    </w:p>
    <w:p>
      <w:pPr>
        <w:pStyle w:val="Compact"/>
        <w:numPr>
          <w:ilvl w:val="0"/>
          <w:numId w:val="1010"/>
        </w:numPr>
      </w:pPr>
      <w:r>
        <w:t xml:space="preserve">Side effects</w:t>
      </w:r>
    </w:p>
    <w:p>
      <w:pPr>
        <w:pStyle w:val="Compact"/>
        <w:numPr>
          <w:ilvl w:val="0"/>
          <w:numId w:val="1010"/>
        </w:numPr>
      </w:pPr>
      <w:r>
        <w:t xml:space="preserve">Audit event</w:t>
      </w:r>
    </w:p>
    <w:p>
      <w:pPr>
        <w:pStyle w:val="Compact"/>
        <w:numPr>
          <w:ilvl w:val="0"/>
          <w:numId w:val="1010"/>
        </w:numPr>
      </w:pPr>
      <w:r>
        <w:t xml:space="preserve">Current test coverage</w:t>
      </w:r>
    </w:p>
    <w:bookmarkEnd w:id="26"/>
    <w:bookmarkStart w:id="27" w:name="trust-domain-audit"/>
    <w:p>
      <w:pPr>
        <w:pStyle w:val="Heading3"/>
      </w:pPr>
      <w:r>
        <w:t xml:space="preserve">5. Trust-domain audit</w:t>
      </w:r>
    </w:p>
    <w:p>
      <w:pPr>
        <w:pStyle w:val="FirstParagraph"/>
      </w:pPr>
      <w:r>
        <w:t xml:space="preserve">Confirm:</w:t>
      </w:r>
    </w:p>
    <w:p>
      <w:pPr>
        <w:pStyle w:val="Compact"/>
        <w:numPr>
          <w:ilvl w:val="0"/>
          <w:numId w:val="1011"/>
        </w:numPr>
      </w:pPr>
      <w:r>
        <w:t xml:space="preserve">App1 PLATFORM_OPERATORS</w:t>
      </w:r>
    </w:p>
    <w:p>
      <w:pPr>
        <w:pStyle w:val="Compact"/>
        <w:numPr>
          <w:ilvl w:val="0"/>
          <w:numId w:val="1011"/>
        </w:numPr>
      </w:pPr>
      <w:r>
        <w:t xml:space="preserve">App2 SALES_SUPPORT</w:t>
      </w:r>
    </w:p>
    <w:p>
      <w:pPr>
        <w:pStyle w:val="Compact"/>
        <w:numPr>
          <w:ilvl w:val="0"/>
          <w:numId w:val="1011"/>
        </w:numPr>
      </w:pPr>
      <w:r>
        <w:t xml:space="preserve">App3 TENANTS</w:t>
      </w:r>
    </w:p>
    <w:p>
      <w:pPr>
        <w:pStyle w:val="FirstParagraph"/>
      </w:pPr>
      <w:r>
        <w:t xml:space="preserve">Search for violations:</w:t>
      </w:r>
    </w:p>
    <w:p>
      <w:pPr>
        <w:pStyle w:val="Compact"/>
        <w:numPr>
          <w:ilvl w:val="0"/>
          <w:numId w:val="1012"/>
        </w:numPr>
      </w:pPr>
      <w:r>
        <w:t xml:space="preserve">App2 writing directly to App3</w:t>
      </w:r>
    </w:p>
    <w:p>
      <w:pPr>
        <w:pStyle w:val="Compact"/>
        <w:numPr>
          <w:ilvl w:val="0"/>
          <w:numId w:val="1012"/>
        </w:numPr>
      </w:pPr>
      <w:r>
        <w:t xml:space="preserve">App2 querying tenant databases</w:t>
      </w:r>
    </w:p>
    <w:p>
      <w:pPr>
        <w:pStyle w:val="Compact"/>
        <w:numPr>
          <w:ilvl w:val="0"/>
          <w:numId w:val="1012"/>
        </w:numPr>
      </w:pPr>
      <w:r>
        <w:t xml:space="preserve">Portal code holding internal webhook secrets</w:t>
      </w:r>
    </w:p>
    <w:p>
      <w:pPr>
        <w:pStyle w:val="Compact"/>
        <w:numPr>
          <w:ilvl w:val="0"/>
          <w:numId w:val="1012"/>
        </w:numPr>
      </w:pPr>
      <w:r>
        <w:t xml:space="preserve">Global shared webhook secrets</w:t>
      </w:r>
    </w:p>
    <w:p>
      <w:pPr>
        <w:pStyle w:val="Compact"/>
        <w:numPr>
          <w:ilvl w:val="0"/>
          <w:numId w:val="1012"/>
        </w:numPr>
      </w:pPr>
      <w:r>
        <w:t xml:space="preserve">Direct cross-product database writes</w:t>
      </w:r>
    </w:p>
    <w:p>
      <w:pPr>
        <w:pStyle w:val="Compact"/>
        <w:numPr>
          <w:ilvl w:val="0"/>
          <w:numId w:val="1012"/>
        </w:numPr>
      </w:pPr>
      <w:r>
        <w:t xml:space="preserve">Missing firm or tenant scoping</w:t>
      </w:r>
    </w:p>
    <w:p>
      <w:pPr>
        <w:pStyle w:val="Compact"/>
        <w:numPr>
          <w:ilvl w:val="0"/>
          <w:numId w:val="1012"/>
        </w:numPr>
      </w:pPr>
      <w:r>
        <w:t xml:space="preserve">Privileged actions without audit entries</w:t>
      </w:r>
    </w:p>
    <w:bookmarkEnd w:id="27"/>
    <w:bookmarkStart w:id="28" w:name="handoff-contract-definition"/>
    <w:p>
      <w:pPr>
        <w:pStyle w:val="Heading3"/>
      </w:pPr>
      <w:r>
        <w:t xml:space="preserve">6. Handoff contract definition</w:t>
      </w:r>
    </w:p>
    <w:p>
      <w:pPr>
        <w:pStyle w:val="FirstParagraph"/>
      </w:pPr>
      <w:r>
        <w:t xml:space="preserve">Produce the proposed frozen schema:</w:t>
      </w:r>
    </w:p>
    <w:p>
      <w:pPr>
        <w:pStyle w:val="BodyText"/>
      </w:pPr>
      <w:r>
        <w:rPr>
          <w:rStyle w:val="VerbatimChar"/>
        </w:rPr>
        <w:t xml:space="preserve">SalesOpsApprovedCustomerHandoff v1.0.0</w:t>
      </w:r>
    </w:p>
    <w:p>
      <w:pPr>
        <w:pStyle w:val="BodyText"/>
      </w:pPr>
      <w:r>
        <w:t xml:space="preserve">Minimum content:</w:t>
      </w:r>
    </w:p>
    <w:p>
      <w:pPr>
        <w:pStyle w:val="Compact"/>
        <w:numPr>
          <w:ilvl w:val="0"/>
          <w:numId w:val="1013"/>
        </w:numPr>
      </w:pPr>
      <w:r>
        <w:t xml:space="preserve">handoff_id</w:t>
      </w:r>
    </w:p>
    <w:p>
      <w:pPr>
        <w:pStyle w:val="Compact"/>
        <w:numPr>
          <w:ilvl w:val="0"/>
          <w:numId w:val="1013"/>
        </w:numPr>
      </w:pPr>
      <w:r>
        <w:t xml:space="preserve">handoff_version</w:t>
      </w:r>
    </w:p>
    <w:p>
      <w:pPr>
        <w:pStyle w:val="Compact"/>
        <w:numPr>
          <w:ilvl w:val="0"/>
          <w:numId w:val="1013"/>
        </w:numPr>
      </w:pPr>
      <w:r>
        <w:t xml:space="preserve">customer_candidate_id</w:t>
      </w:r>
    </w:p>
    <w:p>
      <w:pPr>
        <w:pStyle w:val="Compact"/>
        <w:numPr>
          <w:ilvl w:val="0"/>
          <w:numId w:val="1013"/>
        </w:numPr>
      </w:pPr>
      <w:r>
        <w:t xml:space="preserve">source_application_id</w:t>
      </w:r>
    </w:p>
    <w:p>
      <w:pPr>
        <w:pStyle w:val="Compact"/>
        <w:numPr>
          <w:ilvl w:val="0"/>
          <w:numId w:val="1013"/>
        </w:numPr>
      </w:pPr>
      <w:r>
        <w:t xml:space="preserve">source_organization_id</w:t>
      </w:r>
    </w:p>
    <w:p>
      <w:pPr>
        <w:pStyle w:val="Compact"/>
        <w:numPr>
          <w:ilvl w:val="0"/>
          <w:numId w:val="1013"/>
        </w:numPr>
      </w:pPr>
      <w:r>
        <w:t xml:space="preserve">normalized firm identity</w:t>
      </w:r>
    </w:p>
    <w:p>
      <w:pPr>
        <w:pStyle w:val="Compact"/>
        <w:numPr>
          <w:ilvl w:val="0"/>
          <w:numId w:val="1013"/>
        </w:numPr>
      </w:pPr>
      <w:r>
        <w:t xml:space="preserve">validated contact points</w:t>
      </w:r>
    </w:p>
    <w:p>
      <w:pPr>
        <w:pStyle w:val="Compact"/>
        <w:numPr>
          <w:ilvl w:val="0"/>
          <w:numId w:val="1013"/>
        </w:numPr>
      </w:pPr>
      <w:r>
        <w:t xml:space="preserve">qualification result</w:t>
      </w:r>
    </w:p>
    <w:p>
      <w:pPr>
        <w:pStyle w:val="Compact"/>
        <w:numPr>
          <w:ilvl w:val="0"/>
          <w:numId w:val="1013"/>
        </w:numPr>
      </w:pPr>
      <w:r>
        <w:t xml:space="preserve">approval decision reference</w:t>
      </w:r>
    </w:p>
    <w:p>
      <w:pPr>
        <w:pStyle w:val="Compact"/>
        <w:numPr>
          <w:ilvl w:val="0"/>
          <w:numId w:val="1013"/>
        </w:numPr>
      </w:pPr>
      <w:r>
        <w:t xml:space="preserve">approved products</w:t>
      </w:r>
    </w:p>
    <w:p>
      <w:pPr>
        <w:pStyle w:val="Compact"/>
        <w:numPr>
          <w:ilvl w:val="0"/>
          <w:numId w:val="1013"/>
        </w:numPr>
      </w:pPr>
      <w:r>
        <w:t xml:space="preserve">approved plan</w:t>
      </w:r>
    </w:p>
    <w:p>
      <w:pPr>
        <w:pStyle w:val="Compact"/>
        <w:numPr>
          <w:ilvl w:val="0"/>
          <w:numId w:val="1013"/>
        </w:numPr>
      </w:pPr>
      <w:r>
        <w:t xml:space="preserve">jurisdictions</w:t>
      </w:r>
    </w:p>
    <w:p>
      <w:pPr>
        <w:pStyle w:val="Compact"/>
        <w:numPr>
          <w:ilvl w:val="0"/>
          <w:numId w:val="1013"/>
        </w:numPr>
      </w:pPr>
      <w:r>
        <w:t xml:space="preserve">practice domains</w:t>
      </w:r>
    </w:p>
    <w:p>
      <w:pPr>
        <w:pStyle w:val="Compact"/>
        <w:numPr>
          <w:ilvl w:val="0"/>
          <w:numId w:val="1013"/>
        </w:numPr>
      </w:pPr>
      <w:r>
        <w:t xml:space="preserve">expected usage</w:t>
      </w:r>
    </w:p>
    <w:p>
      <w:pPr>
        <w:pStyle w:val="Compact"/>
        <w:numPr>
          <w:ilvl w:val="0"/>
          <w:numId w:val="1013"/>
        </w:numPr>
      </w:pPr>
      <w:r>
        <w:t xml:space="preserve">implementation requirements</w:t>
      </w:r>
    </w:p>
    <w:p>
      <w:pPr>
        <w:pStyle w:val="Compact"/>
        <w:numPr>
          <w:ilvl w:val="0"/>
          <w:numId w:val="1013"/>
        </w:numPr>
      </w:pPr>
      <w:r>
        <w:t xml:space="preserve">customization-scope flag</w:t>
      </w:r>
    </w:p>
    <w:p>
      <w:pPr>
        <w:pStyle w:val="Compact"/>
        <w:numPr>
          <w:ilvl w:val="0"/>
          <w:numId w:val="1013"/>
        </w:numPr>
      </w:pPr>
      <w:r>
        <w:t xml:space="preserve">authority record</w:t>
      </w:r>
    </w:p>
    <w:p>
      <w:pPr>
        <w:pStyle w:val="Compact"/>
        <w:numPr>
          <w:ilvl w:val="0"/>
          <w:numId w:val="1013"/>
        </w:numPr>
      </w:pPr>
      <w:r>
        <w:t xml:space="preserve">policy version</w:t>
      </w:r>
    </w:p>
    <w:p>
      <w:pPr>
        <w:pStyle w:val="Compact"/>
        <w:numPr>
          <w:ilvl w:val="0"/>
          <w:numId w:val="1013"/>
        </w:numPr>
      </w:pPr>
      <w:r>
        <w:t xml:space="preserve">sensitivity class</w:t>
      </w:r>
    </w:p>
    <w:p>
      <w:pPr>
        <w:pStyle w:val="Compact"/>
        <w:numPr>
          <w:ilvl w:val="0"/>
          <w:numId w:val="1013"/>
        </w:numPr>
      </w:pPr>
      <w:r>
        <w:t xml:space="preserve">created_at</w:t>
      </w:r>
    </w:p>
    <w:p>
      <w:pPr>
        <w:pStyle w:val="Compact"/>
        <w:numPr>
          <w:ilvl w:val="0"/>
          <w:numId w:val="1013"/>
        </w:numPr>
      </w:pPr>
      <w:r>
        <w:t xml:space="preserve">checksum</w:t>
      </w:r>
    </w:p>
    <w:p>
      <w:pPr>
        <w:pStyle w:val="Compact"/>
        <w:numPr>
          <w:ilvl w:val="0"/>
          <w:numId w:val="1013"/>
        </w:numPr>
      </w:pPr>
      <w:r>
        <w:t xml:space="preserve">source-system version</w:t>
      </w:r>
    </w:p>
    <w:p>
      <w:pPr>
        <w:pStyle w:val="FirstParagraph"/>
      </w:pPr>
      <w:r>
        <w:t xml:space="preserve">Do not place legal-client entities in this payload.</w:t>
      </w:r>
    </w:p>
    <w:bookmarkEnd w:id="28"/>
    <w:bookmarkStart w:id="29" w:name="anti-corruption-mapping"/>
    <w:p>
      <w:pPr>
        <w:pStyle w:val="Heading3"/>
      </w:pPr>
      <w:r>
        <w:t xml:space="preserve">7. Anti-corruption mapping</w:t>
      </w:r>
    </w:p>
    <w:p>
      <w:pPr>
        <w:pStyle w:val="FirstParagraph"/>
      </w:pPr>
      <w:r>
        <w:t xml:space="preserve">Define, but do not implement:</w:t>
      </w:r>
    </w:p>
    <w:p>
      <w:pPr>
        <w:pStyle w:val="Compact"/>
        <w:numPr>
          <w:ilvl w:val="0"/>
          <w:numId w:val="1014"/>
        </w:numPr>
      </w:pPr>
      <w:r>
        <w:t xml:space="preserve">firm identity → ENT-012 Organization</w:t>
      </w:r>
    </w:p>
    <w:p>
      <w:pPr>
        <w:pStyle w:val="Compact"/>
        <w:numPr>
          <w:ilvl w:val="0"/>
          <w:numId w:val="1014"/>
        </w:numPr>
      </w:pPr>
      <w:r>
        <w:t xml:space="preserve">validated contacts → ENT-014 ContactPoint</w:t>
      </w:r>
    </w:p>
    <w:p>
      <w:pPr>
        <w:pStyle w:val="Compact"/>
        <w:numPr>
          <w:ilvl w:val="0"/>
          <w:numId w:val="1014"/>
        </w:numPr>
      </w:pPr>
      <w:r>
        <w:t xml:space="preserve">approved customer → input to ENT-001 Tenant creation</w:t>
      </w:r>
    </w:p>
    <w:p>
      <w:pPr>
        <w:pStyle w:val="Compact"/>
        <w:numPr>
          <w:ilvl w:val="0"/>
          <w:numId w:val="1014"/>
        </w:numPr>
      </w:pPr>
      <w:r>
        <w:t xml:space="preserve">approved products → tenant entitlement configuration</w:t>
      </w:r>
    </w:p>
    <w:p>
      <w:pPr>
        <w:pStyle w:val="Compact"/>
        <w:numPr>
          <w:ilvl w:val="0"/>
          <w:numId w:val="1014"/>
        </w:numPr>
      </w:pPr>
      <w:r>
        <w:t xml:space="preserve">handoff_id → source provenance and idempotency key</w:t>
      </w:r>
    </w:p>
    <w:p>
      <w:pPr>
        <w:pStyle w:val="FirstParagraph"/>
      </w:pPr>
      <w:r>
        <w:t xml:space="preserve">Explicitly confirm:</w:t>
      </w:r>
    </w:p>
    <w:p>
      <w:pPr>
        <w:pStyle w:val="Compact"/>
        <w:numPr>
          <w:ilvl w:val="0"/>
          <w:numId w:val="1015"/>
        </w:numPr>
      </w:pPr>
      <w:r>
        <w:t xml:space="preserve">CustomerCandidate is not Tenant</w:t>
      </w:r>
    </w:p>
    <w:p>
      <w:pPr>
        <w:pStyle w:val="Compact"/>
        <w:numPr>
          <w:ilvl w:val="0"/>
          <w:numId w:val="1015"/>
        </w:numPr>
      </w:pPr>
      <w:r>
        <w:t xml:space="preserve">HandoffPackage is not Tenant</w:t>
      </w:r>
    </w:p>
    <w:p>
      <w:pPr>
        <w:pStyle w:val="Compact"/>
        <w:numPr>
          <w:ilvl w:val="0"/>
          <w:numId w:val="1015"/>
        </w:numPr>
      </w:pPr>
      <w:r>
        <w:t xml:space="preserve">Approved products are not Tenant</w:t>
      </w:r>
    </w:p>
    <w:p>
      <w:pPr>
        <w:pStyle w:val="Compact"/>
        <w:numPr>
          <w:ilvl w:val="0"/>
          <w:numId w:val="1015"/>
        </w:numPr>
      </w:pPr>
      <w:r>
        <w:t xml:space="preserve">Sales qualification is not legal Matter qualification</w:t>
      </w:r>
    </w:p>
    <w:bookmarkEnd w:id="29"/>
    <w:bookmarkEnd w:id="30"/>
    <w:bookmarkStart w:id="31" w:name="required-deliverables"/>
    <w:p>
      <w:pPr>
        <w:pStyle w:val="Heading2"/>
      </w:pPr>
      <w:r>
        <w:t xml:space="preserve">Required deliverables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SALES_OPS_VERIFIED_CURRENT_STATE.md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SALES_OPS_PIPELINE_CONFORMANCE_MATRIX.md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SALES_OPS_STATE_CONFORMANCE_MATRIX.md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EVENT_ENVELOPE_V1_0_1_EXACT_DIFF.md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SALES_OPS_HANDOFF_CONTRACT_V1.schema.json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SALES_OPS_TO_SAAS_ADMIN_MAPPING.md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CROSS_DOMAIN_SECURITY_FINDINGS.md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SALES_OPS_COMMISSIONING_TEST_MATRIX.md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IMPLEMENTATION_ORDER_AND_DEPENDENCIES.md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CTO_GATE_0_DECISION.md</w:t>
      </w:r>
    </w:p>
    <w:bookmarkEnd w:id="31"/>
    <w:bookmarkStart w:id="32" w:name="gate-decision"/>
    <w:p>
      <w:pPr>
        <w:pStyle w:val="Heading2"/>
      </w:pPr>
      <w:r>
        <w:t xml:space="preserve">Gate decision</w:t>
      </w:r>
    </w:p>
    <w:p>
      <w:pPr>
        <w:pStyle w:val="FirstParagraph"/>
      </w:pPr>
      <w:r>
        <w:t xml:space="preserve">End with exactly one decision:</w:t>
      </w:r>
    </w:p>
    <w:p>
      <w:pPr>
        <w:pStyle w:val="Compact"/>
        <w:numPr>
          <w:ilvl w:val="0"/>
          <w:numId w:val="1017"/>
        </w:numPr>
      </w:pPr>
      <w:r>
        <w:t xml:space="preserve">GO — contracts can be frozen and Sales Ops implementation may begin</w:t>
      </w:r>
    </w:p>
    <w:p>
      <w:pPr>
        <w:pStyle w:val="Compact"/>
        <w:numPr>
          <w:ilvl w:val="0"/>
          <w:numId w:val="1017"/>
        </w:numPr>
      </w:pPr>
      <w:r>
        <w:t xml:space="preserve">CONDITIONAL GO — implementation may begin only for listed items</w:t>
      </w:r>
    </w:p>
    <w:p>
      <w:pPr>
        <w:pStyle w:val="Compact"/>
        <w:numPr>
          <w:ilvl w:val="0"/>
          <w:numId w:val="1017"/>
        </w:numPr>
      </w:pPr>
      <w:r>
        <w:t xml:space="preserve">NO-GO — blocking contradictions must be resolved first</w:t>
      </w:r>
    </w:p>
    <w:p>
      <w:pPr>
        <w:pStyle w:val="FirstParagraph"/>
      </w:pPr>
      <w:r>
        <w:t xml:space="preserve">List every blocker with:</w:t>
      </w:r>
    </w:p>
    <w:p>
      <w:pPr>
        <w:pStyle w:val="Compact"/>
        <w:numPr>
          <w:ilvl w:val="0"/>
          <w:numId w:val="1018"/>
        </w:numPr>
      </w:pPr>
      <w:r>
        <w:t xml:space="preserve">Repository</w:t>
      </w:r>
    </w:p>
    <w:p>
      <w:pPr>
        <w:pStyle w:val="Compact"/>
        <w:numPr>
          <w:ilvl w:val="0"/>
          <w:numId w:val="1018"/>
        </w:numPr>
      </w:pPr>
      <w:r>
        <w:t xml:space="preserve">File</w:t>
      </w:r>
    </w:p>
    <w:p>
      <w:pPr>
        <w:pStyle w:val="Compact"/>
        <w:numPr>
          <w:ilvl w:val="0"/>
          <w:numId w:val="1018"/>
        </w:numPr>
      </w:pPr>
      <w:r>
        <w:t xml:space="preserve">Line or symbol</w:t>
      </w:r>
    </w:p>
    <w:p>
      <w:pPr>
        <w:pStyle w:val="Compact"/>
        <w:numPr>
          <w:ilvl w:val="0"/>
          <w:numId w:val="1018"/>
        </w:numPr>
      </w:pPr>
      <w:r>
        <w:t xml:space="preserve">Severity</w:t>
      </w:r>
    </w:p>
    <w:p>
      <w:pPr>
        <w:pStyle w:val="Compact"/>
        <w:numPr>
          <w:ilvl w:val="0"/>
          <w:numId w:val="1018"/>
        </w:numPr>
      </w:pPr>
      <w:r>
        <w:t xml:space="preserve">Required owner</w:t>
      </w:r>
    </w:p>
    <w:p>
      <w:pPr>
        <w:pStyle w:val="Compact"/>
        <w:numPr>
          <w:ilvl w:val="0"/>
          <w:numId w:val="1018"/>
        </w:numPr>
      </w:pPr>
      <w:r>
        <w:t xml:space="preserve">Required correction</w:t>
      </w:r>
    </w:p>
    <w:p>
      <w:pPr>
        <w:pStyle w:val="FirstParagraph"/>
      </w:pPr>
      <w:r>
        <w:t xml:space="preserve">Do not implement fixes during this assignment.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