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TRUEVOW SETTLE - FINAL PRODUCT &amp; IMPLEMENTATION PLAN</w:t>
      </w:r>
    </w:p>
    <w:p>
      <w:pPr>
        <w:jc w:val="center"/>
      </w:pPr>
      <w:r>
        <w:rPr>
          <w:i/>
          <w:sz w:val="22"/>
        </w:rPr>
        <w:t>Boundary-corrected resolution-intelligence plan after TRACE post-Gate-003 reconciliation and current SETTLE repository review</w:t>
      </w:r>
    </w:p>
    <w:p/>
    <w:p>
      <w:r>
        <w:t>Status: FINAL PLANNING DIRECTION - build should follow ontology/contract reconciliation with the accepted TRACE handoff contract.</w:t>
      </w:r>
    </w:p>
    <w:p>
      <w:r>
        <w:t>Business objective: make SETTLE the law firm’s resolution-intelligence and governed settlement workflow product. It should help attorneys understand historical settlement context, prepare and transmit demands, evaluate offers with transparent economics, preserve client decision authority, and close settlements accurately - without becoming the source of medical, treatment, liability or coverage evidence.</w:t>
      </w:r>
    </w:p>
    <w:p>
      <w:pPr/>
      <w:r>
        <w:rPr>
          <w:b/>
        </w:rPr>
        <w:t xml:space="preserve">Architecture authority rule: </w:t>
      </w:r>
      <w:r>
        <w:t>Current code and accepted contracts outrank stale README/integration prose. Where TRACE and SETTLE artifacts conflict, the conflict is an explicit reconciliation item; neither repository may unilaterally redefine the platform ontology or cross-product boundary.</w:t>
      </w:r>
    </w:p>
    <w:p>
      <w:pPr>
        <w:pStyle w:val="Heading1"/>
      </w:pPr>
      <w:r>
        <w:t>1. Final product boundary</w:t>
      </w:r>
    </w:p>
    <w:p>
      <w:r>
        <w:t>SETTLE’s substantive resolution workflow begins when TRACE has developed enough evidence for settlement-context work and a governed, attorney-approved handoff is accepted. SETTLE owns resolution intelligence and settlement workflow. It may consume a minimal TRACE projection, but it must not recreate TRACE’s evidence-development system. Legacy activation/bootstrap behavior, if present, must be reconciled separately and must not be confused with the mature settlement-context boundary.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SETTLE owns</w:t>
            </w:r>
          </w:p>
        </w:tc>
        <w:tc>
          <w:tcPr>
            <w:tcW w:type="dxa" w:w="5040"/>
            <w:shd w:fill="D9E2F3"/>
            <w:vAlign w:val="center"/>
          </w:tcPr>
          <w:p>
            <w:r>
              <w:rPr>
                <w:b/>
              </w:rPr>
              <w:t>SETTLE does not own</w:t>
            </w:r>
          </w:p>
        </w:tc>
      </w:tr>
      <w:tr>
        <w:tc>
          <w:tcPr>
            <w:tcW w:type="dxa" w:w="5040"/>
          </w:tcPr>
          <w:p>
            <w:r>
              <w:t>Historical comparable outcomes and settlement context</w:t>
            </w:r>
          </w:p>
        </w:tc>
        <w:tc>
          <w:tcPr>
            <w:tcW w:type="dxa" w:w="5040"/>
          </w:tcPr>
          <w:p>
            <w:r>
              <w:t>Medical record retrieval, OCR, chronology or evidence extraction</w:t>
            </w:r>
          </w:p>
        </w:tc>
      </w:tr>
      <w:tr>
        <w:tc>
          <w:tcPr>
            <w:tcW w:type="dxa" w:w="5040"/>
          </w:tcPr>
          <w:p>
            <w:r>
              <w:t>Settlement-range statistics with confidence/limitations</w:t>
            </w:r>
          </w:p>
        </w:tc>
        <w:tc>
          <w:tcPr>
            <w:tcW w:type="dxa" w:w="5040"/>
          </w:tcPr>
          <w:p>
            <w:r>
              <w:t>Treatment tracking or treatment-gap source truth</w:t>
            </w:r>
          </w:p>
        </w:tc>
      </w:tr>
      <w:tr>
        <w:tc>
          <w:tcPr>
            <w:tcW w:type="dxa" w:w="5040"/>
          </w:tcPr>
          <w:p>
            <w:r>
              <w:t>Demand package/draft/transmission workflow</w:t>
            </w:r>
          </w:p>
        </w:tc>
        <w:tc>
          <w:tcPr>
            <w:tcW w:type="dxa" w:w="5040"/>
          </w:tcPr>
          <w:p>
            <w:r>
              <w:t>Underlying medical-bill, wage-loss or property-loss evidence truth</w:t>
            </w:r>
          </w:p>
        </w:tc>
      </w:tr>
      <w:tr>
        <w:tc>
          <w:tcPr>
            <w:tcW w:type="dxa" w:w="5040"/>
          </w:tcPr>
          <w:p>
            <w:r>
              <w:t>Negotiation rounds, offers, counteroffers and client settlement decisions</w:t>
            </w:r>
          </w:p>
        </w:tc>
        <w:tc>
          <w:tcPr>
            <w:tcW w:type="dxa" w:w="5040"/>
          </w:tcPr>
          <w:p>
            <w:r>
              <w:t>Liability/coverage evidence collection as primary truth</w:t>
            </w:r>
          </w:p>
        </w:tc>
      </w:tr>
      <w:tr>
        <w:tc>
          <w:tcPr>
            <w:tcW w:type="dxa" w:w="5040"/>
          </w:tcPr>
          <w:p>
            <w:r>
              <w:t>Pre-decision offer economics and estimated net-recovery scenarios</w:t>
            </w:r>
          </w:p>
        </w:tc>
        <w:tc>
          <w:tcPr>
            <w:tcW w:type="dxa" w:w="5040"/>
          </w:tcPr>
          <w:p>
            <w:r>
              <w:t>Final professional authority over facts developed in TRACE</w:t>
            </w:r>
          </w:p>
        </w:tc>
      </w:tr>
      <w:tr>
        <w:tc>
          <w:tcPr>
            <w:tcW w:type="dxa" w:w="5040"/>
          </w:tcPr>
          <w:p>
            <w:r>
              <w:t>Settlement agreement, release, payment, lien resolution, allocation, closing and disbursement ontology already present</w:t>
            </w:r>
          </w:p>
        </w:tc>
        <w:tc>
          <w:tcPr>
            <w:tcW w:type="dxa" w:w="5040"/>
          </w:tcPr>
          <w:p>
            <w:r>
              <w:t>A second case-development/readiness system</w:t>
            </w:r>
          </w:p>
        </w:tc>
      </w:tr>
      <w:tr>
        <w:tc>
          <w:tcPr>
            <w:tcW w:type="dxa" w:w="5040"/>
          </w:tcPr>
          <w:p>
            <w:r>
              <w:t>Contribution/case-bank intelligence and verification</w:t>
            </w:r>
          </w:p>
        </w:tc>
        <w:tc>
          <w:tcPr>
            <w:tcW w:type="dxa" w:w="5040"/>
          </w:tcPr>
          <w:p>
            <w:r>
              <w:t>Raw TRACE PHI/documents by default</w:t>
            </w:r>
          </w:p>
        </w:tc>
      </w:tr>
    </w:tbl>
    <w:p>
      <w:pPr>
        <w:pStyle w:val="Heading1"/>
      </w:pPr>
      <w:r>
        <w:t>2. What the current SETTLE repository already contains</w:t>
      </w:r>
    </w:p>
    <w:p>
      <w:pPr>
        <w:pStyle w:val="ListBullet"/>
      </w:pPr>
      <w:r>
        <w:t>The settlement ontology already implements ENT-081/082 and ENT-092 through ENT-106: DemandPackage, DemandDraft, DemandTransmission, NegotiationRound, Offer, Counteroffer, SettlementDecision, SettlementAgreement, Release, SettlementPayment, Lien, LienResolution, SettlementAllocation, TrustLedgerEntry, ClosingStatement, Disbursement and MatterClosure.</w:t>
      </w:r>
    </w:p>
    <w:p>
      <w:pPr>
        <w:pStyle w:val="ListBullet"/>
      </w:pPr>
      <w:r>
        <w:t>The case bank already stores settlement contributions and supports estimate requests, comparable cases, percentile ranges, confidence factors, rich filters, pilot/data-sufficiency guardrails and contribution metadata.</w:t>
      </w:r>
    </w:p>
    <w:p>
      <w:pPr>
        <w:pStyle w:val="ListBullet"/>
      </w:pPr>
      <w:r>
        <w:t>The SETTLE repository contains historical/current integration documentation and contract artifacts that may predate the canonical TRACE → SETTLE settlement-context boundary. Do not treat legacy SETTLE integration documentation as architecture authority. During SETTLE-REC-000/001 and TRACE-STL-001, reconcile the actual accepted SETTLE contracts, TRACE contracts, platform ontology, event registry, authority model and transition model before freezing the cross-product handoff. Matter activation starts TRACE and must not be reused as the mature TRACE → SETTLE settlement-context boundary. The intended later boundary is an attorney-approved settlement-context readiness transition/event; its exact canonical event name remains provisional until reconciliation.</w:t>
      </w:r>
    </w:p>
    <w:p>
      <w:pPr>
        <w:pStyle w:val="ListBullet"/>
      </w:pPr>
      <w:r>
        <w:t>The repository’s no-fabrication rule is a core product asset: every external case-bank field must remain evidence-verifiable; zero records is preferable to contaminated data.</w:t>
      </w:r>
    </w:p>
    <w:p>
      <w:pPr>
        <w:pStyle w:val="Heading1"/>
      </w:pPr>
      <w:r>
        <w:t>3. What should be removed from the proposed SETTLE scope</w:t>
      </w:r>
    </w:p>
    <w:p>
      <w:pPr>
        <w:pStyle w:val="ListBullet"/>
      </w:pPr>
      <w:r>
        <w:t>Do not create SETTLE medical chronology, treatment-gap, medical-bill, wage-loss, client-impact, liability-evidence or coverage-evidence source-of-truth tables. These belong upstream in TRACE.</w:t>
      </w:r>
    </w:p>
    <w:p>
      <w:pPr>
        <w:pStyle w:val="ListBullet"/>
      </w:pPr>
      <w:r>
        <w:t>Do not create a SETTLE case-readiness board. SETTLE should display the accepted TRACE readiness/limitations snapshot as context, not independently decide whether evidence is complete.</w:t>
      </w:r>
    </w:p>
    <w:p>
      <w:pPr>
        <w:pStyle w:val="ListBullet"/>
      </w:pPr>
      <w:r>
        <w:t>Do not create a duplicate Offer Review record that copies offer amount/source/status. Add an analytical assessment attached to the existing Offer/NegotiationRound only if it creates value.</w:t>
      </w:r>
    </w:p>
    <w:p>
      <w:pPr>
        <w:pStyle w:val="ListBullet"/>
      </w:pPr>
      <w:r>
        <w:t>Do not create a parallel negotiation timeline model; derive the timeline from DemandTransmission, NegotiationRound, Offer, Counteroffer and SettlementDecision.</w:t>
      </w:r>
    </w:p>
    <w:p>
      <w:pPr>
        <w:pStyle w:val="ListBullet"/>
      </w:pPr>
      <w:r>
        <w:t>Do not create a second lien model for pre-settlement discovery. Existing ENT-100/101 should remain resolution-oriented; TRACE passes known lien/reimbursement context into SETTLE.</w:t>
      </w:r>
    </w:p>
    <w:p>
      <w:pPr>
        <w:pStyle w:val="ListBullet"/>
      </w:pPr>
      <w:r>
        <w:t>Do not import raw TRACE documents or PHI as a convenience. SETTLE receives structured, minimal context by default.</w:t>
      </w:r>
    </w:p>
    <w:p>
      <w:pPr>
        <w:pStyle w:val="Heading1"/>
      </w:pPr>
      <w:r>
        <w:t>4. SETTLE capabilities to keep and strengthen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Capability</w:t>
            </w:r>
          </w:p>
        </w:tc>
        <w:tc>
          <w:tcPr>
            <w:tcW w:type="dxa" w:w="3360"/>
            <w:shd w:fill="D9E2F3"/>
            <w:vAlign w:val="center"/>
          </w:tcPr>
          <w:p>
            <w:r>
              <w:rPr>
                <w:b/>
              </w:rPr>
              <w:t>Decision</w:t>
            </w:r>
          </w:p>
        </w:tc>
        <w:tc>
          <w:tcPr>
            <w:tcW w:type="dxa" w:w="3360"/>
            <w:shd w:fill="D9E2F3"/>
            <w:vAlign w:val="center"/>
          </w:tcPr>
          <w:p>
            <w:r>
              <w:rPr>
                <w:b/>
              </w:rPr>
              <w:t>Value created</w:t>
            </w:r>
          </w:p>
        </w:tc>
      </w:tr>
      <w:tr>
        <w:tc>
          <w:tcPr>
            <w:tcW w:type="dxa" w:w="3360"/>
          </w:tcPr>
          <w:p>
            <w:r>
              <w:t>Comparable settlement intelligence</w:t>
            </w:r>
          </w:p>
        </w:tc>
        <w:tc>
          <w:tcPr>
            <w:tcW w:type="dxa" w:w="3360"/>
          </w:tcPr>
          <w:p>
            <w:r>
              <w:t>KEEP / strengthen</w:t>
            </w:r>
          </w:p>
        </w:tc>
        <w:tc>
          <w:tcPr>
            <w:tcW w:type="dxa" w:w="3360"/>
          </w:tcPr>
          <w:p>
            <w:r>
              <w:t>Gives attorneys evidence-based market context instead of anecdote.</w:t>
            </w:r>
          </w:p>
        </w:tc>
      </w:tr>
      <w:tr>
        <w:tc>
          <w:tcPr>
            <w:tcW w:type="dxa" w:w="3360"/>
          </w:tcPr>
          <w:p>
            <w:r>
              <w:t>Percentile settlement ranges</w:t>
            </w:r>
          </w:p>
        </w:tc>
        <w:tc>
          <w:tcPr>
            <w:tcW w:type="dxa" w:w="3360"/>
          </w:tcPr>
          <w:p>
            <w:r>
              <w:t>KEEP with disclosure</w:t>
            </w:r>
          </w:p>
        </w:tc>
        <w:tc>
          <w:tcPr>
            <w:tcW w:type="dxa" w:w="3360"/>
          </w:tcPr>
          <w:p>
            <w:r>
              <w:t>Provides descriptive historical context; never guarantee outcome.</w:t>
            </w:r>
          </w:p>
        </w:tc>
      </w:tr>
      <w:tr>
        <w:tc>
          <w:tcPr>
            <w:tcW w:type="dxa" w:w="3360"/>
          </w:tcPr>
          <w:p>
            <w:r>
              <w:t>Confidence/data sufficiency</w:t>
            </w:r>
          </w:p>
        </w:tc>
        <w:tc>
          <w:tcPr>
            <w:tcW w:type="dxa" w:w="3360"/>
          </w:tcPr>
          <w:p>
            <w:r>
              <w:t>KEEP / harden</w:t>
            </w:r>
          </w:p>
        </w:tc>
        <w:tc>
          <w:tcPr>
            <w:tcW w:type="dxa" w:w="3360"/>
          </w:tcPr>
          <w:p>
            <w:r>
              <w:t>Shows when evidence is strong, thin or insufficient.</w:t>
            </w:r>
          </w:p>
        </w:tc>
      </w:tr>
      <w:tr>
        <w:tc>
          <w:tcPr>
            <w:tcW w:type="dxa" w:w="3360"/>
          </w:tcPr>
          <w:p>
            <w:r>
              <w:t>Demand package/draft/transmission</w:t>
            </w:r>
          </w:p>
        </w:tc>
        <w:tc>
          <w:tcPr>
            <w:tcW w:type="dxa" w:w="3360"/>
          </w:tcPr>
          <w:p>
            <w:r>
              <w:t>KEEP</w:t>
            </w:r>
          </w:p>
        </w:tc>
        <w:tc>
          <w:tcPr>
            <w:tcW w:type="dxa" w:w="3360"/>
          </w:tcPr>
          <w:p>
            <w:r>
              <w:t>Turns developed matter evidence into governed settlement-facing work product.</w:t>
            </w:r>
          </w:p>
        </w:tc>
      </w:tr>
      <w:tr>
        <w:tc>
          <w:tcPr>
            <w:tcW w:type="dxa" w:w="3360"/>
          </w:tcPr>
          <w:p>
            <w:r>
              <w:t>Negotiation rounds/offers/counteroffers</w:t>
            </w:r>
          </w:p>
        </w:tc>
        <w:tc>
          <w:tcPr>
            <w:tcW w:type="dxa" w:w="3360"/>
          </w:tcPr>
          <w:p>
            <w:r>
              <w:t>KEEP</w:t>
            </w:r>
          </w:p>
        </w:tc>
        <w:tc>
          <w:tcPr>
            <w:tcW w:type="dxa" w:w="3360"/>
          </w:tcPr>
          <w:p>
            <w:r>
              <w:t>Creates a complete resolution record and avoids fragmented notes.</w:t>
            </w:r>
          </w:p>
        </w:tc>
      </w:tr>
      <w:tr>
        <w:tc>
          <w:tcPr>
            <w:tcW w:type="dxa" w:w="3360"/>
          </w:tcPr>
          <w:p>
            <w:r>
              <w:t>Client settlement decision</w:t>
            </w:r>
          </w:p>
        </w:tc>
        <w:tc>
          <w:tcPr>
            <w:tcW w:type="dxa" w:w="3360"/>
          </w:tcPr>
          <w:p>
            <w:r>
              <w:t>KEEP as authority-critical</w:t>
            </w:r>
          </w:p>
        </w:tc>
        <w:tc>
          <w:tcPr>
            <w:tcW w:type="dxa" w:w="3360"/>
          </w:tcPr>
          <w:p>
            <w:r>
              <w:t>Protects client authority and informed consent.</w:t>
            </w:r>
          </w:p>
        </w:tc>
      </w:tr>
      <w:tr>
        <w:tc>
          <w:tcPr>
            <w:tcW w:type="dxa" w:w="3360"/>
          </w:tcPr>
          <w:p>
            <w:r>
              <w:t>Settlement agreement/release/payment</w:t>
            </w:r>
          </w:p>
        </w:tc>
        <w:tc>
          <w:tcPr>
            <w:tcW w:type="dxa" w:w="3360"/>
          </w:tcPr>
          <w:p>
            <w:r>
              <w:t>KEEP</w:t>
            </w:r>
          </w:p>
        </w:tc>
        <w:tc>
          <w:tcPr>
            <w:tcW w:type="dxa" w:w="3360"/>
          </w:tcPr>
          <w:p>
            <w:r>
              <w:t>Tracks resolution through funding.</w:t>
            </w:r>
          </w:p>
        </w:tc>
      </w:tr>
      <w:tr>
        <w:tc>
          <w:tcPr>
            <w:tcW w:type="dxa" w:w="3360"/>
          </w:tcPr>
          <w:p>
            <w:r>
              <w:t>Lien resolution/allocation/closing/disbursement</w:t>
            </w:r>
          </w:p>
        </w:tc>
        <w:tc>
          <w:tcPr>
            <w:tcW w:type="dxa" w:w="3360"/>
          </w:tcPr>
          <w:p>
            <w:r>
              <w:t>KEEP</w:t>
            </w:r>
          </w:p>
        </w:tc>
        <w:tc>
          <w:tcPr>
            <w:tcW w:type="dxa" w:w="3360"/>
          </w:tcPr>
          <w:p>
            <w:r>
              <w:t>Supports accurate net recovery and closing after resolution.</w:t>
            </w:r>
          </w:p>
        </w:tc>
      </w:tr>
      <w:tr>
        <w:tc>
          <w:tcPr>
            <w:tcW w:type="dxa" w:w="3360"/>
          </w:tcPr>
          <w:p>
            <w:r>
              <w:t>Contribution network</w:t>
            </w:r>
          </w:p>
        </w:tc>
        <w:tc>
          <w:tcPr>
            <w:tcW w:type="dxa" w:w="3360"/>
          </w:tcPr>
          <w:p>
            <w:r>
              <w:t>KEEP / strengthen</w:t>
            </w:r>
          </w:p>
        </w:tc>
        <w:tc>
          <w:tcPr>
            <w:tcW w:type="dxa" w:w="3360"/>
          </w:tcPr>
          <w:p>
            <w:r>
              <w:t>Builds proprietary settlement intelligence with verification and privacy controls.</w:t>
            </w:r>
          </w:p>
        </w:tc>
      </w:tr>
    </w:tbl>
    <w:p>
      <w:pPr>
        <w:pStyle w:val="Heading1"/>
      </w:pPr>
      <w:r>
        <w:t>5. Missing SETTLE capabilities that should be added</w:t>
      </w:r>
    </w:p>
    <w:p>
      <w:pPr>
        <w:pStyle w:val="ListBullet"/>
      </w:pPr>
      <w:r>
        <w:t>TRACE Handoff Intake Contract: after bilateral TRACE ↔ SETTLE ontology/event/transition reconciliation, accept a versioned, signed, idempotent, de-identified Settlement Context Readiness Manifest and retain its version/limitations as an immutable governed input projection. SETTLE must not unilaterally mint the canonical event name or require TRACE to duplicate SETTLE-owned data.</w:t>
      </w:r>
    </w:p>
    <w:p>
      <w:pPr>
        <w:pStyle w:val="ListBullet"/>
      </w:pPr>
      <w:r>
        <w:t>Settlement Context Workspace: show the attorney what TRACE supplied, what is limited/unknown, and which comparable filters are actually supported - without pretending SETTLE owns the underlying facts.</w:t>
      </w:r>
    </w:p>
    <w:p>
      <w:pPr>
        <w:pStyle w:val="ListBullet"/>
      </w:pPr>
      <w:r>
        <w:t>Offer Analytical Assessment attached to existing Offer: compare an offer against historical range, data quality, applicable limits and estimated client economics. It must show assumptions and never auto-accept/reject.</w:t>
      </w:r>
    </w:p>
    <w:p>
      <w:pPr>
        <w:pStyle w:val="ListBullet"/>
      </w:pPr>
      <w:r>
        <w:t>NetRecoveryScenario before decision: estimated gross offer/demand less projected fees, costs and known/provisional lien/reimbursement amounts, clearly marked estimated. Final allocation remains ENT-102+.</w:t>
      </w:r>
    </w:p>
    <w:p>
      <w:pPr>
        <w:pStyle w:val="ListBullet"/>
      </w:pPr>
      <w:r>
        <w:t>Comparable-quality methodology: similarity and confidence should expose sample size, jurisdiction level, recency, injury/treatment match, economic-damages similarity, liability/comparative-fault context when available, coverage/limits comparability, source quality and verification tier.</w:t>
      </w:r>
    </w:p>
    <w:p>
      <w:pPr>
        <w:pStyle w:val="ListBullet"/>
      </w:pPr>
      <w:r>
        <w:t>Outcome contribution lifecycle from closed matters: privacy review, consent/eligibility, de-identification, verification, contribution quality tier and Founding Council/Billing credit event where applicable.</w:t>
      </w:r>
    </w:p>
    <w:p>
      <w:pPr>
        <w:pStyle w:val="ListBullet"/>
      </w:pPr>
      <w:r>
        <w:t>Negotiation chronology projection: one read model/UI assembled from existing resolution entities rather than a new authoritative timeline table.</w:t>
      </w:r>
    </w:p>
    <w:p>
      <w:pPr>
        <w:pStyle w:val="ListBullet"/>
      </w:pPr>
      <w:r>
        <w:t>Consumer-facing explanation artifact for attorney use: a clear, non-prescriptive summary of gross offer, estimated deductions, estimated net recovery, material uncertainties and alternatives, supporting informed client decisions without replacing attorney advice.</w:t>
      </w:r>
    </w:p>
    <w:p>
      <w:pPr>
        <w:pStyle w:val="Heading1"/>
      </w:pPr>
      <w:r>
        <w:t>6. Correct treatment of valuation and recommendations</w:t>
      </w:r>
    </w:p>
    <w:p>
      <w:r>
        <w:t>SETTLE may provide settlement intelligence because that is its product purpose, but it must distinguish descriptive evidence from professional judgment. Historical ranges, comparable outcomes and scenario economics are decision support. The client decides whether to settle; the attorney provides professional advice. Automated outputs must not masquerade as guaranteed value or client-specific legal advice.</w:t>
      </w:r>
    </w:p>
    <w:p>
      <w:r>
        <w:t>The existing multiplier layer should not automatically become the primary method merely because it exists. Keep it only if independent validation proves it adds stable, explainable value beyond verified comparable outcomes. Otherwise demote or remove it. The same rule applies to “overdemand cliff” features: retain only if supported by sufficient verified data and clear methodology; never present sparse correlations as causal negotiation advice.</w:t>
      </w:r>
    </w:p>
    <w:p>
      <w:pPr>
        <w:pStyle w:val="Heading1"/>
      </w:pPr>
      <w:r>
        <w:t>7. Final cross-product contract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Direction</w:t>
            </w:r>
          </w:p>
        </w:tc>
        <w:tc>
          <w:tcPr>
            <w:tcW w:type="dxa" w:w="3360"/>
            <w:shd w:fill="D9E2F3"/>
            <w:vAlign w:val="center"/>
          </w:tcPr>
          <w:p>
            <w:r>
              <w:rPr>
                <w:b/>
              </w:rPr>
              <w:t>Purpose</w:t>
            </w:r>
          </w:p>
        </w:tc>
        <w:tc>
          <w:tcPr>
            <w:tcW w:type="dxa" w:w="3360"/>
            <w:shd w:fill="D9E2F3"/>
            <w:vAlign w:val="center"/>
          </w:tcPr>
          <w:p>
            <w:r>
              <w:rPr>
                <w:b/>
              </w:rPr>
              <w:t>Rule</w:t>
            </w:r>
          </w:p>
        </w:tc>
      </w:tr>
      <w:tr>
        <w:tc>
          <w:tcPr>
            <w:tcW w:type="dxa" w:w="3360"/>
          </w:tcPr>
          <w:p>
            <w:r>
              <w:t>SaaS Admin/MDM -&gt; TRACE</w:t>
            </w:r>
          </w:p>
        </w:tc>
        <w:tc>
          <w:tcPr>
            <w:tcW w:type="dxa" w:w="3360"/>
          </w:tcPr>
          <w:p>
            <w:r>
              <w:t>Matter activation</w:t>
            </w:r>
          </w:p>
        </w:tc>
        <w:tc>
          <w:tcPr>
            <w:tcW w:type="dxa" w:w="3360"/>
          </w:tcPr>
          <w:p>
            <w:r>
              <w:t>Starts matter development; canonical identity/lifecycle authority remains upstream.</w:t>
            </w:r>
          </w:p>
        </w:tc>
      </w:tr>
      <w:tr>
        <w:tc>
          <w:tcPr>
            <w:tcW w:type="dxa" w:w="3360"/>
          </w:tcPr>
          <w:p>
            <w:r>
              <w:t>TRACE -&gt; SETTLE</w:t>
            </w:r>
          </w:p>
        </w:tc>
        <w:tc>
          <w:tcPr>
            <w:tcW w:type="dxa" w:w="3360"/>
          </w:tcPr>
          <w:p>
            <w:r>
              <w:t>Settlement-context readiness handoff</w:t>
            </w:r>
          </w:p>
        </w:tc>
        <w:tc>
          <w:tcPr>
            <w:tcW w:type="dxa" w:w="3360"/>
          </w:tcPr>
          <w:p>
            <w:r>
              <w:t>New mature boundary: attorney-approved, de-identified, versioned, signed, idempotent.</w:t>
            </w:r>
          </w:p>
        </w:tc>
      </w:tr>
      <w:tr>
        <w:tc>
          <w:tcPr>
            <w:tcW w:type="dxa" w:w="3360"/>
          </w:tcPr>
          <w:p>
            <w:r>
              <w:t>SETTLE -&gt; COMMAND</w:t>
            </w:r>
          </w:p>
        </w:tc>
        <w:tc>
          <w:tcPr>
            <w:tcW w:type="dxa" w:w="3360"/>
          </w:tcPr>
          <w:p>
            <w:r>
              <w:t>Resolution updates</w:t>
            </w:r>
          </w:p>
        </w:tc>
        <w:tc>
          <w:tcPr>
            <w:tcW w:type="dxa" w:w="3360"/>
          </w:tcPr>
          <w:p>
            <w:r>
              <w:t>Continue governed resolution status reporting under canonical contract.</w:t>
            </w:r>
          </w:p>
        </w:tc>
      </w:tr>
      <w:tr>
        <w:tc>
          <w:tcPr>
            <w:tcW w:type="dxa" w:w="3360"/>
          </w:tcPr>
          <w:p>
            <w:r>
              <w:t>SETTLE -&gt; Billing</w:t>
            </w:r>
          </w:p>
        </w:tc>
        <w:tc>
          <w:tcPr>
            <w:tcW w:type="dxa" w:w="3360"/>
          </w:tcPr>
          <w:p>
            <w:r>
              <w:t>Usage/credits where applicable</w:t>
            </w:r>
          </w:p>
        </w:tc>
        <w:tc>
          <w:tcPr>
            <w:tcW w:type="dxa" w:w="3360"/>
          </w:tcPr>
          <w:p>
            <w:r>
              <w:t>Deterministic billing events; no direct cross-DB writes.</w:t>
            </w:r>
          </w:p>
        </w:tc>
      </w:tr>
      <w:tr>
        <w:tc>
          <w:tcPr>
            <w:tcW w:type="dxa" w:w="3360"/>
          </w:tcPr>
          <w:p>
            <w:r>
              <w:t>SETTLE -&gt; intelligence case bank</w:t>
            </w:r>
          </w:p>
        </w:tc>
        <w:tc>
          <w:tcPr>
            <w:tcW w:type="dxa" w:w="3360"/>
          </w:tcPr>
          <w:p>
            <w:r>
              <w:t>Approved outcome contribution</w:t>
            </w:r>
          </w:p>
        </w:tc>
        <w:tc>
          <w:tcPr>
            <w:tcW w:type="dxa" w:w="3360"/>
          </w:tcPr>
          <w:p>
            <w:r>
              <w:t>Separate governed de-identification/verification path; never automatic raw matter copy.</w:t>
            </w:r>
          </w:p>
        </w:tc>
      </w:tr>
    </w:tbl>
    <w:p>
      <w:pPr>
        <w:pStyle w:val="Heading1"/>
      </w:pPr>
      <w:r>
        <w:t>8. Handoff acceptance behavior</w:t>
      </w:r>
    </w:p>
    <w:p>
      <w:r>
        <w:t>SETTLE should fail closed on invalid signature, tenant mismatch, unsupported schema version, duplicate/conflicting event, prohibited identifiers or missing required approval. It should not reject a packet merely because TRACE declares a limitation; READY_WITH_LIMITATIONS is a legitimate attorney-approved state and SETTLE must preserve those limitations visibly.</w:t>
      </w:r>
    </w:p>
    <w:p>
      <w:pPr>
        <w:pStyle w:val="Heading1"/>
      </w:pPr>
      <w:r>
        <w:t>9. Final implementation program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Stage</w:t>
            </w:r>
          </w:p>
        </w:tc>
        <w:tc>
          <w:tcPr>
            <w:tcW w:type="dxa" w:w="3360"/>
            <w:shd w:fill="D9E2F3"/>
            <w:vAlign w:val="center"/>
          </w:tcPr>
          <w:p>
            <w:r>
              <w:rPr>
                <w:b/>
              </w:rPr>
              <w:t>Deliverable</w:t>
            </w:r>
          </w:p>
        </w:tc>
        <w:tc>
          <w:tcPr>
            <w:tcW w:type="dxa" w:w="3360"/>
            <w:shd w:fill="D9E2F3"/>
            <w:vAlign w:val="center"/>
          </w:tcPr>
          <w:p>
            <w:r>
              <w:rPr>
                <w:b/>
              </w:rPr>
              <w:t>Important constraint</w:t>
            </w:r>
          </w:p>
        </w:tc>
      </w:tr>
      <w:tr>
        <w:tc>
          <w:tcPr>
            <w:tcW w:type="dxa" w:w="3360"/>
          </w:tcPr>
          <w:p>
            <w:r>
              <w:t>SETTLE-REC-000</w:t>
            </w:r>
          </w:p>
        </w:tc>
        <w:tc>
          <w:tcPr>
            <w:tcW w:type="dxa" w:w="3360"/>
          </w:tcPr>
          <w:p>
            <w:r>
              <w:t>Ontology + current-model reconciliation</w:t>
            </w:r>
          </w:p>
        </w:tc>
        <w:tc>
          <w:tcPr>
            <w:tcW w:type="dxa" w:w="3360"/>
          </w:tcPr>
          <w:p>
            <w:r>
              <w:t>Map every proposed feature to ENT-081..106/case-bank/current contracts before schema changes.</w:t>
            </w:r>
          </w:p>
        </w:tc>
      </w:tr>
      <w:tr>
        <w:tc>
          <w:tcPr>
            <w:tcW w:type="dxa" w:w="3360"/>
          </w:tcPr>
          <w:p>
            <w:r>
              <w:t>SETTLE-REC-001</w:t>
            </w:r>
          </w:p>
        </w:tc>
        <w:tc>
          <w:tcPr>
            <w:tcW w:type="dxa" w:w="3360"/>
          </w:tcPr>
          <w:p>
            <w:r>
              <w:t>TRACE handoff receiver vNext + migration compatibility</w:t>
            </w:r>
          </w:p>
        </w:tc>
        <w:tc>
          <w:tcPr>
            <w:tcW w:type="dxa" w:w="3360"/>
          </w:tcPr>
          <w:p>
            <w:r>
              <w:t>Do not silently break existing matter-activated contract.</w:t>
            </w:r>
          </w:p>
        </w:tc>
      </w:tr>
      <w:tr>
        <w:tc>
          <w:tcPr>
            <w:tcW w:type="dxa" w:w="3360"/>
          </w:tcPr>
          <w:p>
            <w:r>
              <w:t>SETTLE-REC-002</w:t>
            </w:r>
          </w:p>
        </w:tc>
        <w:tc>
          <w:tcPr>
            <w:tcW w:type="dxa" w:w="3360"/>
          </w:tcPr>
          <w:p>
            <w:r>
              <w:t>Settlement Context projection/workspace</w:t>
            </w:r>
          </w:p>
        </w:tc>
        <w:tc>
          <w:tcPr>
            <w:tcW w:type="dxa" w:w="3360"/>
          </w:tcPr>
          <w:p>
            <w:r>
              <w:t>No duplicate TRACE source truth or raw PHI.</w:t>
            </w:r>
          </w:p>
        </w:tc>
      </w:tr>
      <w:tr>
        <w:tc>
          <w:tcPr>
            <w:tcW w:type="dxa" w:w="3360"/>
          </w:tcPr>
          <w:p>
            <w:r>
              <w:t>SETTLE-REC-003</w:t>
            </w:r>
          </w:p>
        </w:tc>
        <w:tc>
          <w:tcPr>
            <w:tcW w:type="dxa" w:w="3360"/>
          </w:tcPr>
          <w:p>
            <w:r>
              <w:t>Comparable methodology + confidence hardening</w:t>
            </w:r>
          </w:p>
        </w:tc>
        <w:tc>
          <w:tcPr>
            <w:tcW w:type="dxa" w:w="3360"/>
          </w:tcPr>
          <w:p>
            <w:r>
              <w:t>No-fabrication; data sufficiency and provenance visible.</w:t>
            </w:r>
          </w:p>
        </w:tc>
      </w:tr>
      <w:tr>
        <w:tc>
          <w:tcPr>
            <w:tcW w:type="dxa" w:w="3360"/>
          </w:tcPr>
          <w:p>
            <w:r>
              <w:t>SETTLE-REC-004</w:t>
            </w:r>
          </w:p>
        </w:tc>
        <w:tc>
          <w:tcPr>
            <w:tcW w:type="dxa" w:w="3360"/>
          </w:tcPr>
          <w:p>
            <w:r>
              <w:t>Offer analytical assessment</w:t>
            </w:r>
          </w:p>
        </w:tc>
        <w:tc>
          <w:tcPr>
            <w:tcW w:type="dxa" w:w="3360"/>
          </w:tcPr>
          <w:p>
            <w:r>
              <w:t>Attach to existing Offer; assumptions/limitations explicit.</w:t>
            </w:r>
          </w:p>
        </w:tc>
      </w:tr>
      <w:tr>
        <w:tc>
          <w:tcPr>
            <w:tcW w:type="dxa" w:w="3360"/>
          </w:tcPr>
          <w:p>
            <w:r>
              <w:t>SETTLE-REC-005</w:t>
            </w:r>
          </w:p>
        </w:tc>
        <w:tc>
          <w:tcPr>
            <w:tcW w:type="dxa" w:w="3360"/>
          </w:tcPr>
          <w:p>
            <w:r>
              <w:t>NetRecoveryScenario</w:t>
            </w:r>
          </w:p>
        </w:tc>
        <w:tc>
          <w:tcPr>
            <w:tcW w:type="dxa" w:w="3360"/>
          </w:tcPr>
          <w:p>
            <w:r>
              <w:t>Estimated pre-decision scenario, separate from final allocation.</w:t>
            </w:r>
          </w:p>
        </w:tc>
      </w:tr>
      <w:tr>
        <w:tc>
          <w:tcPr>
            <w:tcW w:type="dxa" w:w="3360"/>
          </w:tcPr>
          <w:p>
            <w:r>
              <w:t>SETTLE-REC-006</w:t>
            </w:r>
          </w:p>
        </w:tc>
        <w:tc>
          <w:tcPr>
            <w:tcW w:type="dxa" w:w="3360"/>
          </w:tcPr>
          <w:p>
            <w:r>
              <w:t>Negotiation chronology projection</w:t>
            </w:r>
          </w:p>
        </w:tc>
        <w:tc>
          <w:tcPr>
            <w:tcW w:type="dxa" w:w="3360"/>
          </w:tcPr>
          <w:p>
            <w:r>
              <w:t>Read model over existing entities; no parallel lifecycle.</w:t>
            </w:r>
          </w:p>
        </w:tc>
      </w:tr>
      <w:tr>
        <w:tc>
          <w:tcPr>
            <w:tcW w:type="dxa" w:w="3360"/>
          </w:tcPr>
          <w:p>
            <w:r>
              <w:t>SETTLE-REC-007</w:t>
            </w:r>
          </w:p>
        </w:tc>
        <w:tc>
          <w:tcPr>
            <w:tcW w:type="dxa" w:w="3360"/>
          </w:tcPr>
          <w:p>
            <w:r>
              <w:t>Contribution lifecycle + Founding Council/Billing hooks</w:t>
            </w:r>
          </w:p>
        </w:tc>
        <w:tc>
          <w:tcPr>
            <w:tcW w:type="dxa" w:w="3360"/>
          </w:tcPr>
          <w:p>
            <w:r>
              <w:t>Privacy/consent/verification before shared intelligence.</w:t>
            </w:r>
          </w:p>
        </w:tc>
      </w:tr>
      <w:tr>
        <w:tc>
          <w:tcPr>
            <w:tcW w:type="dxa" w:w="3360"/>
          </w:tcPr>
          <w:p>
            <w:r>
              <w:t>SETTLE-REC-008</w:t>
            </w:r>
          </w:p>
        </w:tc>
        <w:tc>
          <w:tcPr>
            <w:tcW w:type="dxa" w:w="3360"/>
          </w:tcPr>
          <w:p>
            <w:r>
              <w:t>Client decision explanation + authority safeguards</w:t>
            </w:r>
          </w:p>
        </w:tc>
        <w:tc>
          <w:tcPr>
            <w:tcW w:type="dxa" w:w="3360"/>
          </w:tcPr>
          <w:p>
            <w:r>
              <w:t>No automated settlement decision; preserve informed consent.</w:t>
            </w:r>
          </w:p>
        </w:tc>
      </w:tr>
      <w:tr>
        <w:tc>
          <w:tcPr>
            <w:tcW w:type="dxa" w:w="3360"/>
          </w:tcPr>
          <w:p>
            <w:r>
              <w:t>SETTLE-REC-009</w:t>
            </w:r>
          </w:p>
        </w:tc>
        <w:tc>
          <w:tcPr>
            <w:tcW w:type="dxa" w:w="3360"/>
          </w:tcPr>
          <w:p>
            <w:r>
              <w:t>Cross-service commissioning</w:t>
            </w:r>
          </w:p>
        </w:tc>
        <w:tc>
          <w:tcPr>
            <w:tcW w:type="dxa" w:w="3360"/>
          </w:tcPr>
          <w:p>
            <w:r>
              <w:t>TRACE handoff, Billing, COMMAND, privacy and idempotency proofs.</w:t>
            </w:r>
          </w:p>
        </w:tc>
      </w:tr>
    </w:tbl>
    <w:p>
      <w:pPr>
        <w:pStyle w:val="Heading1"/>
      </w:pPr>
      <w:r>
        <w:t>10. Data-science/product pruning gates</w:t>
      </w:r>
    </w:p>
    <w:p>
      <w:r>
        <w:t>SETTLE should not keep analytical features merely because they are technically impressive. Each model must pass four gates: enough verified data; reproducible methodology; material decision value for the firm/client; and safe presentation that does not overstate certainty. Features that fail should remain disabled or be removed.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Feature</w:t>
            </w:r>
          </w:p>
        </w:tc>
        <w:tc>
          <w:tcPr>
            <w:tcW w:type="dxa" w:w="5040"/>
            <w:shd w:fill="D9E2F3"/>
            <w:vAlign w:val="center"/>
          </w:tcPr>
          <w:p>
            <w:r>
              <w:rPr>
                <w:b/>
              </w:rPr>
              <w:t>Default disposition</w:t>
            </w:r>
          </w:p>
        </w:tc>
      </w:tr>
      <w:tr>
        <w:tc>
          <w:tcPr>
            <w:tcW w:type="dxa" w:w="5040"/>
          </w:tcPr>
          <w:p>
            <w:r>
              <w:t>Verified comparable percentile ranges</w:t>
            </w:r>
          </w:p>
        </w:tc>
        <w:tc>
          <w:tcPr>
            <w:tcW w:type="dxa" w:w="5040"/>
          </w:tcPr>
          <w:p>
            <w:r>
              <w:t>Core.</w:t>
            </w:r>
          </w:p>
        </w:tc>
      </w:tr>
      <w:tr>
        <w:tc>
          <w:tcPr>
            <w:tcW w:type="dxa" w:w="5040"/>
          </w:tcPr>
          <w:p>
            <w:r>
              <w:t>Confidence/data sufficiency</w:t>
            </w:r>
          </w:p>
        </w:tc>
        <w:tc>
          <w:tcPr>
            <w:tcW w:type="dxa" w:w="5040"/>
          </w:tcPr>
          <w:p>
            <w:r>
              <w:t>Core.</w:t>
            </w:r>
          </w:p>
        </w:tc>
      </w:tr>
      <w:tr>
        <w:tc>
          <w:tcPr>
            <w:tcW w:type="dxa" w:w="5040"/>
          </w:tcPr>
          <w:p>
            <w:r>
              <w:t>Hierarchical county/state fallback with clear labeling</w:t>
            </w:r>
          </w:p>
        </w:tc>
        <w:tc>
          <w:tcPr>
            <w:tcW w:type="dxa" w:w="5040"/>
          </w:tcPr>
          <w:p>
            <w:r>
              <w:t>Core if statistically validated.</w:t>
            </w:r>
          </w:p>
        </w:tc>
      </w:tr>
      <w:tr>
        <w:tc>
          <w:tcPr>
            <w:tcW w:type="dxa" w:w="5040"/>
          </w:tcPr>
          <w:p>
            <w:r>
              <w:t>Multiplier model</w:t>
            </w:r>
          </w:p>
        </w:tc>
        <w:tc>
          <w:tcPr>
            <w:tcW w:type="dxa" w:w="5040"/>
          </w:tcPr>
          <w:p>
            <w:r>
              <w:t>Conditional - validate independently; demote/remove if unstable or duplicative.</w:t>
            </w:r>
          </w:p>
        </w:tc>
      </w:tr>
      <w:tr>
        <w:tc>
          <w:tcPr>
            <w:tcW w:type="dxa" w:w="5040"/>
          </w:tcPr>
          <w:p>
            <w:r>
              <w:t>Overdemand cliff</w:t>
            </w:r>
          </w:p>
        </w:tc>
        <w:tc>
          <w:tcPr>
            <w:tcW w:type="dxa" w:w="5040"/>
          </w:tcPr>
          <w:p>
            <w:r>
              <w:t>Conditional/high bar - requires strong verified evidence; otherwise shed.</w:t>
            </w:r>
          </w:p>
        </w:tc>
      </w:tr>
      <w:tr>
        <w:tc>
          <w:tcPr>
            <w:tcW w:type="dxa" w:w="5040"/>
          </w:tcPr>
          <w:p>
            <w:r>
              <w:t>AI-generated demand drafting</w:t>
            </w:r>
          </w:p>
        </w:tc>
        <w:tc>
          <w:tcPr>
            <w:tcW w:type="dxa" w:w="5040"/>
          </w:tcPr>
          <w:p>
            <w:r>
              <w:t>Optional assistive feature only; attorney review/authorization mandatory.</w:t>
            </w:r>
          </w:p>
        </w:tc>
      </w:tr>
      <w:tr>
        <w:tc>
          <w:tcPr>
            <w:tcW w:type="dxa" w:w="5040"/>
          </w:tcPr>
          <w:p>
            <w:r>
              <w:t>Exact-outcome display</w:t>
            </w:r>
          </w:p>
        </w:tc>
        <w:tc>
          <w:tcPr>
            <w:tcW w:type="dxa" w:w="5040"/>
          </w:tcPr>
          <w:p>
            <w:r>
              <w:t>Use only where confidentiality/source permissions allow; public/user-facing output may remain banded/anonymized.</w:t>
            </w:r>
          </w:p>
        </w:tc>
      </w:tr>
      <w:tr>
        <w:tc>
          <w:tcPr>
            <w:tcW w:type="dxa" w:w="5040"/>
          </w:tcPr>
          <w:p>
            <w:r>
              <w:t>Black-box case score</w:t>
            </w:r>
          </w:p>
        </w:tc>
        <w:tc>
          <w:tcPr>
            <w:tcW w:type="dxa" w:w="5040"/>
          </w:tcPr>
          <w:p>
            <w:r>
              <w:t>Shed.</w:t>
            </w:r>
          </w:p>
        </w:tc>
      </w:tr>
      <w:tr>
        <w:tc>
          <w:tcPr>
            <w:tcW w:type="dxa" w:w="5040"/>
          </w:tcPr>
          <w:p>
            <w:r>
              <w:t>Automated accept/reject recommendation</w:t>
            </w:r>
          </w:p>
        </w:tc>
        <w:tc>
          <w:tcPr>
            <w:tcW w:type="dxa" w:w="5040"/>
          </w:tcPr>
          <w:p>
            <w:r>
              <w:t>Shed.</w:t>
            </w:r>
          </w:p>
        </w:tc>
      </w:tr>
      <w:tr>
        <w:tc>
          <w:tcPr>
            <w:tcW w:type="dxa" w:w="5040"/>
          </w:tcPr>
          <w:p>
            <w:r>
              <w:t>Raw PHI ingestion from TRACE</w:t>
            </w:r>
          </w:p>
        </w:tc>
        <w:tc>
          <w:tcPr>
            <w:tcW w:type="dxa" w:w="5040"/>
          </w:tcPr>
          <w:p>
            <w:r>
              <w:t>Shed by default.</w:t>
            </w:r>
          </w:p>
        </w:tc>
      </w:tr>
    </w:tbl>
    <w:p>
      <w:pPr>
        <w:pStyle w:val="Heading1"/>
      </w:pPr>
      <w:r>
        <w:t>11. Law-firm and consumer value test</w:t>
      </w:r>
    </w:p>
    <w:p>
      <w:r>
        <w:t>A SETTLE feature stays only if it materially improves one of five outcomes: better-supported settlement context, faster/cleaner demand and negotiation workflow, clearer client economics, stronger informed-consent records, or higher-quality proprietary outcome intelligence. Features that merely duplicate TRACE, create a second source of truth, produce unjustified certainty or add dashboards without changing decisions should be removed.</w:t>
      </w:r>
    </w:p>
    <w:p>
      <w:pPr>
        <w:pStyle w:val="Heading1"/>
      </w:pPr>
      <w:r>
        <w:t>12. Definition of Done</w:t>
      </w:r>
    </w:p>
    <w:p>
      <w:pPr>
        <w:pStyle w:val="ListBullet"/>
      </w:pPr>
      <w:r>
        <w:t>SETTLE accepts the approved TRACE readiness manifest without taking ownership of TRACE evidence.</w:t>
      </w:r>
    </w:p>
    <w:p>
      <w:pPr>
        <w:pStyle w:val="ListBullet"/>
      </w:pPr>
      <w:r>
        <w:t>No duplicate medical/treatment/liability/coverage evidence-development subsystem exists in SETTLE.</w:t>
      </w:r>
    </w:p>
    <w:p>
      <w:pPr>
        <w:pStyle w:val="ListBullet"/>
      </w:pPr>
      <w:r>
        <w:t>Existing ENT-081/082 and ENT-092..106 remain the resolution ontology and are extended rather than duplicated.</w:t>
      </w:r>
    </w:p>
    <w:p>
      <w:pPr>
        <w:pStyle w:val="ListBullet"/>
      </w:pPr>
      <w:r>
        <w:t>Offer analysis is attached to existing offers and remains advisory/explainable.</w:t>
      </w:r>
    </w:p>
    <w:p>
      <w:pPr>
        <w:pStyle w:val="ListBullet"/>
      </w:pPr>
      <w:r>
        <w:t>Net-recovery scenarios are clearly estimated and separate from final settlement allocation/disbursement.</w:t>
      </w:r>
    </w:p>
    <w:p>
      <w:pPr>
        <w:pStyle w:val="ListBullet"/>
      </w:pPr>
      <w:r>
        <w:t>Comparable/confidence methodology is verified, provenance-aware and honest about sparse data.</w:t>
      </w:r>
    </w:p>
    <w:p>
      <w:pPr>
        <w:pStyle w:val="ListBullet"/>
      </w:pPr>
      <w:r>
        <w:t>Client authority remains mandatory for settlement decisions; attorney authority governs professional recommendations and transmissions.</w:t>
      </w:r>
    </w:p>
    <w:p>
      <w:pPr>
        <w:pStyle w:val="ListBullet"/>
      </w:pPr>
      <w:r>
        <w:t>Contribution intelligence passes consent, privacy, de-identification and no-fabrication gates.</w:t>
      </w:r>
    </w:p>
    <w:p>
      <w:pPr>
        <w:pStyle w:val="ListBullet"/>
      </w:pPr>
      <w:r>
        <w:t>Cross-service events are signed, versioned, idempotent, tenant-bound and audited.</w:t>
      </w:r>
    </w:p>
    <w:p>
      <w:pPr>
        <w:pStyle w:val="ListBullet"/>
      </w:pPr>
      <w:r>
        <w:t>Conditional analytics that fail evidence/value gates are disabled or removed rather than marketed as intelligence.</w:t>
      </w:r>
    </w:p>
    <w:p>
      <w:pPr>
        <w:pStyle w:val="Heading1"/>
      </w:pPr>
      <w:r>
        <w:t>13. Instructions to the SETTLE repository coding agent</w:t>
      </w:r>
    </w:p>
    <w:p>
      <w:pPr>
        <w:pStyle w:val="Heading1"/>
      </w:pPr>
      <w:r>
        <w:t>Source basis</w:t>
      </w:r>
    </w:p>
    <w:p>
      <w:r>
        <w:t>This plan reconciles the user-provided TRACE-PLAN-DMG-SETTLE-001 (29 Aug 2026), the current TRACE repository, and the current SETTLE GitHub repository reviewed on 30 Aug 2026, including AGENTS.md, app/models/settlement.py and app/models/case_bank.py. The current SETTLE repository explicitly maps ENT-081/082 and ENT-092..106 to the resolution domain and enforces a no-fabrication evidence rule for the case bank.</w:t>
      </w:r>
    </w:p>
    <w:p>
      <w:pPr>
        <w:pStyle w:val="ListBullet"/>
      </w:pPr>
      <w:r>
        <w:t>Treat this document as planning direction, not permission to implement blindly. First inspect the current repository and return an evidence-backed reconciliation against existing ontology entities, models, migrations, APIs, services, tests and contracts.</w:t>
      </w:r>
    </w:p>
    <w:p>
      <w:pPr>
        <w:pStyle w:val="ListBullet"/>
      </w:pPr>
      <w:r>
        <w:t>Do not use README.md or any single historical contract file as architecture authority where it conflicts with newer code, ontology governance or the accepted TRACE boundary.</w:t>
      </w:r>
    </w:p>
    <w:p>
      <w:pPr>
        <w:pStyle w:val="ListBullet"/>
      </w:pPr>
      <w:r>
        <w:t>Do not create migrations, new ENT identifiers, canonical event names, or destructive refactors during SETTLE-REC-000. Proposed additions must identify the existing concept reused, the genuine ontology gap, owner, authority class, privacy class, lifecycle/transition, provenance and cross-service consumer.</w:t>
      </w:r>
    </w:p>
    <w:p>
      <w:pPr>
        <w:pStyle w:val="ListBullet"/>
      </w:pPr>
      <w:r>
        <w:t>For TRACE-originating context, SETTLE owns only the accepted governed projection and its use in resolution intelligence. TRACE remains authoritative for underlying evidence development. SETTLE must not require raw PHI or duplicate TRACE evidence tables.</w:t>
      </w:r>
    </w:p>
    <w:p>
      <w:pPr>
        <w:pStyle w:val="ListBullet"/>
      </w:pPr>
      <w:r>
        <w:t>Return conflicts rather than silently choosing a side. In particular, reconcile legacy matter-activation/bootstrap contracts separately from the later attorney-approved settlement-context readiness boundary.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