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aps/>
          <w:color w:val="1A6EBD"/>
          <w:sz w:val="18"/>
          <w:szCs w:val="18"/>
        </w:rPr>
        <w:t xml:space="preserve">INSTRUCTOR GUIDE</w:t>
      </w:r>
    </w:p>
    <w:p>
      <w:pPr>
        <w:spacing w:after="40" w:before="80"/>
      </w:pPr>
      <w:r>
        <w:rPr>
          <w:rFonts w:ascii="Arial" w:cs="Arial" w:eastAsia="Arial" w:hAnsi="Arial"/>
          <w:b/>
          <w:bCs/>
          <w:color w:val="0D1F3C"/>
          <w:sz w:val="46"/>
          <w:szCs w:val="46"/>
        </w:rPr>
        <w:t xml:space="preserve">Using VectraSpace in Your Course</w:t>
      </w:r>
    </w:p>
    <w:p>
      <w:pPr>
        <w:spacing w:after="220" w:before="0"/>
      </w:pPr>
      <w:r>
        <w:rPr>
          <w:rFonts w:ascii="Arial" w:cs="Arial" w:eastAsia="Arial" w:hAnsi="Arial"/>
          <w:i/>
          <w:iCs/>
          <w:color w:val="6B7280"/>
          <w:sz w:val="23"/>
          <w:szCs w:val="23"/>
        </w:rPr>
        <w:t xml:space="preserve">For aerospace engineering, physics, and space policy faculty</w:t>
      </w:r>
    </w:p>
    <w:p>
      <w:pPr>
        <w:pBdr>
          <w:bottom w:val="single" w:color="CBD5E1" w:sz="6" w:space="1"/>
        </w:pBdr>
        <w:spacing w:after="240" w:before="0"/>
      </w:pPr>
    </w:p>
    <w:p>
      <w:pPr>
        <w:pStyle w:val="Heading2"/>
        <w:spacing w:after="100" w:before="320"/>
      </w:pPr>
      <w:r>
        <w:rPr>
          <w:rFonts w:ascii="Arial" w:cs="Arial" w:eastAsia="Arial" w:hAnsi="Arial"/>
          <w:b/>
          <w:bCs/>
          <w:color w:val="1A6EBD"/>
          <w:sz w:val="28"/>
          <w:szCs w:val="28"/>
        </w:rPr>
        <w:t xml:space="preserve">What VectraSpace Covers</w:t>
      </w:r>
    </w:p>
    <w:p>
      <w:pPr>
        <w:spacing w:after="140" w:before="40" w:line="296"/>
      </w:pPr>
      <w:r>
        <w:rPr>
          <w:rFonts w:ascii="Arial" w:cs="Arial" w:eastAsia="Arial" w:hAnsi="Arial"/>
          <w:color w:val="1F2937"/>
          <w:sz w:val="21"/>
          <w:szCs w:val="21"/>
        </w:rPr>
        <w:t xml:space="preserve">VectraSpace is a free, browser-based platform — no account, no installation — that covers the analytical core of an introductory astrodynamics or space policy curriculum. The four chapters run from </w:t>
      </w:r>
      <w:r>
        <w:rPr>
          <w:rFonts w:ascii="Arial" w:cs="Arial" w:eastAsia="Arial" w:hAnsi="Arial"/>
          <w:b/>
          <w:bCs/>
          <w:color w:val="1F2937"/>
          <w:sz w:val="21"/>
          <w:szCs w:val="21"/>
        </w:rPr>
        <w:t xml:space="preserve">Kepler's laws and SGP4 propagation</w:t>
      </w:r>
      <w:r>
        <w:rPr>
          <w:rFonts w:ascii="Arial" w:cs="Arial" w:eastAsia="Arial" w:hAnsi="Arial"/>
          <w:color w:val="1F2937"/>
          <w:sz w:val="21"/>
          <w:szCs w:val="21"/>
        </w:rPr>
        <w:t xml:space="preserve"> through the </w:t>
      </w:r>
      <w:r>
        <w:rPr>
          <w:rFonts w:ascii="Arial" w:cs="Arial" w:eastAsia="Arial" w:hAnsi="Arial"/>
          <w:b/>
          <w:bCs/>
          <w:color w:val="1F2937"/>
          <w:sz w:val="21"/>
          <w:szCs w:val="21"/>
        </w:rPr>
        <w:t xml:space="preserve">Foster-Alfano probability-of-collision method</w:t>
      </w:r>
      <w:r>
        <w:rPr>
          <w:rFonts w:ascii="Arial" w:cs="Arial" w:eastAsia="Arial" w:hAnsi="Arial"/>
          <w:color w:val="1F2937"/>
          <w:sz w:val="21"/>
          <w:szCs w:val="21"/>
        </w:rPr>
        <w:t xml:space="preserve">, </w:t>
      </w:r>
      <w:r>
        <w:rPr>
          <w:rFonts w:ascii="Arial" w:cs="Arial" w:eastAsia="Arial" w:hAnsi="Arial"/>
          <w:b/>
          <w:bCs/>
          <w:color w:val="1F2937"/>
          <w:sz w:val="21"/>
          <w:szCs w:val="21"/>
        </w:rPr>
        <w:t xml:space="preserve">J₂ oblateness and atmospheric drag</w:t>
      </w:r>
      <w:r>
        <w:rPr>
          <w:rFonts w:ascii="Arial" w:cs="Arial" w:eastAsia="Arial" w:hAnsi="Arial"/>
          <w:color w:val="1F2937"/>
          <w:sz w:val="21"/>
          <w:szCs w:val="21"/>
        </w:rPr>
        <w:t xml:space="preserve">, and the </w:t>
      </w:r>
      <w:r>
        <w:rPr>
          <w:rFonts w:ascii="Arial" w:cs="Arial" w:eastAsia="Arial" w:hAnsi="Arial"/>
          <w:b/>
          <w:bCs/>
          <w:color w:val="1F2937"/>
          <w:sz w:val="21"/>
          <w:szCs w:val="21"/>
        </w:rPr>
        <w:t xml:space="preserve">NASA Standard Breakup Model with Kessler cascade physics</w:t>
      </w:r>
      <w:r>
        <w:rPr>
          <w:rFonts w:ascii="Arial" w:cs="Arial" w:eastAsia="Arial" w:hAnsi="Arial"/>
          <w:color w:val="1F2937"/>
          <w:sz w:val="21"/>
          <w:szCs w:val="21"/>
        </w:rPr>
        <w:t xml:space="preserve">. Each chapter is written at the level of a junior or senior undergraduate in aerospace engineering or physics, with a parallel policy thread in Chapter 04 that works equally well for law and policy students. Everything is built on publicly available data: TLEs from CelesTrak, SGP4 propagation, and the IADC/FCC regulatory record.</w:t>
      </w:r>
    </w:p>
    <w:p>
      <w:pPr>
        <w:spacing w:after="140" w:before="40" w:line="296"/>
      </w:pPr>
      <w:r>
        <w:rPr>
          <w:rFonts w:ascii="Arial" w:cs="Arial" w:eastAsia="Arial" w:hAnsi="Arial"/>
          <w:color w:val="1F2937"/>
          <w:sz w:val="21"/>
          <w:szCs w:val="21"/>
        </w:rPr>
        <w:t xml:space="preserve">The distinguishing feature is that the chapters and the tools are the same environment: a student reading about the vis-viva equation can open the </w:t>
      </w:r>
      <w:r>
        <w:rPr>
          <w:rFonts w:ascii="Arial" w:cs="Arial" w:eastAsia="Arial" w:hAnsi="Arial"/>
          <w:b/>
          <w:bCs/>
          <w:color w:val="1F2937"/>
          <w:sz w:val="21"/>
          <w:szCs w:val="21"/>
        </w:rPr>
        <w:t xml:space="preserve">Impact Calculator</w:t>
      </w:r>
      <w:r>
        <w:rPr>
          <w:rFonts w:ascii="Arial" w:cs="Arial" w:eastAsia="Arial" w:hAnsi="Arial"/>
          <w:color w:val="1F2937"/>
          <w:sz w:val="21"/>
          <w:szCs w:val="21"/>
        </w:rPr>
        <w:t xml:space="preserve"> in a second tab and instantiate it with real satellite masses and LEO crossing velocities in under a minute. The </w:t>
      </w:r>
      <w:r>
        <w:rPr>
          <w:rFonts w:ascii="Arial" w:cs="Arial" w:eastAsia="Arial" w:hAnsi="Arial"/>
          <w:b/>
          <w:bCs/>
          <w:color w:val="1F2937"/>
          <w:sz w:val="21"/>
          <w:szCs w:val="21"/>
        </w:rPr>
        <w:t xml:space="preserve">Live Conjunction Dashboard</w:t>
      </w:r>
      <w:r>
        <w:rPr>
          <w:rFonts w:ascii="Arial" w:cs="Arial" w:eastAsia="Arial" w:hAnsi="Arial"/>
          <w:color w:val="1F2937"/>
          <w:sz w:val="21"/>
          <w:szCs w:val="21"/>
        </w:rPr>
        <w:t xml:space="preserve"> runs SGP4 on live TLEs and returns miss distance, Pc, and relative velocity at TCA for every detected pair. The </w:t>
      </w:r>
      <w:r>
        <w:rPr>
          <w:rFonts w:ascii="Arial" w:cs="Arial" w:eastAsia="Arial" w:hAnsi="Arial"/>
          <w:b/>
          <w:bCs/>
          <w:color w:val="1F2937"/>
          <w:sz w:val="21"/>
          <w:szCs w:val="21"/>
        </w:rPr>
        <w:t xml:space="preserve">Scenarios viewer</w:t>
      </w:r>
      <w:r>
        <w:rPr>
          <w:rFonts w:ascii="Arial" w:cs="Arial" w:eastAsia="Arial" w:hAnsi="Arial"/>
          <w:color w:val="1F2937"/>
          <w:sz w:val="21"/>
          <w:szCs w:val="21"/>
        </w:rPr>
        <w:t xml:space="preserve"> animates Iridium-Cosmos, FY-1C, a Kessler cascade, and a 0.1 m/s avoidance maneuver against a real orbital geometry. Students are working with the same data structures and the same physics approximations used by operational SSA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66534" w:val="clear"/>
            <w:tcMar>
              <w:top w:type="dxa" w:w="0"/>
              <w:left w:type="dxa" w:w="0"/>
              <w:bottom w:type="dxa" w:w="0"/>
              <w:right w:type="dxa" w:w="0"/>
            </w:tcMar>
          </w:tcPr>
          <w:p/>
        </w:tc>
        <w:tc>
          <w:tcPr>
            <w:tcW w:type="dxa" w:w="9180"/>
            <w:tcBorders>
              <w:top w:val="none" w:color="FFFFFF" w:sz="0"/>
              <w:left w:val="none" w:color="FFFFFF" w:sz="0"/>
              <w:bottom w:val="none" w:color="FFFFFF" w:sz="0"/>
              <w:right w:val="none" w:color="FFFFFF" w:sz="0"/>
            </w:tcBorders>
            <w:shd w:fill="EBF8F0" w:val="clear"/>
            <w:tcMar>
              <w:top w:type="dxa" w:w="120"/>
              <w:left w:type="dxa" w:w="200"/>
              <w:bottom w:type="dxa" w:w="120"/>
              <w:right w:type="dxa" w:w="160"/>
            </w:tcMar>
          </w:tcPr>
          <w:p>
            <w:pPr>
              <w:spacing w:after="0" w:before="0" w:line="278"/>
            </w:pPr>
            <w:r>
              <w:rPr>
                <w:rFonts w:ascii="Arial" w:cs="Arial" w:eastAsia="Arial" w:hAnsi="Arial"/>
                <w:b/>
                <w:bCs/>
                <w:color w:val="166534"/>
                <w:sz w:val="20"/>
                <w:szCs w:val="20"/>
              </w:rPr>
              <w:t xml:space="preserve">Curriculum alignment: </w:t>
            </w:r>
            <w:r>
              <w:rPr>
                <w:rFonts w:ascii="Arial" w:cs="Arial" w:eastAsia="Arial" w:hAnsi="Arial"/>
                <w:color w:val="166534"/>
                <w:sz w:val="20"/>
                <w:szCs w:val="20"/>
              </w:rPr>
              <w:t xml:space="preserve">Chapters 01 and 03 map directly to AIAA-standard astrodynamics core competencies (two-body dynamics, orbit propagation, perturbation theory). Chapter 02 fits naturally into an orbit determination or space traffic management unit. Chapter 04's policy sections — IADC guidelines, FCC deorbit timelines, ADR economics, dual-use laser concerns — have worked well in international space law and space governance seminars without requiring any prior astrodynamics background.</w:t>
            </w:r>
          </w:p>
        </w:tc>
      </w:tr>
    </w:tbl>
    <w:p>
      <w:pPr>
        <w:spacing w:after="0" w:before="200"/>
      </w:pPr>
    </w:p>
    <w:p>
      <w:pPr>
        <w:pStyle w:val="Heading2"/>
        <w:spacing w:after="100" w:before="320"/>
      </w:pPr>
      <w:r>
        <w:rPr>
          <w:rFonts w:ascii="Arial" w:cs="Arial" w:eastAsia="Arial" w:hAnsi="Arial"/>
          <w:b/>
          <w:bCs/>
          <w:color w:val="1A6EBD"/>
          <w:sz w:val="28"/>
          <w:szCs w:val="28"/>
        </w:rPr>
        <w:t xml:space="preserve">Suggested Course Mappings</w:t>
      </w:r>
    </w:p>
    <w:p>
      <w:pPr>
        <w:spacing w:after="140" w:before="40" w:line="296"/>
      </w:pPr>
      <w:r>
        <w:rPr>
          <w:rFonts w:ascii="Arial" w:cs="Arial" w:eastAsia="Arial" w:hAnsi="Arial"/>
          <w:color w:val="1F2937"/>
          <w:sz w:val="21"/>
          <w:szCs w:val="21"/>
        </w:rPr>
        <w:t xml:space="preserve">The table below assumes a 15-week semester. Chapters 01 and 03 work well in the first half of term; Chapters 02 and 04 are stronger after students have built physical intuition. All four can be assigned as standalone reading units without the others.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40"/>
        <w:gridCol w:w="2520"/>
        <w:gridCol w:w="3300"/>
      </w:tblGrid>
      <w:tr>
        <w:tc>
          <w:tcPr>
            <w:tcW w:type="dxa" w:w="9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tcPr>
          <w:p>
            <w:r>
              <w:rPr>
                <w:rFonts w:ascii="Arial" w:cs="Arial" w:eastAsia="Arial" w:hAnsi="Arial"/>
                <w:b/>
                <w:bCs/>
                <w:color w:val="FFFFFF"/>
                <w:sz w:val="19"/>
                <w:szCs w:val="19"/>
              </w:rPr>
              <w:t xml:space="preserve">Ch.</w:t>
            </w:r>
          </w:p>
        </w:tc>
        <w:tc>
          <w:tcPr>
            <w:tcW w:type="dxa" w:w="264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tcPr>
          <w:p>
            <w:r>
              <w:rPr>
                <w:rFonts w:ascii="Arial" w:cs="Arial" w:eastAsia="Arial" w:hAnsi="Arial"/>
                <w:b/>
                <w:bCs/>
                <w:color w:val="FFFFFF"/>
                <w:sz w:val="19"/>
                <w:szCs w:val="19"/>
              </w:rPr>
              <w:t xml:space="preserve">Title</w:t>
            </w:r>
          </w:p>
        </w:tc>
        <w:tc>
          <w:tcPr>
            <w:tcW w:type="dxa" w:w="252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tcPr>
          <w:p>
            <w:r>
              <w:rPr>
                <w:rFonts w:ascii="Arial" w:cs="Arial" w:eastAsia="Arial" w:hAnsi="Arial"/>
                <w:b/>
                <w:bCs/>
                <w:color w:val="FFFFFF"/>
                <w:sz w:val="19"/>
                <w:szCs w:val="19"/>
              </w:rPr>
              <w:t xml:space="preserve">Suggested Placement</w:t>
            </w:r>
          </w:p>
        </w:tc>
        <w:tc>
          <w:tcPr>
            <w:tcW w:type="dxa" w:w="33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tcPr>
          <w:p>
            <w:r>
              <w:rPr>
                <w:rFonts w:ascii="Arial" w:cs="Arial" w:eastAsia="Arial" w:hAnsi="Arial"/>
                <w:b/>
                <w:bCs/>
                <w:color w:val="FFFFFF"/>
                <w:sz w:val="19"/>
                <w:szCs w:val="19"/>
              </w:rPr>
              <w:t xml:space="preserve">Prerequisite to Assign First</w:t>
            </w:r>
          </w:p>
        </w:tc>
      </w:tr>
      <w:tr>
        <w:tc>
          <w:tcPr>
            <w:tcW w:type="dxa" w:w="900"/>
            <w:tcBorders>
              <w:top w:val="single" w:color="CBD5E1" w:sz="4"/>
              <w:left w:val="none" w:color="FFFFFF" w:sz="0"/>
              <w:bottom w:val="none" w:color="FFFFFF" w:sz="0"/>
              <w:right w:val="none" w:color="FFFFFF" w:sz="0"/>
            </w:tcBorders>
            <w:shd w:fill="EDF4FC" w:val="clear"/>
            <w:tcMar>
              <w:top w:type="dxa" w:w="90"/>
              <w:left w:type="dxa" w:w="120"/>
              <w:bottom w:type="dxa" w:w="90"/>
              <w:right w:type="dxa" w:w="120"/>
            </w:tcMar>
          </w:tcPr>
          <w:p>
            <w:pPr>
              <w:spacing w:after="0" w:before="0" w:line="278"/>
            </w:pPr>
            <w:r>
              <w:rPr>
                <w:rFonts w:ascii="Arial" w:cs="Arial" w:eastAsia="Arial" w:hAnsi="Arial"/>
                <w:color w:val="1F2937"/>
                <w:sz w:val="19"/>
                <w:szCs w:val="19"/>
              </w:rPr>
              <w:t xml:space="preserve">01</w:t>
            </w:r>
          </w:p>
        </w:tc>
        <w:tc>
          <w:tcPr>
            <w:tcW w:type="dxa" w:w="2640"/>
            <w:tcBorders>
              <w:top w:val="single" w:color="CBD5E1" w:sz="4"/>
              <w:left w:val="none" w:color="FFFFFF" w:sz="0"/>
              <w:bottom w:val="none" w:color="FFFFFF" w:sz="0"/>
              <w:right w:val="none" w:color="FFFFFF" w:sz="0"/>
            </w:tcBorders>
            <w:shd w:fill="EDF4FC" w:val="clear"/>
            <w:tcMar>
              <w:top w:type="dxa" w:w="90"/>
              <w:left w:type="dxa" w:w="120"/>
              <w:bottom w:type="dxa" w:w="90"/>
              <w:right w:type="dxa" w:w="120"/>
            </w:tcMar>
          </w:tcPr>
          <w:p>
            <w:pPr>
              <w:spacing w:after="0" w:before="0" w:line="278"/>
            </w:pPr>
            <w:r>
              <w:rPr>
                <w:rFonts w:ascii="Arial" w:cs="Arial" w:eastAsia="Arial" w:hAnsi="Arial"/>
                <w:b/>
                <w:bCs/>
                <w:color w:val="0D1F3C"/>
                <w:sz w:val="19"/>
                <w:szCs w:val="19"/>
              </w:rPr>
              <w:t xml:space="preserve">Orbital Mechanics — Kepler to SGP4</w:t>
            </w:r>
          </w:p>
        </w:tc>
        <w:tc>
          <w:tcPr>
            <w:tcW w:type="dxa" w:w="2520"/>
            <w:tcBorders>
              <w:top w:val="single" w:color="CBD5E1" w:sz="4"/>
              <w:left w:val="none" w:color="FFFFFF" w:sz="0"/>
              <w:bottom w:val="none" w:color="FFFFFF" w:sz="0"/>
              <w:right w:val="none" w:color="FFFFFF" w:sz="0"/>
            </w:tcBorders>
            <w:shd w:fill="EDF4FC" w:val="clear"/>
            <w:tcMar>
              <w:top w:type="dxa" w:w="90"/>
              <w:left w:type="dxa" w:w="120"/>
              <w:bottom w:type="dxa" w:w="90"/>
              <w:right w:type="dxa" w:w="120"/>
            </w:tcMar>
          </w:tcPr>
          <w:p>
            <w:pPr>
              <w:spacing w:after="0" w:before="0" w:line="278"/>
            </w:pPr>
            <w:r>
              <w:rPr>
                <w:rFonts w:ascii="Arial" w:cs="Arial" w:eastAsia="Arial" w:hAnsi="Arial"/>
                <w:color w:val="1F2937"/>
                <w:sz w:val="19"/>
                <w:szCs w:val="19"/>
              </w:rPr>
              <w:t xml:space="preserve">Weeks 2–3: after Newton's law of gravitation, before mission-design module</w:t>
            </w:r>
          </w:p>
        </w:tc>
        <w:tc>
          <w:tcPr>
            <w:tcW w:type="dxa" w:w="3300"/>
            <w:tcBorders>
              <w:top w:val="single" w:color="CBD5E1" w:sz="4"/>
              <w:left w:val="none" w:color="FFFFFF" w:sz="0"/>
              <w:bottom w:val="none" w:color="FFFFFF" w:sz="0"/>
              <w:right w:val="none" w:color="FFFFFF" w:sz="0"/>
            </w:tcBorders>
            <w:shd w:fill="EDF4FC" w:val="clear"/>
            <w:tcMar>
              <w:top w:type="dxa" w:w="90"/>
              <w:left w:type="dxa" w:w="120"/>
              <w:bottom w:type="dxa" w:w="90"/>
              <w:right w:type="dxa" w:w="120"/>
            </w:tcMar>
          </w:tcPr>
          <w:p>
            <w:pPr>
              <w:spacing w:after="0" w:before="0" w:line="278"/>
            </w:pPr>
            <w:r>
              <w:rPr>
                <w:rFonts w:ascii="Arial" w:cs="Arial" w:eastAsia="Arial" w:hAnsi="Arial"/>
                <w:color w:val="1F2937"/>
                <w:sz w:val="19"/>
                <w:szCs w:val="19"/>
              </w:rPr>
              <w:t xml:space="preserve">Two-body problem derivation; intro to conic sections; vector algebra fluency</w:t>
            </w:r>
          </w:p>
        </w:tc>
      </w:tr>
      <w:tr>
        <w:tc>
          <w:tcPr>
            <w:tcW w:type="dxa" w:w="900"/>
            <w:tcBorders>
              <w:top w:val="single" w:color="CBD5E1" w:sz="4"/>
              <w:left w:val="none" w:color="FFFFFF" w:sz="0"/>
              <w:bottom w:val="none" w:color="FFFFFF" w:sz="0"/>
              <w:right w:val="none" w:color="FFFFFF" w:sz="0"/>
            </w:tcBorders>
            <w:shd w:fill="FFFFFF" w:val="clear"/>
            <w:tcMar>
              <w:top w:type="dxa" w:w="90"/>
              <w:left w:type="dxa" w:w="120"/>
              <w:bottom w:type="dxa" w:w="90"/>
              <w:right w:type="dxa" w:w="120"/>
            </w:tcMar>
          </w:tcPr>
          <w:p>
            <w:pPr>
              <w:spacing w:after="0" w:before="0" w:line="278"/>
            </w:pPr>
            <w:r>
              <w:rPr>
                <w:rFonts w:ascii="Arial" w:cs="Arial" w:eastAsia="Arial" w:hAnsi="Arial"/>
                <w:color w:val="1F2937"/>
                <w:sz w:val="19"/>
                <w:szCs w:val="19"/>
              </w:rPr>
              <w:t xml:space="preserve">02</w:t>
            </w:r>
          </w:p>
        </w:tc>
        <w:tc>
          <w:tcPr>
            <w:tcW w:type="dxa" w:w="2640"/>
            <w:tcBorders>
              <w:top w:val="single" w:color="CBD5E1" w:sz="4"/>
              <w:left w:val="none" w:color="FFFFFF" w:sz="0"/>
              <w:bottom w:val="none" w:color="FFFFFF" w:sz="0"/>
              <w:right w:val="none" w:color="FFFFFF" w:sz="0"/>
            </w:tcBorders>
            <w:shd w:fill="FFFFFF" w:val="clear"/>
            <w:tcMar>
              <w:top w:type="dxa" w:w="90"/>
              <w:left w:type="dxa" w:w="120"/>
              <w:bottom w:type="dxa" w:w="90"/>
              <w:right w:type="dxa" w:w="120"/>
            </w:tcMar>
          </w:tcPr>
          <w:p>
            <w:pPr>
              <w:spacing w:after="0" w:before="0" w:line="278"/>
            </w:pPr>
            <w:r>
              <w:rPr>
                <w:rFonts w:ascii="Arial" w:cs="Arial" w:eastAsia="Arial" w:hAnsi="Arial"/>
                <w:b/>
                <w:bCs/>
                <w:color w:val="0D1F3C"/>
                <w:sz w:val="19"/>
                <w:szCs w:val="19"/>
              </w:rPr>
              <w:t xml:space="preserve">Conjunction Prediction &amp; Probability of Collision</w:t>
            </w:r>
          </w:p>
        </w:tc>
        <w:tc>
          <w:tcPr>
            <w:tcW w:type="dxa" w:w="2520"/>
            <w:tcBorders>
              <w:top w:val="single" w:color="CBD5E1" w:sz="4"/>
              <w:left w:val="none" w:color="FFFFFF" w:sz="0"/>
              <w:bottom w:val="none" w:color="FFFFFF" w:sz="0"/>
              <w:right w:val="none" w:color="FFFFFF" w:sz="0"/>
            </w:tcBorders>
            <w:shd w:fill="FFFFFF" w:val="clear"/>
            <w:tcMar>
              <w:top w:type="dxa" w:w="90"/>
              <w:left w:type="dxa" w:w="120"/>
              <w:bottom w:type="dxa" w:w="90"/>
              <w:right w:type="dxa" w:w="120"/>
            </w:tcMar>
          </w:tcPr>
          <w:p>
            <w:pPr>
              <w:spacing w:after="0" w:before="0" w:line="278"/>
            </w:pPr>
            <w:r>
              <w:rPr>
                <w:rFonts w:ascii="Arial" w:cs="Arial" w:eastAsia="Arial" w:hAnsi="Arial"/>
                <w:color w:val="1F2937"/>
                <w:sz w:val="19"/>
                <w:szCs w:val="19"/>
              </w:rPr>
              <w:t xml:space="preserve">Weeks 7–9: alongside orbit determination and uncertainty; before space traffic policy</w:t>
            </w:r>
          </w:p>
        </w:tc>
        <w:tc>
          <w:tcPr>
            <w:tcW w:type="dxa" w:w="3300"/>
            <w:tcBorders>
              <w:top w:val="single" w:color="CBD5E1" w:sz="4"/>
              <w:left w:val="none" w:color="FFFFFF" w:sz="0"/>
              <w:bottom w:val="none" w:color="FFFFFF" w:sz="0"/>
              <w:right w:val="none" w:color="FFFFFF" w:sz="0"/>
            </w:tcBorders>
            <w:shd w:fill="FFFFFF" w:val="clear"/>
            <w:tcMar>
              <w:top w:type="dxa" w:w="90"/>
              <w:left w:type="dxa" w:w="120"/>
              <w:bottom w:type="dxa" w:w="90"/>
              <w:right w:type="dxa" w:w="120"/>
            </w:tcMar>
          </w:tcPr>
          <w:p>
            <w:pPr>
              <w:spacing w:after="0" w:before="0" w:line="278"/>
            </w:pPr>
            <w:r>
              <w:rPr>
                <w:rFonts w:ascii="Arial" w:cs="Arial" w:eastAsia="Arial" w:hAnsi="Arial"/>
                <w:color w:val="1F2937"/>
                <w:sz w:val="19"/>
                <w:szCs w:val="19"/>
              </w:rPr>
              <w:t xml:space="preserve">Gaussian probability basics; 3×3 covariance matrices; relative motion in RTN frame</w:t>
            </w:r>
          </w:p>
        </w:tc>
      </w:tr>
      <w:tr>
        <w:tc>
          <w:tcPr>
            <w:tcW w:type="dxa" w:w="900"/>
            <w:tcBorders>
              <w:top w:val="single" w:color="CBD5E1" w:sz="4"/>
              <w:left w:val="none" w:color="FFFFFF" w:sz="0"/>
              <w:bottom w:val="none" w:color="FFFFFF" w:sz="0"/>
              <w:right w:val="none" w:color="FFFFFF" w:sz="0"/>
            </w:tcBorders>
            <w:shd w:fill="EDF4FC" w:val="clear"/>
            <w:tcMar>
              <w:top w:type="dxa" w:w="90"/>
              <w:left w:type="dxa" w:w="120"/>
              <w:bottom w:type="dxa" w:w="90"/>
              <w:right w:type="dxa" w:w="120"/>
            </w:tcMar>
          </w:tcPr>
          <w:p>
            <w:pPr>
              <w:spacing w:after="0" w:before="0" w:line="278"/>
            </w:pPr>
            <w:r>
              <w:rPr>
                <w:rFonts w:ascii="Arial" w:cs="Arial" w:eastAsia="Arial" w:hAnsi="Arial"/>
                <w:color w:val="1F2937"/>
                <w:sz w:val="19"/>
                <w:szCs w:val="19"/>
              </w:rPr>
              <w:t xml:space="preserve">03</w:t>
            </w:r>
          </w:p>
        </w:tc>
        <w:tc>
          <w:tcPr>
            <w:tcW w:type="dxa" w:w="2640"/>
            <w:tcBorders>
              <w:top w:val="single" w:color="CBD5E1" w:sz="4"/>
              <w:left w:val="none" w:color="FFFFFF" w:sz="0"/>
              <w:bottom w:val="none" w:color="FFFFFF" w:sz="0"/>
              <w:right w:val="none" w:color="FFFFFF" w:sz="0"/>
            </w:tcBorders>
            <w:shd w:fill="EDF4FC" w:val="clear"/>
            <w:tcMar>
              <w:top w:type="dxa" w:w="90"/>
              <w:left w:type="dxa" w:w="120"/>
              <w:bottom w:type="dxa" w:w="90"/>
              <w:right w:type="dxa" w:w="120"/>
            </w:tcMar>
          </w:tcPr>
          <w:p>
            <w:pPr>
              <w:spacing w:after="0" w:before="0" w:line="278"/>
            </w:pPr>
            <w:r>
              <w:rPr>
                <w:rFonts w:ascii="Arial" w:cs="Arial" w:eastAsia="Arial" w:hAnsi="Arial"/>
                <w:b/>
                <w:bCs/>
                <w:color w:val="0D1F3C"/>
                <w:sz w:val="19"/>
                <w:szCs w:val="19"/>
              </w:rPr>
              <w:t xml:space="preserve">Orbital Perturbations</w:t>
            </w:r>
          </w:p>
        </w:tc>
        <w:tc>
          <w:tcPr>
            <w:tcW w:type="dxa" w:w="2520"/>
            <w:tcBorders>
              <w:top w:val="single" w:color="CBD5E1" w:sz="4"/>
              <w:left w:val="none" w:color="FFFFFF" w:sz="0"/>
              <w:bottom w:val="none" w:color="FFFFFF" w:sz="0"/>
              <w:right w:val="none" w:color="FFFFFF" w:sz="0"/>
            </w:tcBorders>
            <w:shd w:fill="EDF4FC" w:val="clear"/>
            <w:tcMar>
              <w:top w:type="dxa" w:w="90"/>
              <w:left w:type="dxa" w:w="120"/>
              <w:bottom w:type="dxa" w:w="90"/>
              <w:right w:type="dxa" w:w="120"/>
            </w:tcMar>
          </w:tcPr>
          <w:p>
            <w:pPr>
              <w:spacing w:after="0" w:before="0" w:line="278"/>
            </w:pPr>
            <w:r>
              <w:rPr>
                <w:rFonts w:ascii="Arial" w:cs="Arial" w:eastAsia="Arial" w:hAnsi="Arial"/>
                <w:color w:val="1F2937"/>
                <w:sz w:val="19"/>
                <w:szCs w:val="19"/>
              </w:rPr>
              <w:t xml:space="preserve">Weeks 4–6: immediately after orbital elements, before SGP4 propagation lab</w:t>
            </w:r>
          </w:p>
        </w:tc>
        <w:tc>
          <w:tcPr>
            <w:tcW w:type="dxa" w:w="3300"/>
            <w:tcBorders>
              <w:top w:val="single" w:color="CBD5E1" w:sz="4"/>
              <w:left w:val="none" w:color="FFFFFF" w:sz="0"/>
              <w:bottom w:val="none" w:color="FFFFFF" w:sz="0"/>
              <w:right w:val="none" w:color="FFFFFF" w:sz="0"/>
            </w:tcBorders>
            <w:shd w:fill="EDF4FC" w:val="clear"/>
            <w:tcMar>
              <w:top w:type="dxa" w:w="90"/>
              <w:left w:type="dxa" w:w="120"/>
              <w:bottom w:type="dxa" w:w="90"/>
              <w:right w:type="dxa" w:w="120"/>
            </w:tcMar>
          </w:tcPr>
          <w:p>
            <w:pPr>
              <w:spacing w:after="0" w:before="0" w:line="278"/>
            </w:pPr>
            <w:r>
              <w:rPr>
                <w:rFonts w:ascii="Arial" w:cs="Arial" w:eastAsia="Arial" w:hAnsi="Arial"/>
                <w:color w:val="1F2937"/>
                <w:sz w:val="19"/>
                <w:szCs w:val="19"/>
              </w:rPr>
              <w:t xml:space="preserve">Gradient of gravitational potential; intro to Lagrange planetary equations</w:t>
            </w:r>
          </w:p>
        </w:tc>
      </w:tr>
      <w:tr>
        <w:tc>
          <w:tcPr>
            <w:tcW w:type="dxa" w:w="900"/>
            <w:tcBorders>
              <w:top w:val="single" w:color="CBD5E1" w:sz="4"/>
              <w:left w:val="none" w:color="FFFFFF" w:sz="0"/>
              <w:bottom w:val="none" w:color="FFFFFF" w:sz="0"/>
              <w:right w:val="none" w:color="FFFFFF" w:sz="0"/>
            </w:tcBorders>
            <w:shd w:fill="FFFFFF" w:val="clear"/>
            <w:tcMar>
              <w:top w:type="dxa" w:w="90"/>
              <w:left w:type="dxa" w:w="120"/>
              <w:bottom w:type="dxa" w:w="90"/>
              <w:right w:type="dxa" w:w="120"/>
            </w:tcMar>
          </w:tcPr>
          <w:p>
            <w:pPr>
              <w:spacing w:after="0" w:before="0" w:line="278"/>
            </w:pPr>
            <w:r>
              <w:rPr>
                <w:rFonts w:ascii="Arial" w:cs="Arial" w:eastAsia="Arial" w:hAnsi="Arial"/>
                <w:color w:val="1F2937"/>
                <w:sz w:val="19"/>
                <w:szCs w:val="19"/>
              </w:rPr>
              <w:t xml:space="preserve">04</w:t>
            </w:r>
          </w:p>
        </w:tc>
        <w:tc>
          <w:tcPr>
            <w:tcW w:type="dxa" w:w="2640"/>
            <w:tcBorders>
              <w:top w:val="single" w:color="CBD5E1" w:sz="4"/>
              <w:left w:val="none" w:color="FFFFFF" w:sz="0"/>
              <w:bottom w:val="none" w:color="FFFFFF" w:sz="0"/>
              <w:right w:val="none" w:color="FFFFFF" w:sz="0"/>
            </w:tcBorders>
            <w:shd w:fill="FFFFFF" w:val="clear"/>
            <w:tcMar>
              <w:top w:type="dxa" w:w="90"/>
              <w:left w:type="dxa" w:w="120"/>
              <w:bottom w:type="dxa" w:w="90"/>
              <w:right w:type="dxa" w:w="120"/>
            </w:tcMar>
          </w:tcPr>
          <w:p>
            <w:pPr>
              <w:spacing w:after="0" w:before="0" w:line="278"/>
            </w:pPr>
            <w:r>
              <w:rPr>
                <w:rFonts w:ascii="Arial" w:cs="Arial" w:eastAsia="Arial" w:hAnsi="Arial"/>
                <w:b/>
                <w:bCs/>
                <w:color w:val="0D1F3C"/>
                <w:sz w:val="19"/>
                <w:szCs w:val="19"/>
              </w:rPr>
              <w:t xml:space="preserve">Debris Modeling &amp; Kessler Cascade</w:t>
            </w:r>
          </w:p>
        </w:tc>
        <w:tc>
          <w:tcPr>
            <w:tcW w:type="dxa" w:w="2520"/>
            <w:tcBorders>
              <w:top w:val="single" w:color="CBD5E1" w:sz="4"/>
              <w:left w:val="none" w:color="FFFFFF" w:sz="0"/>
              <w:bottom w:val="none" w:color="FFFFFF" w:sz="0"/>
              <w:right w:val="none" w:color="FFFFFF" w:sz="0"/>
            </w:tcBorders>
            <w:shd w:fill="FFFFFF" w:val="clear"/>
            <w:tcMar>
              <w:top w:type="dxa" w:w="90"/>
              <w:left w:type="dxa" w:w="120"/>
              <w:bottom w:type="dxa" w:w="90"/>
              <w:right w:type="dxa" w:w="120"/>
            </w:tcMar>
          </w:tcPr>
          <w:p>
            <w:pPr>
              <w:spacing w:after="0" w:before="0" w:line="278"/>
            </w:pPr>
            <w:r>
              <w:rPr>
                <w:rFonts w:ascii="Arial" w:cs="Arial" w:eastAsia="Arial" w:hAnsi="Arial"/>
                <w:color w:val="1F2937"/>
                <w:sz w:val="19"/>
                <w:szCs w:val="19"/>
              </w:rPr>
              <w:t xml:space="preserve">Weeks 10–12: capstone; pairs well with ADR, space sustainability, or space policy seminars</w:t>
            </w:r>
          </w:p>
        </w:tc>
        <w:tc>
          <w:tcPr>
            <w:tcW w:type="dxa" w:w="3300"/>
            <w:tcBorders>
              <w:top w:val="single" w:color="CBD5E1" w:sz="4"/>
              <w:left w:val="none" w:color="FFFFFF" w:sz="0"/>
              <w:bottom w:val="none" w:color="FFFFFF" w:sz="0"/>
              <w:right w:val="none" w:color="FFFFFF" w:sz="0"/>
            </w:tcBorders>
            <w:shd w:fill="FFFFFF" w:val="clear"/>
            <w:tcMar>
              <w:top w:type="dxa" w:w="90"/>
              <w:left w:type="dxa" w:w="120"/>
              <w:bottom w:type="dxa" w:w="90"/>
              <w:right w:type="dxa" w:w="120"/>
            </w:tcMar>
          </w:tcPr>
          <w:p>
            <w:pPr>
              <w:spacing w:after="0" w:before="0" w:line="278"/>
            </w:pPr>
            <w:r>
              <w:rPr>
                <w:rFonts w:ascii="Arial" w:cs="Arial" w:eastAsia="Arial" w:hAnsi="Arial"/>
                <w:color w:val="1F2937"/>
                <w:sz w:val="19"/>
                <w:szCs w:val="19"/>
              </w:rPr>
              <w:t xml:space="preserve">Power-law distributions; Poisson collision statistics; IADC / FCC regulatory basics</w:t>
            </w:r>
          </w:p>
        </w:tc>
      </w:tr>
    </w:tbl>
    <w:p>
      <w:pPr>
        <w:spacing w:after="0" w:before="120"/>
      </w:pPr>
    </w:p>
    <w:p>
      <w:pPr>
        <w:spacing w:after="140" w:before="40" w:line="296"/>
      </w:pPr>
      <w:r>
        <w:rPr>
          <w:rFonts w:ascii="Arial" w:cs="Arial" w:eastAsia="Arial" w:hAnsi="Arial"/>
          <w:b/>
          <w:bCs/>
          <w:color w:val="1F2937"/>
          <w:sz w:val="21"/>
          <w:szCs w:val="21"/>
        </w:rPr>
        <w:t xml:space="preserve">Prerequisites worth emphasizing: </w:t>
      </w:r>
      <w:r>
        <w:rPr>
          <w:rFonts w:ascii="Arial" w:cs="Arial" w:eastAsia="Arial" w:hAnsi="Arial"/>
          <w:color w:val="1F2937"/>
          <w:sz w:val="21"/>
          <w:szCs w:val="21"/>
        </w:rPr>
        <w:t xml:space="preserve">Chapter 01 needs only Newton's law of gravitation and vector algebra — first-year mechanics is sufficient. Chapter 02 benefits from familiarity with Gaussian probability and is a natural companion to an orbit determination unit. Chapters 03 and 04 work well as independent reading the week before a lab or problem set. A Chapter 00 (prerequisites) page on the platform itself covers vectors, Newton's laws, reference frames, and calculus intuition for students coming in light on math background.</w:t>
      </w:r>
    </w:p>
    <w:p>
      <w:pPr>
        <w:spacing w:after="0" w:before="200"/>
      </w:pPr>
    </w:p>
    <w:p>
      <w:pPr>
        <w:pStyle w:val="Heading2"/>
        <w:spacing w:after="100" w:before="320"/>
      </w:pPr>
      <w:r>
        <w:rPr>
          <w:rFonts w:ascii="Arial" w:cs="Arial" w:eastAsia="Arial" w:hAnsi="Arial"/>
          <w:b/>
          <w:bCs/>
          <w:color w:val="1A6EBD"/>
          <w:sz w:val="28"/>
          <w:szCs w:val="28"/>
        </w:rPr>
        <w:t xml:space="preserve">Ready-to-Use Homework Prompts</w:t>
      </w:r>
    </w:p>
    <w:p>
      <w:pPr>
        <w:spacing w:after="140" w:before="40" w:line="296"/>
      </w:pPr>
      <w:r>
        <w:rPr>
          <w:rFonts w:ascii="Arial" w:cs="Arial" w:eastAsia="Arial" w:hAnsi="Arial"/>
          <w:color w:val="1F2937"/>
          <w:sz w:val="21"/>
          <w:szCs w:val="21"/>
        </w:rPr>
        <w:t xml:space="preserve">Each prompt requires students to run the live tool, record specific numerical outputs, and write an interpretive analysis. Because the dashboard updates with each scan, no two students will see identical data — but the underlying physics each student must apply is identical, so grading rubrics transfer cleanly.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6EBD" w:val="clear"/>
            <w:tcMar>
              <w:top w:type="dxa" w:w="0"/>
              <w:left w:type="dxa" w:w="0"/>
              <w:bottom w:type="dxa" w:w="0"/>
              <w:right w:type="dxa" w:w="0"/>
            </w:tcMar>
          </w:tcPr>
          <w:p/>
        </w:tc>
        <w:tc>
          <w:tcPr>
            <w:tcW w:type="dxa" w:w="9180"/>
            <w:tcBorders>
              <w:top w:val="none" w:color="FFFFFF" w:sz="0"/>
              <w:left w:val="none" w:color="FFFFFF" w:sz="0"/>
              <w:bottom w:val="none" w:color="FFFFFF" w:sz="0"/>
              <w:right w:val="none" w:color="FFFFFF" w:sz="0"/>
            </w:tcBorders>
            <w:shd w:fill="FFFBEB" w:val="clear"/>
            <w:tcMar>
              <w:top w:type="dxa" w:w="120"/>
              <w:left w:type="dxa" w:w="200"/>
              <w:bottom w:type="dxa" w:w="120"/>
              <w:right w:type="dxa" w:w="160"/>
            </w:tcMar>
          </w:tcPr>
          <w:p>
            <w:pPr>
              <w:spacing w:after="60" w:before="0"/>
            </w:pPr>
            <w:r>
              <w:rPr>
                <w:rFonts w:ascii="Arial" w:cs="Arial" w:eastAsia="Arial" w:hAnsi="Arial"/>
                <w:b/>
                <w:bCs/>
                <w:color w:val="B45309"/>
                <w:sz w:val="20"/>
                <w:szCs w:val="20"/>
              </w:rPr>
              <w:t xml:space="preserve">HW 1 · </w:t>
            </w:r>
            <w:r>
              <w:rPr>
                <w:rFonts w:ascii="Arial" w:cs="Arial" w:eastAsia="Arial" w:hAnsi="Arial"/>
                <w:b/>
                <w:bCs/>
                <w:color w:val="0D1F3C"/>
                <w:sz w:val="20"/>
                <w:szCs w:val="20"/>
              </w:rPr>
              <w:t xml:space="preserve">Live Conjunction Risk Audit</w:t>
            </w:r>
          </w:p>
          <w:p>
            <w:pPr>
              <w:spacing w:after="100" w:before="0"/>
            </w:pPr>
            <w:r>
              <w:rPr>
                <w:rFonts w:ascii="Arial" w:cs="Arial" w:eastAsia="Arial" w:hAnsi="Arial"/>
                <w:b/>
                <w:bCs/>
                <w:color w:val="B45309"/>
                <w:sz w:val="19"/>
                <w:szCs w:val="19"/>
              </w:rPr>
              <w:t xml:space="preserve">Tool: </w:t>
            </w:r>
            <w:r>
              <w:rPr>
                <w:rFonts w:ascii="Arial" w:cs="Arial" w:eastAsia="Arial" w:hAnsi="Arial"/>
                <w:color w:val="B45309"/>
                <w:sz w:val="19"/>
                <w:szCs w:val="19"/>
              </w:rPr>
              <w:t xml:space="preserve">Live Dashboard → vectraspace.onrender.com/dashboard</w:t>
            </w:r>
          </w:p>
          <w:p>
            <w:pPr>
              <w:spacing w:after="100" w:before="0" w:line="280"/>
            </w:pPr>
            <w:r>
              <w:rPr>
                <w:rFonts w:ascii="Arial" w:cs="Arial" w:eastAsia="Arial" w:hAnsi="Arial"/>
                <w:i/>
                <w:iCs/>
                <w:color w:val="374151"/>
                <w:sz w:val="20"/>
                <w:szCs w:val="20"/>
              </w:rPr>
              <w:t xml:space="preserve">Run a conjunction scan: LEO = 300 satellites, time window = 24 hours, alert threshold = 5 km, risk level = LOW (Pc ≥ 10⁻⁶). Select the three events with the highest Pc values from your results. For each event: (a) record the satellite names, NORAD IDs, miss distance, Pc, relative velocity at TCA, and TCA time offset shown on the conjunction card; (b) using the circular orbital velocity formula vₜ = √(μ/r), estimate each satellite's individual speed from its approximate altitude, and explain geometrically — in terms of crossing angle — why the reported relative velocity differs from either satellite's individual speed; and (c) classify each event using the VectraSpace risk-threshold table from Chapter 02 and write one sentence of operator guidance for each. Attach a screenshot of each conjunction card with the NORAD IDs visible.</w:t>
            </w:r>
          </w:p>
          <w:p>
            <w:pPr>
              <w:spacing w:after="0" w:before="0"/>
            </w:pPr>
            <w:r>
              <w:rPr>
                <w:rFonts w:ascii="Arial" w:cs="Arial" w:eastAsia="Arial" w:hAnsi="Arial"/>
                <w:b/>
                <w:bCs/>
                <w:color w:val="0D1F3C"/>
                <w:sz w:val="20"/>
                <w:szCs w:val="20"/>
              </w:rPr>
              <w:t xml:space="preserve">Deliverable: </w:t>
            </w:r>
            <w:r>
              <w:rPr>
                <w:rFonts w:ascii="Arial" w:cs="Arial" w:eastAsia="Arial" w:hAnsi="Arial"/>
                <w:color w:val="374151"/>
                <w:sz w:val="20"/>
                <w:szCs w:val="20"/>
              </w:rPr>
              <w:t xml:space="preserve">~650-word analysis with three annotated screenshots, three orbital velocity calculations shown explicitly, and a three-row risk classification table.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6EBD" w:val="clear"/>
            <w:tcMar>
              <w:top w:type="dxa" w:w="0"/>
              <w:left w:type="dxa" w:w="0"/>
              <w:bottom w:type="dxa" w:w="0"/>
              <w:right w:type="dxa" w:w="0"/>
            </w:tcMar>
          </w:tcPr>
          <w:p/>
        </w:tc>
        <w:tc>
          <w:tcPr>
            <w:tcW w:type="dxa" w:w="9180"/>
            <w:tcBorders>
              <w:top w:val="none" w:color="FFFFFF" w:sz="0"/>
              <w:left w:val="none" w:color="FFFFFF" w:sz="0"/>
              <w:bottom w:val="none" w:color="FFFFFF" w:sz="0"/>
              <w:right w:val="none" w:color="FFFFFF" w:sz="0"/>
            </w:tcBorders>
            <w:shd w:fill="FFFBEB" w:val="clear"/>
            <w:tcMar>
              <w:top w:type="dxa" w:w="120"/>
              <w:left w:type="dxa" w:w="200"/>
              <w:bottom w:type="dxa" w:w="120"/>
              <w:right w:type="dxa" w:w="160"/>
            </w:tcMar>
          </w:tcPr>
          <w:p>
            <w:pPr>
              <w:spacing w:after="60" w:before="0"/>
            </w:pPr>
            <w:r>
              <w:rPr>
                <w:rFonts w:ascii="Arial" w:cs="Arial" w:eastAsia="Arial" w:hAnsi="Arial"/>
                <w:b/>
                <w:bCs/>
                <w:color w:val="B45309"/>
                <w:sz w:val="20"/>
                <w:szCs w:val="20"/>
              </w:rPr>
              <w:t xml:space="preserve">HW 2 · </w:t>
            </w:r>
            <w:r>
              <w:rPr>
                <w:rFonts w:ascii="Arial" w:cs="Arial" w:eastAsia="Arial" w:hAnsi="Arial"/>
                <w:b/>
                <w:bCs/>
                <w:color w:val="0D1F3C"/>
                <w:sz w:val="20"/>
                <w:szCs w:val="20"/>
              </w:rPr>
              <w:t xml:space="preserve">Fragmentation Physics and Cascade Risk</w:t>
            </w:r>
          </w:p>
          <w:p>
            <w:pPr>
              <w:spacing w:after="100" w:before="0"/>
            </w:pPr>
            <w:r>
              <w:rPr>
                <w:rFonts w:ascii="Arial" w:cs="Arial" w:eastAsia="Arial" w:hAnsi="Arial"/>
                <w:b/>
                <w:bCs/>
                <w:color w:val="B45309"/>
                <w:sz w:val="19"/>
                <w:szCs w:val="19"/>
              </w:rPr>
              <w:t xml:space="preserve">Tool: </w:t>
            </w:r>
            <w:r>
              <w:rPr>
                <w:rFonts w:ascii="Arial" w:cs="Arial" w:eastAsia="Arial" w:hAnsi="Arial"/>
                <w:color w:val="B45309"/>
                <w:sz w:val="19"/>
                <w:szCs w:val="19"/>
              </w:rPr>
              <w:t xml:space="preserve">Impact Calculator → vectraspace.onrender.com/calculator</w:t>
            </w:r>
          </w:p>
          <w:p>
            <w:pPr>
              <w:spacing w:after="100" w:before="0" w:line="280"/>
            </w:pPr>
            <w:r>
              <w:rPr>
                <w:rFonts w:ascii="Arial" w:cs="Arial" w:eastAsia="Arial" w:hAnsi="Arial"/>
                <w:i/>
                <w:iCs/>
                <w:color w:val="374151"/>
                <w:sz w:val="20"/>
                <w:szCs w:val="20"/>
              </w:rPr>
              <w:t xml:space="preserve">Run the Impact Calculator for three scenarios: (a) load the Iridium-Cosmos preset (560 kg / 900 kg / 11.7 km/s / 789 km); (b) reduce Object B to 1 kg, keeping all other values the same; (c) restore the original masses but change altitude to 420 km (ISS altitude). For each scenario record: kinetic energy released, collision type (catastrophic vs. cratering), trackable fragment count (≥10 cm), and the Kessler cascade risk badge. Then answer in prose: which single parameter change produced the largest change in trackable fragment count? Using the NASA SBM power law from Chapter 04, N(Lₜ) = 6 · d⁰ʷ⁵ · Lₜ⁻¹ʷ⁶, verify the calculator's (≥10 cm) fragment count for scenario (a) by hand — show every step. Explain why the Kessler risk badge changes between 420 km and 789 km even when fragment counts are similar.</w:t>
            </w:r>
          </w:p>
          <w:p>
            <w:pPr>
              <w:spacing w:after="0" w:before="0"/>
            </w:pPr>
            <w:r>
              <w:rPr>
                <w:rFonts w:ascii="Arial" w:cs="Arial" w:eastAsia="Arial" w:hAnsi="Arial"/>
                <w:b/>
                <w:bCs/>
                <w:color w:val="0D1F3C"/>
                <w:sz w:val="20"/>
                <w:szCs w:val="20"/>
              </w:rPr>
              <w:t xml:space="preserve">Deliverable: </w:t>
            </w:r>
            <w:r>
              <w:rPr>
                <w:rFonts w:ascii="Arial" w:cs="Arial" w:eastAsia="Arial" w:hAnsi="Arial"/>
                <w:color w:val="374151"/>
                <w:sz w:val="20"/>
                <w:szCs w:val="20"/>
              </w:rPr>
              <w:t xml:space="preserve">~550-word report, a three-row comparison table, one full hand-calculation of fragment count, and a one-paragraph cascade risk comparison.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6EBD" w:val="clear"/>
            <w:tcMar>
              <w:top w:type="dxa" w:w="0"/>
              <w:left w:type="dxa" w:w="0"/>
              <w:bottom w:type="dxa" w:w="0"/>
              <w:right w:type="dxa" w:w="0"/>
            </w:tcMar>
          </w:tcPr>
          <w:p/>
        </w:tc>
        <w:tc>
          <w:tcPr>
            <w:tcW w:type="dxa" w:w="9180"/>
            <w:tcBorders>
              <w:top w:val="none" w:color="FFFFFF" w:sz="0"/>
              <w:left w:val="none" w:color="FFFFFF" w:sz="0"/>
              <w:bottom w:val="none" w:color="FFFFFF" w:sz="0"/>
              <w:right w:val="none" w:color="FFFFFF" w:sz="0"/>
            </w:tcBorders>
            <w:shd w:fill="FFFBEB" w:val="clear"/>
            <w:tcMar>
              <w:top w:type="dxa" w:w="120"/>
              <w:left w:type="dxa" w:w="200"/>
              <w:bottom w:type="dxa" w:w="120"/>
              <w:right w:type="dxa" w:w="160"/>
            </w:tcMar>
          </w:tcPr>
          <w:p>
            <w:pPr>
              <w:spacing w:after="60" w:before="0"/>
            </w:pPr>
            <w:r>
              <w:rPr>
                <w:rFonts w:ascii="Arial" w:cs="Arial" w:eastAsia="Arial" w:hAnsi="Arial"/>
                <w:b/>
                <w:bCs/>
                <w:color w:val="B45309"/>
                <w:sz w:val="20"/>
                <w:szCs w:val="20"/>
              </w:rPr>
              <w:t xml:space="preserve">HW 3 · </w:t>
            </w:r>
            <w:r>
              <w:rPr>
                <w:rFonts w:ascii="Arial" w:cs="Arial" w:eastAsia="Arial" w:hAnsi="Arial"/>
                <w:b/>
                <w:bCs/>
                <w:color w:val="0D1F3C"/>
                <w:sz w:val="20"/>
                <w:szCs w:val="20"/>
              </w:rPr>
              <w:t xml:space="preserve">TLE Age and RAAN Drift: Quantifying Prediction Uncertainty</w:t>
            </w:r>
          </w:p>
          <w:p>
            <w:pPr>
              <w:spacing w:after="100" w:before="0"/>
            </w:pPr>
            <w:r>
              <w:rPr>
                <w:rFonts w:ascii="Arial" w:cs="Arial" w:eastAsia="Arial" w:hAnsi="Arial"/>
                <w:b/>
                <w:bCs/>
                <w:color w:val="B45309"/>
                <w:sz w:val="19"/>
                <w:szCs w:val="19"/>
              </w:rPr>
              <w:t xml:space="preserve">Tool: </w:t>
            </w:r>
            <w:r>
              <w:rPr>
                <w:rFonts w:ascii="Arial" w:cs="Arial" w:eastAsia="Arial" w:hAnsi="Arial"/>
                <w:color w:val="B45309"/>
                <w:sz w:val="19"/>
                <w:szCs w:val="19"/>
              </w:rPr>
              <w:t xml:space="preserve">Live Dashboard + Chapter 03 RAAN drift equation</w:t>
            </w:r>
          </w:p>
          <w:p>
            <w:pPr>
              <w:spacing w:after="100" w:before="0" w:line="280"/>
            </w:pPr>
            <w:r>
              <w:rPr>
                <w:rFonts w:ascii="Arial" w:cs="Arial" w:eastAsia="Arial" w:hAnsi="Arial"/>
                <w:i/>
                <w:iCs/>
                <w:color w:val="374151"/>
                <w:sz w:val="20"/>
                <w:szCs w:val="20"/>
              </w:rPr>
              <w:t xml:space="preserve">Run a scan on the dashboard and download the CDM (Conjunction Data Message) for your highest-Pc event using the ⬇ CDM button on the conjunction card. The CDM header includes each object's TLE epoch. Using the RAAN secular drift formula from Chapter 03, dΩ/dt = −(3/2) · n · J₂ · (R⊕/p)² · cos(i), calculate how far each object's ascending node has drifted since its TLE epoch (use the approximate altitude and inclination shown in the satellite info panel). Then answer: if one TLE is 2 days old and the other is 6 days old, in which direction would you expect the true miss distance to differ from the reported value, and why? Finally, describe a specific scan-configuration change (time window, satellite count, or threshold) that would reduce this uncertainty and explain the trade-off it introduces.</w:t>
            </w:r>
          </w:p>
          <w:p>
            <w:pPr>
              <w:spacing w:after="0" w:before="0"/>
            </w:pPr>
            <w:r>
              <w:rPr>
                <w:rFonts w:ascii="Arial" w:cs="Arial" w:eastAsia="Arial" w:hAnsi="Arial"/>
                <w:b/>
                <w:bCs/>
                <w:color w:val="0D1F3C"/>
                <w:sz w:val="20"/>
                <w:szCs w:val="20"/>
              </w:rPr>
              <w:t xml:space="preserve">Deliverable: </w:t>
            </w:r>
            <w:r>
              <w:rPr>
                <w:rFonts w:ascii="Arial" w:cs="Arial" w:eastAsia="Arial" w:hAnsi="Arial"/>
                <w:color w:val="374151"/>
                <w:sz w:val="20"/>
                <w:szCs w:val="20"/>
              </w:rPr>
              <w:t xml:space="preserve">~700-word analysis with two RAAN drift calculations, a table comparing TLE epochs and drift magnitudes, and a one-paragraph configuration recommendation with explicit trade-off discussion.</w:t>
            </w:r>
          </w:p>
        </w:tc>
      </w:tr>
    </w:tbl>
    <w:p>
      <w:pPr>
        <w:spacing w:after="0" w:before="200"/>
      </w:pPr>
    </w:p>
    <w:p>
      <w:pPr>
        <w:pStyle w:val="Heading2"/>
        <w:spacing w:after="100" w:before="320"/>
      </w:pPr>
      <w:r>
        <w:rPr>
          <w:rFonts w:ascii="Arial" w:cs="Arial" w:eastAsia="Arial" w:hAnsi="Arial"/>
          <w:b/>
          <w:bCs/>
          <w:color w:val="1A6EBD"/>
          <w:sz w:val="28"/>
          <w:szCs w:val="28"/>
        </w:rPr>
        <w:t xml:space="preserve">A Note on Academic Integrity</w:t>
      </w:r>
    </w:p>
    <w:p>
      <w:pPr>
        <w:spacing w:after="140" w:before="40" w:line="296"/>
      </w:pPr>
      <w:r>
        <w:rPr>
          <w:rFonts w:ascii="Arial" w:cs="Arial" w:eastAsia="Arial" w:hAnsi="Arial"/>
          <w:color w:val="1F2937"/>
          <w:sz w:val="21"/>
          <w:szCs w:val="21"/>
        </w:rPr>
        <w:t xml:space="preserve">The live-data architecture of VectraSpace is its own strongest deterrent to lazy submission: every scan returns a different result set because TLEs are updated multiple times daily and the satellite population changes. Two students running the dashboard an hour apart will not see the same conjunction events. That said, a few framing choices sharpen the analytical requirement and make "screenshot and submit" obviously insufficient.</w:t>
      </w:r>
    </w:p>
    <w:p>
      <w:pPr>
        <w:spacing w:after="0" w:before="80"/>
      </w:pPr>
    </w:p>
    <w:p>
      <w:pPr>
        <w:spacing w:after="60" w:before="220"/>
      </w:pPr>
      <w:r>
        <w:rPr>
          <w:rFonts w:ascii="Arial" w:cs="Arial" w:eastAsia="Arial" w:hAnsi="Arial"/>
          <w:b/>
          <w:bCs/>
          <w:color w:val="0D1F3C"/>
          <w:sz w:val="22"/>
          <w:szCs w:val="22"/>
        </w:rPr>
        <w:t xml:space="preserve">Assignment framing that requires analysis, not just capture</w:t>
      </w:r>
    </w:p>
    <w:p>
      <w:pPr>
        <w:pStyle w:val="ListParagraph"/>
        <w:numPr>
          <w:ilvl w:val="0"/>
          <w:numId w:val="2"/>
        </w:numPr>
        <w:spacing w:after="80" w:before="50" w:line="280"/>
      </w:pPr>
      <w:r>
        <w:rPr>
          <w:rFonts w:ascii="Arial" w:cs="Arial" w:eastAsia="Arial" w:hAnsi="Arial"/>
          <w:color w:val="1F2937"/>
          <w:sz w:val="21"/>
          <w:szCs w:val="21"/>
        </w:rPr>
        <w:t xml:space="preserve">Require students to identify their chosen event </w:t>
      </w:r>
      <w:r>
        <w:rPr>
          <w:rFonts w:ascii="Arial" w:cs="Arial" w:eastAsia="Arial" w:hAnsi="Arial"/>
          <w:i/>
          <w:iCs/>
          <w:color w:val="1F2937"/>
          <w:sz w:val="21"/>
          <w:szCs w:val="21"/>
        </w:rPr>
        <w:t xml:space="preserve">and</w:t>
      </w:r>
      <w:r>
        <w:rPr>
          <w:rFonts w:ascii="Arial" w:cs="Arial" w:eastAsia="Arial" w:hAnsi="Arial"/>
          <w:color w:val="1F2937"/>
          <w:sz w:val="21"/>
          <w:szCs w:val="21"/>
        </w:rPr>
        <w:t xml:space="preserve"> explain why they selected it from a longer list. Generic screenshots of the top result are immediately visible; a student who can articulate why Pc = 3.2×10⁻⁵ at 0.4 km miss distance is more dangerous than Pc = 8.1×10⁻⁶ at 1.1 km is doing the work.</w:t>
      </w:r>
    </w:p>
    <w:p>
      <w:pPr>
        <w:pStyle w:val="ListParagraph"/>
        <w:numPr>
          <w:ilvl w:val="0"/>
          <w:numId w:val="2"/>
        </w:numPr>
        <w:spacing w:after="80" w:before="50" w:line="280"/>
      </w:pPr>
      <w:r>
        <w:rPr>
          <w:rFonts w:ascii="Arial" w:cs="Arial" w:eastAsia="Arial" w:hAnsi="Arial"/>
          <w:color w:val="1F2937"/>
          <w:sz w:val="21"/>
          <w:szCs w:val="21"/>
        </w:rPr>
        <w:t xml:space="preserve">Ask for a NORAD catalog ID in every submission. Both satellite IDs appear on the conjunction card and in the downloadable CDM. If two submissions list the same NORAD pair with identical Pc values, that is a data provenance flag — the scan timestamp will differ and so will the Pc, because TLE propagation diverges.</w:t>
      </w:r>
    </w:p>
    <w:p>
      <w:pPr>
        <w:pStyle w:val="ListParagraph"/>
        <w:numPr>
          <w:ilvl w:val="0"/>
          <w:numId w:val="2"/>
        </w:numPr>
        <w:spacing w:after="80" w:before="50" w:line="280"/>
      </w:pPr>
      <w:r>
        <w:rPr>
          <w:rFonts w:ascii="Arial" w:cs="Arial" w:eastAsia="Arial" w:hAnsi="Arial"/>
          <w:color w:val="1F2937"/>
          <w:sz w:val="21"/>
          <w:szCs w:val="21"/>
        </w:rPr>
        <w:t xml:space="preserve">Require at least one tool output to be verified numerically using a chapter equation. The dashboard reports relative velocity at TCA; asking students to reconcile it with vis-viva orbital speeds forces engagement with the physics rather than the display.</w:t>
      </w:r>
    </w:p>
    <w:p>
      <w:pPr>
        <w:pStyle w:val="ListParagraph"/>
        <w:numPr>
          <w:ilvl w:val="0"/>
          <w:numId w:val="2"/>
        </w:numPr>
        <w:spacing w:after="80" w:before="50" w:line="280"/>
      </w:pPr>
      <w:r>
        <w:rPr>
          <w:rFonts w:ascii="Arial" w:cs="Arial" w:eastAsia="Arial" w:hAnsi="Arial"/>
          <w:color w:val="1F2937"/>
          <w:sz w:val="21"/>
          <w:szCs w:val="21"/>
        </w:rPr>
        <w:t xml:space="preserve">For Chapter 04 assignments: ask students to predict the direction of change for one output before running the calculator, then confirm or explain the discrepancy. Hypothesis-first structure cannot be satisfied post-hoc.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6EBD" w:val="clear"/>
            <w:tcMar>
              <w:top w:type="dxa" w:w="0"/>
              <w:left w:type="dxa" w:w="0"/>
              <w:bottom w:type="dxa" w:w="0"/>
              <w:right w:type="dxa" w:w="0"/>
            </w:tcMar>
          </w:tcPr>
          <w:p/>
        </w:tc>
        <w:tc>
          <w:tcPr>
            <w:tcW w:type="dxa" w:w="9180"/>
            <w:tcBorders>
              <w:top w:val="none" w:color="FFFFFF" w:sz="0"/>
              <w:left w:val="none" w:color="FFFFFF" w:sz="0"/>
              <w:bottom w:val="none" w:color="FFFFFF" w:sz="0"/>
              <w:right w:val="none" w:color="FFFFFF" w:sz="0"/>
            </w:tcBorders>
            <w:shd w:fill="EDF4FC" w:val="clear"/>
            <w:tcMar>
              <w:top w:type="dxa" w:w="120"/>
              <w:left w:type="dxa" w:w="200"/>
              <w:bottom w:type="dxa" w:w="120"/>
              <w:right w:type="dxa" w:w="160"/>
            </w:tcMar>
          </w:tcPr>
          <w:p>
            <w:pPr>
              <w:spacing w:after="60" w:before="0"/>
            </w:pPr>
            <w:r>
              <w:rPr>
                <w:rFonts w:ascii="Arial" w:cs="Arial" w:eastAsia="Arial" w:hAnsi="Arial"/>
                <w:b/>
                <w:bCs/>
                <w:color w:val="1A6EBD"/>
                <w:sz w:val="20"/>
                <w:szCs w:val="20"/>
              </w:rPr>
              <w:t xml:space="preserve">On pedagogical simplification vs. operational fidelity</w:t>
            </w:r>
          </w:p>
          <w:p>
            <w:pPr>
              <w:spacing w:after="0" w:before="0" w:line="278"/>
            </w:pPr>
            <w:r>
              <w:rPr>
                <w:rFonts w:ascii="Arial" w:cs="Arial" w:eastAsia="Arial" w:hAnsi="Arial"/>
                <w:color w:val="1E3A5F"/>
                <w:sz w:val="20"/>
                <w:szCs w:val="20"/>
              </w:rPr>
              <w:t xml:space="preserve">VectraSpace's Pc implementation uses a chi-squared CDF approximation valid for the operational range of 10</w:t>
            </w:r>
            <w:r>
              <w:rPr>
                <w:rFonts w:ascii="Arial" w:cs="Arial" w:eastAsia="Arial" w:hAnsi="Arial"/>
                <w:color w:val="1E3A5F"/>
                <w:sz w:val="14"/>
                <w:szCs w:val="14"/>
                <w:vertAlign w:val="superscript"/>
              </w:rPr>
              <w:t xml:space="preserve">−6</w:t>
            </w:r>
            <w:r>
              <w:rPr>
                <w:rFonts w:ascii="Arial" w:cs="Arial" w:eastAsia="Arial" w:hAnsi="Arial"/>
                <w:color w:val="1E3A5F"/>
                <w:sz w:val="20"/>
                <w:szCs w:val="20"/>
              </w:rPr>
              <w:t xml:space="preserve">–</w:t>
            </w:r>
            <w:r>
              <w:rPr>
                <w:rFonts w:ascii="Arial" w:cs="Arial" w:eastAsia="Arial" w:hAnsi="Arial"/>
                <w:color w:val="1E3A5F"/>
                <w:sz w:val="20"/>
                <w:szCs w:val="20"/>
              </w:rPr>
              <w:t xml:space="preserve">10</w:t>
            </w:r>
            <w:r>
              <w:rPr>
                <w:rFonts w:ascii="Arial" w:cs="Arial" w:eastAsia="Arial" w:hAnsi="Arial"/>
                <w:color w:val="1E3A5F"/>
                <w:sz w:val="14"/>
                <w:szCs w:val="14"/>
                <w:vertAlign w:val="superscript"/>
              </w:rPr>
              <w:t xml:space="preserve">−2</w:t>
            </w:r>
            <w:r>
              <w:rPr>
                <w:rFonts w:ascii="Arial" w:cs="Arial" w:eastAsia="Arial" w:hAnsi="Arial"/>
                <w:color w:val="1E3A5F"/>
                <w:sz w:val="20"/>
                <w:szCs w:val="20"/>
              </w:rPr>
              <w:t xml:space="preserve">. Chapter 02 is explicit about where this departs from the full Foster-Alfano numerical integration. For a graduate course, this is a natural teaching point: operational systems routinely trade numerical precision for computational throughput. The platform's disclosed limitations make it suitable for a methodological critique assignment, not just a calculation exercise.</w:t>
            </w:r>
          </w:p>
        </w:tc>
      </w:tr>
    </w:tbl>
    <w:p>
      <w:pPr>
        <w:spacing w:after="0" w:before="200"/>
      </w:pPr>
    </w:p>
    <w:p>
      <w:pPr>
        <w:pStyle w:val="Heading2"/>
        <w:spacing w:after="100" w:before="320"/>
      </w:pPr>
      <w:r>
        <w:rPr>
          <w:rFonts w:ascii="Arial" w:cs="Arial" w:eastAsia="Arial" w:hAnsi="Arial"/>
          <w:b/>
          <w:bCs/>
          <w:color w:val="1A6EBD"/>
          <w:sz w:val="28"/>
          <w:szCs w:val="28"/>
        </w:rPr>
        <w:t xml:space="preserve">Get in Touch</w:t>
      </w:r>
    </w:p>
    <w:p>
      <w:pPr>
        <w:spacing w:after="140" w:before="40" w:line="296"/>
      </w:pPr>
      <w:r>
        <w:rPr>
          <w:rFonts w:ascii="Arial" w:cs="Arial" w:eastAsia="Arial" w:hAnsi="Arial"/>
          <w:color w:val="1F2937"/>
          <w:sz w:val="21"/>
          <w:szCs w:val="21"/>
        </w:rPr>
        <w:t xml:space="preserve">If you'd like to talk through integrating VectraSpace into your course — custom problem sets, a guest session using the live dashboard, a walkthrough of the research data portal for graduate students, or anything else — reach out directly: </w:t>
      </w:r>
      <w:hyperlink w:history="1" r:id="rIdengotnlfg4qswhcrrpevb">
        <w:r>
          <w:rPr>
            <w:rFonts w:ascii="Arial" w:cs="Arial" w:eastAsia="Arial" w:hAnsi="Arial"/>
            <w:color w:val="1A6EBD"/>
            <w:sz w:val="21"/>
            <w:szCs w:val="21"/>
            <w:u w:val="single"/>
          </w:rPr>
          <w:t xml:space="preserve">trumanheaston@gmail.com</w:t>
        </w:r>
      </w:hyperlink>
      <w:r>
        <w:rPr>
          <w:rFonts w:ascii="Arial" w:cs="Arial" w:eastAsia="Arial" w:hAnsi="Arial"/>
          <w:color w:val="1F2937"/>
          <w:sz w:val="21"/>
          <w:szCs w:val="21"/>
        </w:rPr>
        <w:t xml:space="preserve">. There is no licensing conversation to have. The platform is free and is staying that way. The conversation is purely about making sure it is actually useful to your students.</w:t>
      </w:r>
    </w:p>
    <w:p>
      <w:pPr>
        <w:spacing w:after="0" w:before="60"/>
      </w:pPr>
    </w:p>
    <w:p>
      <w:pPr>
        <w:spacing w:after="140" w:before="40" w:line="296"/>
      </w:pPr>
      <w:r>
        <w:rPr>
          <w:rFonts w:ascii="Arial" w:cs="Arial" w:eastAsia="Arial" w:hAnsi="Arial"/>
          <w:b/>
          <w:bCs/>
          <w:color w:val="1F2937"/>
          <w:sz w:val="21"/>
          <w:szCs w:val="21"/>
        </w:rPr>
        <w:t xml:space="preserve">Platform: </w:t>
      </w:r>
      <w:hyperlink w:history="1" r:id="rIdkvepalem1_ubw-i9lo_r9">
        <w:r>
          <w:rPr>
            <w:rFonts w:ascii="Arial" w:cs="Arial" w:eastAsia="Arial" w:hAnsi="Arial"/>
            <w:color w:val="1A6EBD"/>
            <w:sz w:val="21"/>
            <w:szCs w:val="21"/>
            <w:u w:val="single"/>
          </w:rPr>
          <w:t xml:space="preserve">vectraspace.onrender.com</w:t>
        </w:r>
      </w:hyperlink>
      <w:r>
        <w:rPr>
          <w:rFonts w:ascii="Arial" w:cs="Arial" w:eastAsia="Arial" w:hAnsi="Arial"/>
          <w:color w:val="1F2937"/>
          <w:sz w:val="21"/>
          <w:szCs w:val="21"/>
        </w:rPr>
        <w:t xml:space="preserve">  ·  Free, no account, live TLEs from CelesTrak  ·  SGP4 + Foster-Alfano physics  ·  </w:t>
      </w:r>
    </w:p>
    <w:p>
      <w:pPr>
        <w:spacing w:after="0" w:before="60"/>
      </w:pPr>
    </w:p>
    <w:p>
      <w:pPr>
        <w:pBdr>
          <w:bottom w:val="single" w:color="CBD5E1" w:sz="6" w:space="1"/>
        </w:pBdr>
        <w:spacing w:after="240" w:before="0"/>
      </w:pPr>
    </w:p>
    <w:p>
      <w:pPr>
        <w:spacing w:after="0" w:before="80"/>
      </w:pPr>
      <w:r>
        <w:rPr>
          <w:rFonts w:ascii="Arial" w:cs="Arial" w:eastAsia="Arial" w:hAnsi="Arial"/>
          <w:i/>
          <w:iCs/>
          <w:color w:val="6B7280"/>
          <w:sz w:val="18"/>
          <w:szCs w:val="18"/>
        </w:rPr>
        <w:t xml:space="preserve">Truman Heaston, CEO  ·  VectraSpace  ·  trumanheaston@gmail.com</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spacing w:after="0" w:before="100"/>
    </w:pPr>
    <w:r>
      <w:rPr>
        <w:rFonts w:ascii="Arial" w:cs="Arial" w:eastAsia="Arial" w:hAnsi="Arial"/>
        <w:color w:val="6B7280"/>
        <w:sz w:val="18"/>
        <w:szCs w:val="18"/>
      </w:rPr>
      <w:t xml:space="preserve">Free to use · No account required · trumanheaston@gmail.com</w:t>
    </w:r>
    <w:r>
      <w:rPr>
        <w:rFonts w:ascii="Arial" w:cs="Arial" w:eastAsia="Arial" w:hAnsi="Arial"/>
        <w:sz w:val="18"/>
        <w:szCs w:val="18"/>
      </w:rPr>
      <w:t xml:space="preserve">	</w:t>
    </w:r>
    <w:r>
      <w:rPr>
        <w:rFonts w:ascii="Arial" w:cs="Arial" w:eastAsia="Arial" w:hAnsi="Arial"/>
        <w:color w:val="6B728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spacing w:after="100" w:before="0"/>
    </w:pPr>
    <w:r>
      <w:rPr>
        <w:rFonts w:ascii="Arial" w:cs="Arial" w:eastAsia="Arial" w:hAnsi="Arial"/>
        <w:color w:val="6B7280"/>
        <w:sz w:val="18"/>
        <w:szCs w:val="18"/>
      </w:rPr>
      <w:t xml:space="preserve">VectraSpace  ·  Course Instructor Guide</w:t>
    </w:r>
    <w:r>
      <w:rPr>
        <w:rFonts w:ascii="Arial" w:cs="Arial" w:eastAsia="Arial" w:hAnsi="Arial"/>
        <w:sz w:val="18"/>
        <w:szCs w:val="18"/>
      </w:rPr>
      <w:t xml:space="preserve">	</w:t>
    </w:r>
    <w:r>
      <w:rPr>
        <w:rFonts w:ascii="Arial" w:cs="Arial" w:eastAsia="Arial" w:hAnsi="Arial"/>
        <w:color w:val="1A6EBD"/>
        <w:sz w:val="18"/>
        <w:szCs w:val="18"/>
      </w:rPr>
      <w:t xml:space="preserve">vectraspace.onrender.com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320"/>
      <w:outlineLvl w:val="1"/>
    </w:pPr>
    <w:rPr>
      <w:rFonts w:ascii="Arial" w:cs="Arial" w:eastAsia="Arial" w:hAnsi="Arial"/>
      <w:b/>
      <w:bCs/>
      <w:color w:val="1A6EB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ngotnlfg4qswhcrrpevb" Type="http://schemas.openxmlformats.org/officeDocument/2006/relationships/hyperlink" Target="mailto:trumanheaston@gmail.com" TargetMode="External"/><Relationship Id="rIdkvepalem1_ubw-i9lo_r9" Type="http://schemas.openxmlformats.org/officeDocument/2006/relationships/hyperlink" Target="https://vectraspace.onrender.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2026-05-03T19:22:52.434Z</dcterms:created>
  <dcterms:modified xsi:type="dcterms:W3CDTF">2026-05-03T19:22:52.435Z</dcterms:modified>
</cp:coreProperties>
</file>

<file path=docProps/custom.xml><?xml version="1.0" encoding="utf-8"?>
<Properties xmlns="http://schemas.openxmlformats.org/officeDocument/2006/custom-properties" xmlns:vt="http://schemas.openxmlformats.org/officeDocument/2006/docPropsVTypes"/>
</file>