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p>
    <w:p>
      <w:pPr>
        <w:spacing w:after="40" w:before="40"/>
      </w:pPr>
    </w:p>
    <w:p>
      <w:pPr>
        <w:spacing w:after="40" w:before="40"/>
      </w:pPr>
    </w:p>
    <w:p>
      <w:pPr>
        <w:spacing w:after="40" w:before="40"/>
      </w:pPr>
    </w:p>
    <w:p>
      <w:pPr>
        <w:spacing w:after="40" w:before="40"/>
      </w:pPr>
    </w:p>
    <w:p>
      <w:pPr>
        <w:spacing w:after="40" w:before="40"/>
      </w:pPr>
    </w:p>
    <w:p>
      <w:pPr>
        <w:spacing w:after="120"/>
        <w:jc w:val="center"/>
      </w:pPr>
      <w:r>
        <w:rPr>
          <w:rFonts w:ascii="Arial" w:cs="Arial" w:eastAsia="Arial" w:hAnsi="Arial"/>
          <w:b/>
          <w:bCs/>
          <w:color w:val="E94560"/>
          <w:sz w:val="56"/>
          <w:szCs w:val="56"/>
        </w:rPr>
        <w:t xml:space="preserve">TRU-NEXUS</w:t>
      </w:r>
    </w:p>
    <w:p>
      <w:pPr>
        <w:spacing w:after="60"/>
        <w:jc w:val="center"/>
      </w:pPr>
      <w:r>
        <w:rPr>
          <w:rFonts w:ascii="Arial" w:cs="Arial" w:eastAsia="Arial" w:hAnsi="Arial"/>
          <w:b/>
          <w:bCs/>
          <w:color w:val="1A1A2E"/>
          <w:sz w:val="36"/>
          <w:szCs w:val="36"/>
        </w:rPr>
        <w:t xml:space="preserve">AUTONOMOUS TRADING SYSTEM</w:t>
      </w:r>
    </w:p>
    <w:p>
      <w:pPr>
        <w:pBdr>
          <w:bottom w:val="single" w:color="E94560" w:sz="4" w:space="12"/>
        </w:pBdr>
        <w:spacing w:after="400"/>
        <w:jc w:val="center"/>
      </w:pPr>
      <w:r>
        <w:rPr>
          <w:rFonts w:ascii="Arial" w:cs="Arial" w:eastAsia="Arial" w:hAnsi="Arial"/>
          <w:color w:val="6B7280"/>
          <w:sz w:val="24"/>
          <w:szCs w:val="24"/>
        </w:rPr>
        <w:t xml:space="preserve">Architecture Blueprint &amp; Prop Firm Mapping</w:t>
      </w:r>
    </w:p>
    <w:p>
      <w:pPr>
        <w:spacing w:after="40" w:before="40"/>
      </w:pPr>
    </w:p>
    <w:p>
      <w:pPr>
        <w:spacing w:after="40" w:before="40"/>
      </w:pPr>
    </w:p>
    <w:p>
      <w:pPr>
        <w:spacing w:after="80"/>
        <w:jc w:val="center"/>
      </w:pPr>
      <w:r>
        <w:rPr>
          <w:rFonts w:ascii="Arial" w:cs="Arial" w:eastAsia="Arial" w:hAnsi="Arial"/>
          <w:color w:val="6B7280"/>
          <w:sz w:val="22"/>
          <w:szCs w:val="22"/>
        </w:rPr>
        <w:t xml:space="preserve">Build Plan v1.0  •  March 2026</w:t>
      </w:r>
    </w:p>
    <w:p>
      <w:pPr>
        <w:spacing w:after="80"/>
        <w:jc w:val="center"/>
      </w:pPr>
      <w:r>
        <w:rPr>
          <w:rFonts w:ascii="Arial" w:cs="Arial" w:eastAsia="Arial" w:hAnsi="Arial"/>
          <w:i/>
          <w:iCs/>
          <w:color w:val="E94560"/>
          <w:sz w:val="20"/>
          <w:szCs w:val="20"/>
        </w:rPr>
        <w:t xml:space="preserve">Classification: Internal / 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2"/>
          <w:szCs w:val="32"/>
        </w:rPr>
        <w:t xml:space="preserve">1. Corrected System Architecture</w:t>
      </w:r>
    </w:p>
    <w:p>
      <w:pPr>
        <w:pBdr>
          <w:bottom w:val="single" w:color="E94560" w:sz="4" w:space="1"/>
        </w:pBdr>
        <w:spacing w:after="80" w:before="80"/>
      </w:pPr>
    </w:p>
    <w:p>
      <w:pPr>
        <w:spacing w:after="160" w:line="276"/>
      </w:pPr>
      <w:r>
        <w:rPr>
          <w:rFonts w:ascii="Arial" w:cs="Arial" w:eastAsia="Arial" w:hAnsi="Arial"/>
          <w:color w:val="374151"/>
          <w:sz w:val="21"/>
          <w:szCs w:val="21"/>
        </w:rPr>
        <w:t xml:space="preserve">This document replaces the original prompt’s architecture with a production-viable design. The key corrections are: no reliance on nonexistent frameworks, no LLM-in-the-loop for trade execution, and deterministic risk enforcement at the engine level.</w:t>
      </w:r>
    </w:p>
    <w:p>
      <w:pPr>
        <w:pStyle w:val="Heading2"/>
        <w:spacing w:after="160" w:before="280"/>
      </w:pPr>
      <w:r>
        <w:rPr>
          <w:rFonts w:ascii="Arial" w:cs="Arial" w:eastAsia="Arial" w:hAnsi="Arial"/>
          <w:b/>
          <w:bCs/>
          <w:color w:val="0F3460"/>
          <w:sz w:val="26"/>
          <w:szCs w:val="26"/>
        </w:rPr>
        <w:t xml:space="preserve">1.1 Three-Layer Architecture</w:t>
      </w:r>
    </w:p>
    <w:p>
      <w:pPr>
        <w:spacing w:after="120" w:before="200"/>
      </w:pPr>
      <w:r>
        <w:rPr>
          <w:rFonts w:ascii="Arial" w:cs="Arial" w:eastAsia="Arial" w:hAnsi="Arial"/>
          <w:b/>
          <w:bCs/>
          <w:color w:val="1A1A2E"/>
          <w:sz w:val="22"/>
          <w:szCs w:val="22"/>
        </w:rPr>
        <w:t xml:space="preserve">Layer 1: Deterministic Execution Engine (The Guardrails)</w:t>
      </w:r>
    </w:p>
    <w:p>
      <w:pPr>
        <w:spacing w:after="160" w:line="276"/>
      </w:pPr>
      <w:r>
        <w:rPr>
          <w:rFonts w:ascii="Arial" w:cs="Arial" w:eastAsia="Arial" w:hAnsi="Arial"/>
          <w:color w:val="374151"/>
          <w:sz w:val="21"/>
          <w:szCs w:val="21"/>
        </w:rPr>
        <w:t xml:space="preserve">This is pure code — zero AI inference. It enforces every prop firm rule as a hard constraint that cannot be overridden by any other layer. This is the layer that keeps accounts alive.</w:t>
      </w:r>
    </w:p>
    <w:p>
      <w:pPr>
        <w:pStyle w:val="ListParagraph"/>
        <w:numPr>
          <w:ilvl w:val="0"/>
          <w:numId w:val="2"/>
        </w:numPr>
        <w:spacing w:after="80" w:line="276"/>
      </w:pPr>
      <w:r>
        <w:rPr>
          <w:rFonts w:ascii="Arial" w:cs="Arial" w:eastAsia="Arial" w:hAnsi="Arial"/>
          <w:b/>
          <w:bCs/>
          <w:color w:val="1A1A2E"/>
          <w:sz w:val="21"/>
          <w:szCs w:val="21"/>
        </w:rPr>
        <w:t xml:space="preserve">Daily drawdown monitor: </w:t>
      </w:r>
      <w:r>
        <w:rPr>
          <w:rFonts w:ascii="Arial" w:cs="Arial" w:eastAsia="Arial" w:hAnsi="Arial"/>
          <w:color w:val="374151"/>
          <w:sz w:val="21"/>
          <w:szCs w:val="21"/>
        </w:rPr>
        <w:t xml:space="preserve">Tracks equity in real-time against the firm’s daily loss limit. Auto-flattens all positions if 80% of the limit is consumed. Full lockout at 90%.</w:t>
      </w:r>
    </w:p>
    <w:p>
      <w:pPr>
        <w:pStyle w:val="ListParagraph"/>
        <w:numPr>
          <w:ilvl w:val="0"/>
          <w:numId w:val="2"/>
        </w:numPr>
        <w:spacing w:after="80" w:line="276"/>
      </w:pPr>
      <w:r>
        <w:rPr>
          <w:rFonts w:ascii="Arial" w:cs="Arial" w:eastAsia="Arial" w:hAnsi="Arial"/>
          <w:b/>
          <w:bCs/>
          <w:color w:val="1A1A2E"/>
          <w:sz w:val="21"/>
          <w:szCs w:val="21"/>
        </w:rPr>
        <w:t xml:space="preserve">Max drawdown monitor: </w:t>
      </w:r>
      <w:r>
        <w:rPr>
          <w:rFonts w:ascii="Arial" w:cs="Arial" w:eastAsia="Arial" w:hAnsi="Arial"/>
          <w:color w:val="374151"/>
          <w:sz w:val="21"/>
          <w:szCs w:val="21"/>
        </w:rPr>
        <w:t xml:space="preserve">Maintains a running calculation of total drawdown from initial balance (static model) or peak equity (trailing model). Configurable per-firm profile.</w:t>
      </w:r>
    </w:p>
    <w:p>
      <w:pPr>
        <w:pStyle w:val="ListParagraph"/>
        <w:numPr>
          <w:ilvl w:val="0"/>
          <w:numId w:val="2"/>
        </w:numPr>
        <w:spacing w:after="80" w:line="276"/>
      </w:pPr>
      <w:r>
        <w:rPr>
          <w:rFonts w:ascii="Arial" w:cs="Arial" w:eastAsia="Arial" w:hAnsi="Arial"/>
          <w:b/>
          <w:bCs/>
          <w:color w:val="1A1A2E"/>
          <w:sz w:val="21"/>
          <w:szCs w:val="21"/>
        </w:rPr>
        <w:t xml:space="preserve">Position sizer: </w:t>
      </w:r>
      <w:r>
        <w:rPr>
          <w:rFonts w:ascii="Arial" w:cs="Arial" w:eastAsia="Arial" w:hAnsi="Arial"/>
          <w:color w:val="374151"/>
          <w:sz w:val="21"/>
          <w:szCs w:val="21"/>
        </w:rPr>
        <w:t xml:space="preserve">Calculates lot size per trade based on remaining drawdown headroom, not account balance. Risk per trade hard-capped at 0.5% of initial balance during evaluations, 1% on funded accounts.</w:t>
      </w:r>
    </w:p>
    <w:p>
      <w:pPr>
        <w:pStyle w:val="ListParagraph"/>
        <w:numPr>
          <w:ilvl w:val="0"/>
          <w:numId w:val="2"/>
        </w:numPr>
        <w:spacing w:after="80" w:line="276"/>
      </w:pPr>
      <w:r>
        <w:rPr>
          <w:rFonts w:ascii="Arial" w:cs="Arial" w:eastAsia="Arial" w:hAnsi="Arial"/>
          <w:b/>
          <w:bCs/>
          <w:color w:val="1A1A2E"/>
          <w:sz w:val="21"/>
          <w:szCs w:val="21"/>
        </w:rPr>
        <w:t xml:space="preserve">Consistency enforcer: </w:t>
      </w:r>
      <w:r>
        <w:rPr>
          <w:rFonts w:ascii="Arial" w:cs="Arial" w:eastAsia="Arial" w:hAnsi="Arial"/>
          <w:color w:val="374151"/>
          <w:sz w:val="21"/>
          <w:szCs w:val="21"/>
        </w:rPr>
        <w:t xml:space="preserve">Tracks daily P&amp;L as a percentage of total challenge profits. If any single day would exceed the firm’s consistency threshold (e.g., 40% for FundedNext), the engine reduces position sizes for the remainder of that session.</w:t>
      </w:r>
    </w:p>
    <w:p>
      <w:pPr>
        <w:pStyle w:val="ListParagraph"/>
        <w:numPr>
          <w:ilvl w:val="0"/>
          <w:numId w:val="2"/>
        </w:numPr>
        <w:spacing w:after="80" w:line="276"/>
      </w:pPr>
      <w:r>
        <w:rPr>
          <w:rFonts w:ascii="Arial" w:cs="Arial" w:eastAsia="Arial" w:hAnsi="Arial"/>
          <w:b/>
          <w:bCs/>
          <w:color w:val="1A1A2E"/>
          <w:sz w:val="21"/>
          <w:szCs w:val="21"/>
        </w:rPr>
        <w:t xml:space="preserve">Session manager: </w:t>
      </w:r>
      <w:r>
        <w:rPr>
          <w:rFonts w:ascii="Arial" w:cs="Arial" w:eastAsia="Arial" w:hAnsi="Arial"/>
          <w:color w:val="374151"/>
          <w:sz w:val="21"/>
          <w:szCs w:val="21"/>
        </w:rPr>
        <w:t xml:space="preserve">Handles market hours, news blackout windows, weekend position rules, and minimum trading day requirements per firm profile.</w:t>
      </w:r>
    </w:p>
    <w:p>
      <w:pPr>
        <w:pStyle w:val="ListParagraph"/>
        <w:numPr>
          <w:ilvl w:val="0"/>
          <w:numId w:val="2"/>
        </w:numPr>
        <w:spacing w:after="80" w:line="276"/>
      </w:pPr>
      <w:r>
        <w:rPr>
          <w:rFonts w:ascii="Arial" w:cs="Arial" w:eastAsia="Arial" w:hAnsi="Arial"/>
          <w:b/>
          <w:bCs/>
          <w:color w:val="1A1A2E"/>
          <w:sz w:val="21"/>
          <w:szCs w:val="21"/>
        </w:rPr>
        <w:t xml:space="preserve">Kill switch: </w:t>
      </w:r>
      <w:r>
        <w:rPr>
          <w:rFonts w:ascii="Arial" w:cs="Arial" w:eastAsia="Arial" w:hAnsi="Arial"/>
          <w:color w:val="374151"/>
          <w:sz w:val="21"/>
          <w:szCs w:val="21"/>
        </w:rPr>
        <w:t xml:space="preserve">Immediate flat-all with market orders if any rule is within 5% of breach. Logs the event and notifies the oversight layer.</w:t>
      </w:r>
    </w:p>
    <w:p>
      <w:pPr>
        <w:spacing w:after="40" w:before="40"/>
      </w:pPr>
    </w:p>
    <w:p>
      <w:pPr>
        <w:spacing w:after="120" w:before="200"/>
      </w:pPr>
      <w:r>
        <w:rPr>
          <w:rFonts w:ascii="Arial" w:cs="Arial" w:eastAsia="Arial" w:hAnsi="Arial"/>
          <w:b/>
          <w:bCs/>
          <w:color w:val="1A1A2E"/>
          <w:sz w:val="22"/>
          <w:szCs w:val="22"/>
        </w:rPr>
        <w:t xml:space="preserve">Layer 2: Strategy &amp; Signal Layer (The Brain Split)</w:t>
      </w:r>
    </w:p>
    <w:p>
      <w:pPr>
        <w:spacing w:after="160" w:line="276"/>
      </w:pPr>
      <w:r>
        <w:rPr>
          <w:rFonts w:ascii="Arial" w:cs="Arial" w:eastAsia="Arial" w:hAnsi="Arial"/>
          <w:color w:val="374151"/>
          <w:sz w:val="21"/>
          <w:szCs w:val="21"/>
        </w:rPr>
        <w:t xml:space="preserve">This is where the AI lives, but its outputs are scored signals, not trade commands. The deterministic engine decides whether to act on them.</w:t>
      </w:r>
    </w:p>
    <w:p>
      <w:pPr>
        <w:spacing w:after="160" w:line="276"/>
      </w:pPr>
      <w:r>
        <w:rPr>
          <w:rFonts w:ascii="Arial" w:cs="Arial" w:eastAsia="Arial" w:hAnsi="Arial"/>
          <w:b/>
          <w:bCs/>
          <w:color w:val="1A1A2E"/>
          <w:sz w:val="21"/>
          <w:szCs w:val="21"/>
        </w:rPr>
        <w:t xml:space="preserve">Local Ollama Models (Continuous, Zero-Cost):</w:t>
      </w:r>
      <w:r>
        <w:rPr>
          <w:rFonts w:ascii="Arial" w:cs="Arial" w:eastAsia="Arial" w:hAnsi="Arial"/>
          <w:color w:val="374151"/>
          <w:sz w:val="21"/>
          <w:szCs w:val="21"/>
        </w:rPr>
        <w:t xml:space="preserve"/>
      </w:r>
    </w:p>
    <w:p>
      <w:pPr>
        <w:pStyle w:val="ListParagraph"/>
        <w:numPr>
          <w:ilvl w:val="0"/>
          <w:numId w:val="2"/>
        </w:numPr>
        <w:spacing w:after="80" w:line="276"/>
      </w:pPr>
      <w:r>
        <w:rPr>
          <w:rFonts w:ascii="Arial" w:cs="Arial" w:eastAsia="Arial" w:hAnsi="Arial"/>
          <w:b/>
          <w:bCs/>
          <w:color w:val="1A1A2E"/>
          <w:sz w:val="21"/>
          <w:szCs w:val="21"/>
        </w:rPr>
        <w:t xml:space="preserve">Market regime classifier: </w:t>
      </w:r>
      <w:r>
        <w:rPr>
          <w:rFonts w:ascii="Arial" w:cs="Arial" w:eastAsia="Arial" w:hAnsi="Arial"/>
          <w:color w:val="374151"/>
          <w:sz w:val="21"/>
          <w:szCs w:val="21"/>
        </w:rPr>
        <w:t xml:space="preserve">Identifies trending, ranging, volatile, or low-liquidity conditions. Updates every 5 minutes. Uses a fine-tuned 7B model on historical regime data.</w:t>
      </w:r>
    </w:p>
    <w:p>
      <w:pPr>
        <w:pStyle w:val="ListParagraph"/>
        <w:numPr>
          <w:ilvl w:val="0"/>
          <w:numId w:val="2"/>
        </w:numPr>
        <w:spacing w:after="80" w:line="276"/>
      </w:pPr>
      <w:r>
        <w:rPr>
          <w:rFonts w:ascii="Arial" w:cs="Arial" w:eastAsia="Arial" w:hAnsi="Arial"/>
          <w:b/>
          <w:bCs/>
          <w:color w:val="1A1A2E"/>
          <w:sz w:val="21"/>
          <w:szCs w:val="21"/>
        </w:rPr>
        <w:t xml:space="preserve">Technical signal generator: </w:t>
      </w:r>
      <w:r>
        <w:rPr>
          <w:rFonts w:ascii="Arial" w:cs="Arial" w:eastAsia="Arial" w:hAnsi="Arial"/>
          <w:color w:val="374151"/>
          <w:sz w:val="21"/>
          <w:szCs w:val="21"/>
        </w:rPr>
        <w:t xml:space="preserve">Processes price action, indicator confluence, and support/resistance levels into scored trade setups (0–100 confidence). Only setups scoring 70+ are forwarded to the execution engine.</w:t>
      </w:r>
    </w:p>
    <w:p>
      <w:pPr>
        <w:pStyle w:val="ListParagraph"/>
        <w:numPr>
          <w:ilvl w:val="0"/>
          <w:numId w:val="2"/>
        </w:numPr>
        <w:spacing w:after="80" w:line="276"/>
      </w:pPr>
      <w:r>
        <w:rPr>
          <w:rFonts w:ascii="Arial" w:cs="Arial" w:eastAsia="Arial" w:hAnsi="Arial"/>
          <w:b/>
          <w:bCs/>
          <w:color w:val="1A1A2E"/>
          <w:sz w:val="21"/>
          <w:szCs w:val="21"/>
        </w:rPr>
        <w:t xml:space="preserve">Sentiment scanner: </w:t>
      </w:r>
      <w:r>
        <w:rPr>
          <w:rFonts w:ascii="Arial" w:cs="Arial" w:eastAsia="Arial" w:hAnsi="Arial"/>
          <w:color w:val="374151"/>
          <w:sz w:val="21"/>
          <w:szCs w:val="21"/>
        </w:rPr>
        <w:t xml:space="preserve">Monitors news feeds and social data for sentiment shifts. Outputs a sentiment bias score that adjusts the signal generator’s confidence thresholds.</w:t>
      </w:r>
    </w:p>
    <w:p>
      <w:pPr>
        <w:pStyle w:val="ListParagraph"/>
        <w:numPr>
          <w:ilvl w:val="0"/>
          <w:numId w:val="2"/>
        </w:numPr>
        <w:spacing w:after="80" w:line="276"/>
      </w:pPr>
      <w:r>
        <w:rPr>
          <w:rFonts w:ascii="Arial" w:cs="Arial" w:eastAsia="Arial" w:hAnsi="Arial"/>
          <w:b/>
          <w:bCs/>
          <w:color w:val="1A1A2E"/>
          <w:sz w:val="21"/>
          <w:szCs w:val="21"/>
        </w:rPr>
        <w:t xml:space="preserve">Pattern recognition: </w:t>
      </w:r>
      <w:r>
        <w:rPr>
          <w:rFonts w:ascii="Arial" w:cs="Arial" w:eastAsia="Arial" w:hAnsi="Arial"/>
          <w:color w:val="374151"/>
          <w:sz w:val="21"/>
          <w:szCs w:val="21"/>
        </w:rPr>
        <w:t xml:space="preserve">Identifies chart patterns, divergences, and multi-timeframe alignment. Feeds into the signal generator as confluence factors.</w:t>
      </w:r>
    </w:p>
    <w:p>
      <w:pPr>
        <w:spacing w:after="40" w:before="40"/>
      </w:pPr>
    </w:p>
    <w:p>
      <w:pPr>
        <w:spacing w:after="160" w:line="276"/>
      </w:pPr>
      <w:r>
        <w:rPr>
          <w:rFonts w:ascii="Arial" w:cs="Arial" w:eastAsia="Arial" w:hAnsi="Arial"/>
          <w:b/>
          <w:bCs/>
          <w:color w:val="1A1A2E"/>
          <w:sz w:val="21"/>
          <w:szCs w:val="21"/>
        </w:rPr>
        <w:t xml:space="preserve">Claude API (Scheduled, Cost-Controlled):</w:t>
      </w:r>
      <w:r>
        <w:rPr>
          <w:rFonts w:ascii="Arial" w:cs="Arial" w:eastAsia="Arial" w:hAnsi="Arial"/>
          <w:color w:val="374151"/>
          <w:sz w:val="21"/>
          <w:szCs w:val="21"/>
        </w:rPr>
        <w:t xml:space="preserve"/>
      </w:r>
    </w:p>
    <w:p>
      <w:pPr>
        <w:pStyle w:val="ListParagraph"/>
        <w:numPr>
          <w:ilvl w:val="0"/>
          <w:numId w:val="2"/>
        </w:numPr>
        <w:spacing w:after="80" w:line="276"/>
      </w:pPr>
      <w:r>
        <w:rPr>
          <w:rFonts w:ascii="Arial" w:cs="Arial" w:eastAsia="Arial" w:hAnsi="Arial"/>
          <w:b/>
          <w:bCs/>
          <w:color w:val="1A1A2E"/>
          <w:sz w:val="21"/>
          <w:szCs w:val="21"/>
        </w:rPr>
        <w:t xml:space="preserve">Strategy review: </w:t>
      </w:r>
      <w:r>
        <w:rPr>
          <w:rFonts w:ascii="Arial" w:cs="Arial" w:eastAsia="Arial" w:hAnsi="Arial"/>
          <w:color w:val="374151"/>
          <w:sz w:val="21"/>
          <w:szCs w:val="21"/>
        </w:rPr>
        <w:t xml:space="preserve">Daily end-of-session analysis. Reviews all trades taken, signals generated vs. acted upon, and drawdown utilization. Outputs strategy adjustments for the next session.</w:t>
      </w:r>
    </w:p>
    <w:p>
      <w:pPr>
        <w:pStyle w:val="ListParagraph"/>
        <w:numPr>
          <w:ilvl w:val="0"/>
          <w:numId w:val="2"/>
        </w:numPr>
        <w:spacing w:after="80" w:line="276"/>
      </w:pPr>
      <w:r>
        <w:rPr>
          <w:rFonts w:ascii="Arial" w:cs="Arial" w:eastAsia="Arial" w:hAnsi="Arial"/>
          <w:b/>
          <w:bCs/>
          <w:color w:val="1A1A2E"/>
          <w:sz w:val="21"/>
          <w:szCs w:val="21"/>
        </w:rPr>
        <w:t xml:space="preserve">Weekly performance audit: </w:t>
      </w:r>
      <w:r>
        <w:rPr>
          <w:rFonts w:ascii="Arial" w:cs="Arial" w:eastAsia="Arial" w:hAnsi="Arial"/>
          <w:color w:val="374151"/>
          <w:sz w:val="21"/>
          <w:szCs w:val="21"/>
        </w:rPr>
        <w:t xml:space="preserve">Comprehensive review of win rate, risk/reward, drawdown trajectory, and consistency metrics. Recommends parameter adjustments.</w:t>
      </w:r>
    </w:p>
    <w:p>
      <w:pPr>
        <w:pStyle w:val="ListParagraph"/>
        <w:numPr>
          <w:ilvl w:val="0"/>
          <w:numId w:val="2"/>
        </w:numPr>
        <w:spacing w:after="80" w:line="276"/>
      </w:pPr>
      <w:r>
        <w:rPr>
          <w:rFonts w:ascii="Arial" w:cs="Arial" w:eastAsia="Arial" w:hAnsi="Arial"/>
          <w:b/>
          <w:bCs/>
          <w:color w:val="1A1A2E"/>
          <w:sz w:val="21"/>
          <w:szCs w:val="21"/>
        </w:rPr>
        <w:t xml:space="preserve">Anomaly handler: </w:t>
      </w:r>
      <w:r>
        <w:rPr>
          <w:rFonts w:ascii="Arial" w:cs="Arial" w:eastAsia="Arial" w:hAnsi="Arial"/>
          <w:color w:val="374151"/>
          <w:sz w:val="21"/>
          <w:szCs w:val="21"/>
        </w:rPr>
        <w:t xml:space="preserve">Called on-demand only when the kill switch fires or when the regime classifier detects an unprecedented market condition. Provides recovery strategy.</w:t>
      </w:r>
    </w:p>
    <w:p>
      <w:pPr>
        <w:pStyle w:val="ListParagraph"/>
        <w:numPr>
          <w:ilvl w:val="0"/>
          <w:numId w:val="2"/>
        </w:numPr>
        <w:spacing w:after="80" w:line="276"/>
      </w:pPr>
      <w:r>
        <w:rPr>
          <w:rFonts w:ascii="Arial" w:cs="Arial" w:eastAsia="Arial" w:hAnsi="Arial"/>
          <w:b/>
          <w:bCs/>
          <w:color w:val="1A1A2E"/>
          <w:sz w:val="21"/>
          <w:szCs w:val="21"/>
        </w:rPr>
        <w:t xml:space="preserve">Firm rule interpreter: </w:t>
      </w:r>
      <w:r>
        <w:rPr>
          <w:rFonts w:ascii="Arial" w:cs="Arial" w:eastAsia="Arial" w:hAnsi="Arial"/>
          <w:color w:val="374151"/>
          <w:sz w:val="21"/>
          <w:szCs w:val="21"/>
        </w:rPr>
        <w:t xml:space="preserve">When onboarding a new prop firm, Claude parses the firm’s full rulebook and generates the configuration profile for the deterministic engine.</w:t>
      </w:r>
    </w:p>
    <w:p>
      <w:pPr>
        <w:spacing w:after="40" w:before="40"/>
      </w:pPr>
    </w:p>
    <w:p>
      <w:pPr>
        <w:spacing w:after="120" w:before="200"/>
      </w:pPr>
      <w:r>
        <w:rPr>
          <w:rFonts w:ascii="Arial" w:cs="Arial" w:eastAsia="Arial" w:hAnsi="Arial"/>
          <w:b/>
          <w:bCs/>
          <w:color w:val="1A1A2E"/>
          <w:sz w:val="22"/>
          <w:szCs w:val="22"/>
        </w:rPr>
        <w:t xml:space="preserve">Layer 3: Orchestration &amp; Monitoring (Ruflo Framework)</w:t>
      </w:r>
    </w:p>
    <w:p>
      <w:pPr>
        <w:spacing w:after="160" w:line="276"/>
      </w:pPr>
      <w:r>
        <w:rPr>
          <w:rFonts w:ascii="Arial" w:cs="Arial" w:eastAsia="Arial" w:hAnsi="Arial"/>
          <w:color w:val="374151"/>
          <w:sz w:val="21"/>
          <w:szCs w:val="21"/>
        </w:rPr>
        <w:t xml:space="preserve">The existing Ruflo multi-agent framework serves as the orchestration backbone. This is not starting over — it’s extending what already works.</w:t>
      </w:r>
    </w:p>
    <w:p>
      <w:pPr>
        <w:pStyle w:val="ListParagraph"/>
        <w:numPr>
          <w:ilvl w:val="0"/>
          <w:numId w:val="2"/>
        </w:numPr>
        <w:spacing w:after="80" w:line="276"/>
      </w:pPr>
      <w:r>
        <w:rPr>
          <w:rFonts w:ascii="Arial" w:cs="Arial" w:eastAsia="Arial" w:hAnsi="Arial"/>
          <w:b/>
          <w:bCs/>
          <w:color w:val="1A1A2E"/>
          <w:sz w:val="21"/>
          <w:szCs w:val="21"/>
        </w:rPr>
        <w:t xml:space="preserve">Agent pipeline: </w:t>
      </w:r>
      <w:r>
        <w:rPr>
          <w:rFonts w:ascii="Arial" w:cs="Arial" w:eastAsia="Arial" w:hAnsi="Arial"/>
          <w:color w:val="374151"/>
          <w:sz w:val="21"/>
          <w:szCs w:val="21"/>
        </w:rPr>
        <w:t xml:space="preserve">Analyst → Risk Manager → Sentinel, already built and operational in smart-trader. Extended with a new Executor agent that interfaces with prop firm trading platforms.</w:t>
      </w:r>
    </w:p>
    <w:p>
      <w:pPr>
        <w:pStyle w:val="ListParagraph"/>
        <w:numPr>
          <w:ilvl w:val="0"/>
          <w:numId w:val="2"/>
        </w:numPr>
        <w:spacing w:after="80" w:line="276"/>
      </w:pPr>
      <w:r>
        <w:rPr>
          <w:rFonts w:ascii="Arial" w:cs="Arial" w:eastAsia="Arial" w:hAnsi="Arial"/>
          <w:b/>
          <w:bCs/>
          <w:color w:val="1A1A2E"/>
          <w:sz w:val="21"/>
          <w:szCs w:val="21"/>
        </w:rPr>
        <w:t xml:space="preserve">Dashboard: </w:t>
      </w:r>
      <w:r>
        <w:rPr>
          <w:rFonts w:ascii="Arial" w:cs="Arial" w:eastAsia="Arial" w:hAnsi="Arial"/>
          <w:color w:val="374151"/>
          <w:sz w:val="21"/>
          <w:szCs w:val="21"/>
        </w:rPr>
        <w:t xml:space="preserve">Existing dashboard at :3456 extended with prop firm account status panels, drawdown gauges, and consistency trackers.</w:t>
      </w:r>
    </w:p>
    <w:p>
      <w:pPr>
        <w:pStyle w:val="ListParagraph"/>
        <w:numPr>
          <w:ilvl w:val="0"/>
          <w:numId w:val="2"/>
        </w:numPr>
        <w:spacing w:after="80" w:line="276"/>
      </w:pPr>
      <w:r>
        <w:rPr>
          <w:rFonts w:ascii="Arial" w:cs="Arial" w:eastAsia="Arial" w:hAnsi="Arial"/>
          <w:b/>
          <w:bCs/>
          <w:color w:val="1A1A2E"/>
          <w:sz w:val="21"/>
          <w:szCs w:val="21"/>
        </w:rPr>
        <w:t xml:space="preserve">Learner: </w:t>
      </w:r>
      <w:r>
        <w:rPr>
          <w:rFonts w:ascii="Arial" w:cs="Arial" w:eastAsia="Arial" w:hAnsi="Arial"/>
          <w:color w:val="374151"/>
          <w:sz w:val="21"/>
          <w:szCs w:val="21"/>
        </w:rPr>
        <w:t xml:space="preserve">The existing RuFlo learner stub is activated to track trade outcomes and adjust signal confidence thresholds over time.</w:t>
      </w:r>
    </w:p>
    <w:p>
      <w:pPr>
        <w:pStyle w:val="ListParagraph"/>
        <w:numPr>
          <w:ilvl w:val="0"/>
          <w:numId w:val="2"/>
        </w:numPr>
        <w:spacing w:after="80" w:line="276"/>
      </w:pPr>
      <w:r>
        <w:rPr>
          <w:rFonts w:ascii="Arial" w:cs="Arial" w:eastAsia="Arial" w:hAnsi="Arial"/>
          <w:b/>
          <w:bCs/>
          <w:color w:val="1A1A2E"/>
          <w:sz w:val="21"/>
          <w:szCs w:val="21"/>
        </w:rPr>
        <w:t xml:space="preserve">Multi-account manager: </w:t>
      </w:r>
      <w:r>
        <w:rPr>
          <w:rFonts w:ascii="Arial" w:cs="Arial" w:eastAsia="Arial" w:hAnsi="Arial"/>
          <w:color w:val="374151"/>
          <w:sz w:val="21"/>
          <w:szCs w:val="21"/>
        </w:rPr>
        <w:t xml:space="preserve">New module that manages multiple prop firm accounts simultaneously, routing signals to the appropriate account based on each firm’s active rules and drawdown headroom.</w:t>
      </w:r>
    </w:p>
    <w:p>
      <w:r>
        <w:br w:type="page"/>
      </w:r>
    </w:p>
    <w:p>
      <w:pPr>
        <w:pStyle w:val="Heading1"/>
        <w:spacing w:after="200" w:before="360"/>
      </w:pPr>
      <w:r>
        <w:rPr>
          <w:rFonts w:ascii="Arial" w:cs="Arial" w:eastAsia="Arial" w:hAnsi="Arial"/>
          <w:b/>
          <w:bCs/>
          <w:color w:val="1A1A2E"/>
          <w:sz w:val="32"/>
          <w:szCs w:val="32"/>
        </w:rPr>
        <w:t xml:space="preserve">2. Prop Firm Target Matrix</w:t>
      </w:r>
    </w:p>
    <w:p>
      <w:pPr>
        <w:pBdr>
          <w:bottom w:val="single" w:color="E94560" w:sz="4" w:space="1"/>
        </w:pBdr>
        <w:spacing w:after="80" w:before="80"/>
      </w:pPr>
    </w:p>
    <w:p>
      <w:pPr>
        <w:spacing w:after="160" w:line="276"/>
      </w:pPr>
      <w:r>
        <w:rPr>
          <w:rFonts w:ascii="Arial" w:cs="Arial" w:eastAsia="Arial" w:hAnsi="Arial"/>
          <w:color w:val="374151"/>
          <w:sz w:val="21"/>
          <w:szCs w:val="21"/>
        </w:rPr>
        <w:t xml:space="preserve">The following firms have been selected based on four criteria: EA/bot trading explicitly allowed, static (not trailing) drawdown preferred, lowest total cost of funding, and proven payout track record. All data verified as of March 2026.</w:t>
      </w:r>
    </w:p>
    <w:p>
      <w:pPr>
        <w:pStyle w:val="Heading2"/>
        <w:spacing w:after="160" w:before="280"/>
      </w:pPr>
      <w:r>
        <w:rPr>
          <w:rFonts w:ascii="Arial" w:cs="Arial" w:eastAsia="Arial" w:hAnsi="Arial"/>
          <w:b/>
          <w:bCs/>
          <w:color w:val="0F3460"/>
          <w:sz w:val="26"/>
          <w:szCs w:val="26"/>
        </w:rPr>
        <w:t xml:space="preserve">2.1 Tier 1 Targets: Lowest Barrier to Entry</w:t>
      </w:r>
    </w:p>
    <w:p>
      <w:pPr>
        <w:spacing w:after="160" w:line="276"/>
      </w:pPr>
      <w:r>
        <w:rPr>
          <w:rFonts w:ascii="Arial" w:cs="Arial" w:eastAsia="Arial" w:hAnsi="Arial"/>
          <w:color w:val="374151"/>
          <w:sz w:val="21"/>
          <w:szCs w:val="21"/>
        </w:rPr>
        <w:t xml:space="preserve">Start here. These firms have the lowest evaluation fees, allow automated trading, and use the most forgiving drawdown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200"/>
        <w:gridCol w:w="1400"/>
        <w:gridCol w:w="1200"/>
        <w:gridCol w:w="1360"/>
        <w:gridCol w:w="1400"/>
      </w:tblGrid>
      <w:tr>
        <w:tc>
          <w:tcPr>
            <w:tcW w:type="dxa" w:w="17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Firm</w:t>
            </w:r>
          </w:p>
        </w:tc>
        <w:tc>
          <w:tcPr>
            <w:tcW w:type="dxa" w:w="11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Account</w:t>
            </w:r>
          </w:p>
        </w:tc>
        <w:tc>
          <w:tcPr>
            <w:tcW w:type="dxa" w:w="1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Eval Fee</w:t>
            </w:r>
          </w:p>
        </w:tc>
        <w:tc>
          <w:tcPr>
            <w:tcW w:type="dxa" w:w="1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Drawdown</w:t>
            </w:r>
          </w:p>
        </w:tc>
        <w:tc>
          <w:tcPr>
            <w:tcW w:type="dxa" w:w="1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Daily Loss</w:t>
            </w:r>
          </w:p>
        </w:tc>
        <w:tc>
          <w:tcPr>
            <w:tcW w:type="dxa" w:w="13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Profit Tgt</w:t>
            </w:r>
          </w:p>
        </w:tc>
        <w:tc>
          <w:tcPr>
            <w:tcW w:type="dxa" w:w="1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EAs OK?</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bCs/>
                <w:color w:val="374151"/>
                <w:sz w:val="18"/>
                <w:szCs w:val="18"/>
              </w:rPr>
              <w:t xml:space="preserve">OneFunded</w:t>
            </w:r>
          </w:p>
        </w:tc>
        <w:tc>
          <w:tcPr>
            <w:tcW w:type="dxa" w:w="1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$5,000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~$23</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Static 10%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5%</w:t>
            </w:r>
          </w:p>
        </w:tc>
        <w:tc>
          <w:tcPr>
            <w:tcW w:type="dxa" w:w="1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8% / 5%</w:t>
            </w:r>
          </w:p>
        </w:tc>
        <w:tc>
          <w:tcPr>
            <w:tcW w:type="dxa" w:w="1400"/>
            <w:tcBorders>
              <w:top w:val="single" w:color="D1D5DB" w:sz="1"/>
              <w:left w:val="single" w:color="D1D5DB" w:sz="1"/>
              <w:bottom w:val="single" w:color="D1D5DB" w:sz="1"/>
              <w:right w:val="single" w:color="D1D5DB" w:sz="1"/>
            </w:tcBorders>
            <w:shd w:fill="E8F5E9"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Yes</w:t>
            </w:r>
          </w:p>
        </w:tc>
      </w:tr>
      <w:tr>
        <w:tc>
          <w:tcPr>
            <w:tcW w:type="dxa" w:w="17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bCs/>
                <w:color w:val="374151"/>
                <w:sz w:val="18"/>
                <w:szCs w:val="18"/>
              </w:rPr>
              <w:t xml:space="preserve">Goat Funded</w:t>
            </w:r>
          </w:p>
        </w:tc>
        <w:tc>
          <w:tcPr>
            <w:tcW w:type="dxa" w:w="11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$5,000</w:t>
            </w:r>
          </w:p>
        </w:tc>
        <w:tc>
          <w:tcPr>
            <w:tcW w:type="dxa" w:w="12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~$36</w:t>
            </w:r>
          </w:p>
        </w:tc>
        <w:tc>
          <w:tcPr>
            <w:tcW w:type="dxa" w:w="14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Static 10%</w:t>
            </w:r>
          </w:p>
        </w:tc>
        <w:tc>
          <w:tcPr>
            <w:tcW w:type="dxa" w:w="12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5%</w:t>
            </w:r>
          </w:p>
        </w:tc>
        <w:tc>
          <w:tcPr>
            <w:tcW w:type="dxa" w:w="136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8% / 4%</w:t>
            </w:r>
          </w:p>
        </w:tc>
        <w:tc>
          <w:tcPr>
            <w:tcW w:type="dxa" w:w="1400"/>
            <w:tcBorders>
              <w:top w:val="single" w:color="D1D5DB" w:sz="1"/>
              <w:left w:val="single" w:color="D1D5DB" w:sz="1"/>
              <w:bottom w:val="single" w:color="D1D5DB" w:sz="1"/>
              <w:right w:val="single" w:color="D1D5DB" w:sz="1"/>
            </w:tcBorders>
            <w:shd w:fill="E8F5E9"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Yes</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bCs/>
                <w:color w:val="374151"/>
                <w:sz w:val="18"/>
                <w:szCs w:val="18"/>
              </w:rPr>
              <w:t xml:space="preserve">Tradeify</w:t>
            </w:r>
          </w:p>
        </w:tc>
        <w:tc>
          <w:tcPr>
            <w:tcW w:type="dxa" w:w="1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$50,000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$103/mo</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EOD (flex)</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None</w:t>
            </w:r>
          </w:p>
        </w:tc>
        <w:tc>
          <w:tcPr>
            <w:tcW w:type="dxa" w:w="1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$3,000</w:t>
            </w:r>
          </w:p>
        </w:tc>
        <w:tc>
          <w:tcPr>
            <w:tcW w:type="dxa" w:w="1400"/>
            <w:tcBorders>
              <w:top w:val="single" w:color="D1D5DB" w:sz="1"/>
              <w:left w:val="single" w:color="D1D5DB" w:sz="1"/>
              <w:bottom w:val="single" w:color="D1D5DB" w:sz="1"/>
              <w:right w:val="single" w:color="D1D5DB" w:sz="1"/>
            </w:tcBorders>
            <w:shd w:fill="E8F5E9"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Yes</w:t>
            </w:r>
          </w:p>
        </w:tc>
      </w:tr>
      <w:tr>
        <w:tc>
          <w:tcPr>
            <w:tcW w:type="dxa" w:w="17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bCs/>
                <w:color w:val="374151"/>
                <w:sz w:val="18"/>
                <w:szCs w:val="18"/>
              </w:rPr>
              <w:t xml:space="preserve">FundedNext</w:t>
            </w:r>
          </w:p>
        </w:tc>
        <w:tc>
          <w:tcPr>
            <w:tcW w:type="dxa" w:w="11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$6,000</w:t>
            </w:r>
          </w:p>
        </w:tc>
        <w:tc>
          <w:tcPr>
            <w:tcW w:type="dxa" w:w="12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~$49</w:t>
            </w:r>
          </w:p>
        </w:tc>
        <w:tc>
          <w:tcPr>
            <w:tcW w:type="dxa" w:w="14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Static</w:t>
            </w:r>
          </w:p>
        </w:tc>
        <w:tc>
          <w:tcPr>
            <w:tcW w:type="dxa" w:w="12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3–5%</w:t>
            </w:r>
          </w:p>
        </w:tc>
        <w:tc>
          <w:tcPr>
            <w:tcW w:type="dxa" w:w="136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8% / 5%</w:t>
            </w:r>
          </w:p>
        </w:tc>
        <w:tc>
          <w:tcPr>
            <w:tcW w:type="dxa" w:w="1400"/>
            <w:tcBorders>
              <w:top w:val="single" w:color="D1D5DB" w:sz="1"/>
              <w:left w:val="single" w:color="D1D5DB" w:sz="1"/>
              <w:bottom w:val="single" w:color="D1D5DB" w:sz="1"/>
              <w:right w:val="single" w:color="D1D5DB" w:sz="1"/>
            </w:tcBorders>
            <w:shd w:fill="E8F5E9"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Yes (MT5)</w:t>
            </w:r>
          </w:p>
        </w:tc>
      </w:tr>
    </w:tbl>
    <w:p>
      <w:pPr>
        <w:spacing w:after="40" w:before="40"/>
      </w:pPr>
    </w:p>
    <w:p>
      <w:pPr>
        <w:pStyle w:val="Heading2"/>
        <w:spacing w:after="160" w:before="280"/>
      </w:pPr>
      <w:r>
        <w:rPr>
          <w:rFonts w:ascii="Arial" w:cs="Arial" w:eastAsia="Arial" w:hAnsi="Arial"/>
          <w:b/>
          <w:bCs/>
          <w:color w:val="0F3460"/>
          <w:sz w:val="26"/>
          <w:szCs w:val="26"/>
        </w:rPr>
        <w:t xml:space="preserve">2.2 Tier 2 Targets: Scale-Up Accounts</w:t>
      </w:r>
    </w:p>
    <w:p>
      <w:pPr>
        <w:spacing w:after="160" w:line="276"/>
      </w:pPr>
      <w:r>
        <w:rPr>
          <w:rFonts w:ascii="Arial" w:cs="Arial" w:eastAsia="Arial" w:hAnsi="Arial"/>
          <w:color w:val="374151"/>
          <w:sz w:val="21"/>
          <w:szCs w:val="21"/>
        </w:rPr>
        <w:t xml:space="preserve">Move to these once the system has proven consistent performance on Tier 1 accounts. Higher evaluation fees but substantially larger funded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200"/>
        <w:gridCol w:w="1400"/>
        <w:gridCol w:w="1200"/>
        <w:gridCol w:w="1360"/>
        <w:gridCol w:w="1400"/>
      </w:tblGrid>
      <w:tr>
        <w:tc>
          <w:tcPr>
            <w:tcW w:type="dxa" w:w="17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Firm</w:t>
            </w:r>
          </w:p>
        </w:tc>
        <w:tc>
          <w:tcPr>
            <w:tcW w:type="dxa" w:w="11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Account</w:t>
            </w:r>
          </w:p>
        </w:tc>
        <w:tc>
          <w:tcPr>
            <w:tcW w:type="dxa" w:w="1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Eval Fee</w:t>
            </w:r>
          </w:p>
        </w:tc>
        <w:tc>
          <w:tcPr>
            <w:tcW w:type="dxa" w:w="1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Drawdown</w:t>
            </w:r>
          </w:p>
        </w:tc>
        <w:tc>
          <w:tcPr>
            <w:tcW w:type="dxa" w:w="1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Daily Loss</w:t>
            </w:r>
          </w:p>
        </w:tc>
        <w:tc>
          <w:tcPr>
            <w:tcW w:type="dxa" w:w="13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Profit Tgt</w:t>
            </w:r>
          </w:p>
        </w:tc>
        <w:tc>
          <w:tcPr>
            <w:tcW w:type="dxa" w:w="1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EAs OK?</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bCs/>
                <w:color w:val="374151"/>
                <w:sz w:val="18"/>
                <w:szCs w:val="18"/>
              </w:rPr>
              <w:t xml:space="preserve">FTMO</w:t>
            </w:r>
          </w:p>
        </w:tc>
        <w:tc>
          <w:tcPr>
            <w:tcW w:type="dxa" w:w="1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$100,000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~$540</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Static 10%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5%</w:t>
            </w:r>
          </w:p>
        </w:tc>
        <w:tc>
          <w:tcPr>
            <w:tcW w:type="dxa" w:w="1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10% / 5%</w:t>
            </w:r>
          </w:p>
        </w:tc>
        <w:tc>
          <w:tcPr>
            <w:tcW w:type="dxa" w:w="1400"/>
            <w:tcBorders>
              <w:top w:val="single" w:color="D1D5DB" w:sz="1"/>
              <w:left w:val="single" w:color="D1D5DB" w:sz="1"/>
              <w:bottom w:val="single" w:color="D1D5DB" w:sz="1"/>
              <w:right w:val="single" w:color="D1D5DB" w:sz="1"/>
            </w:tcBorders>
            <w:shd w:fill="E8F5E9"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Yes</w:t>
            </w:r>
          </w:p>
        </w:tc>
      </w:tr>
      <w:tr>
        <w:tc>
          <w:tcPr>
            <w:tcW w:type="dxa" w:w="17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bCs/>
                <w:color w:val="374151"/>
                <w:sz w:val="18"/>
                <w:szCs w:val="18"/>
              </w:rPr>
              <w:t xml:space="preserve">FundedNext</w:t>
            </w:r>
          </w:p>
        </w:tc>
        <w:tc>
          <w:tcPr>
            <w:tcW w:type="dxa" w:w="11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$100,000</w:t>
            </w:r>
          </w:p>
        </w:tc>
        <w:tc>
          <w:tcPr>
            <w:tcW w:type="dxa" w:w="12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~$449</w:t>
            </w:r>
          </w:p>
        </w:tc>
        <w:tc>
          <w:tcPr>
            <w:tcW w:type="dxa" w:w="14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Static</w:t>
            </w:r>
          </w:p>
        </w:tc>
        <w:tc>
          <w:tcPr>
            <w:tcW w:type="dxa" w:w="12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3–5%</w:t>
            </w:r>
          </w:p>
        </w:tc>
        <w:tc>
          <w:tcPr>
            <w:tcW w:type="dxa" w:w="136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8% / 5%</w:t>
            </w:r>
          </w:p>
        </w:tc>
        <w:tc>
          <w:tcPr>
            <w:tcW w:type="dxa" w:w="1400"/>
            <w:tcBorders>
              <w:top w:val="single" w:color="D1D5DB" w:sz="1"/>
              <w:left w:val="single" w:color="D1D5DB" w:sz="1"/>
              <w:bottom w:val="single" w:color="D1D5DB" w:sz="1"/>
              <w:right w:val="single" w:color="D1D5DB" w:sz="1"/>
            </w:tcBorders>
            <w:shd w:fill="E8F5E9"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Yes</w:t>
            </w:r>
          </w:p>
        </w:tc>
      </w:tr>
      <w:tr>
        <w:tc>
          <w:tcPr>
            <w:tcW w:type="dxa" w:w="1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bCs/>
                <w:color w:val="374151"/>
                <w:sz w:val="18"/>
                <w:szCs w:val="18"/>
              </w:rPr>
              <w:t xml:space="preserve">FXIFY</w:t>
            </w:r>
          </w:p>
        </w:tc>
        <w:tc>
          <w:tcPr>
            <w:tcW w:type="dxa" w:w="1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$100,000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~$399</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Static</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5%</w:t>
            </w:r>
          </w:p>
        </w:tc>
        <w:tc>
          <w:tcPr>
            <w:tcW w:type="dxa" w:w="1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Various</w:t>
            </w:r>
          </w:p>
        </w:tc>
        <w:tc>
          <w:tcPr>
            <w:tcW w:type="dxa" w:w="1400"/>
            <w:tcBorders>
              <w:top w:val="single" w:color="D1D5DB" w:sz="1"/>
              <w:left w:val="single" w:color="D1D5DB" w:sz="1"/>
              <w:bottom w:val="single" w:color="D1D5DB" w:sz="1"/>
              <w:right w:val="single" w:color="D1D5DB" w:sz="1"/>
            </w:tcBorders>
            <w:shd w:fill="E8F5E9"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Yes (MT4/5)</w:t>
            </w:r>
          </w:p>
        </w:tc>
      </w:tr>
      <w:tr>
        <w:tc>
          <w:tcPr>
            <w:tcW w:type="dxa" w:w="17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bCs/>
                <w:color w:val="374151"/>
                <w:sz w:val="18"/>
                <w:szCs w:val="18"/>
              </w:rPr>
              <w:t xml:space="preserve">E8 Markets</w:t>
            </w:r>
          </w:p>
        </w:tc>
        <w:tc>
          <w:tcPr>
            <w:tcW w:type="dxa" w:w="11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$100,000</w:t>
            </w:r>
          </w:p>
        </w:tc>
        <w:tc>
          <w:tcPr>
            <w:tcW w:type="dxa" w:w="12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~$388</w:t>
            </w:r>
          </w:p>
        </w:tc>
        <w:tc>
          <w:tcPr>
            <w:tcW w:type="dxa" w:w="14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Static 4–5%</w:t>
            </w:r>
          </w:p>
        </w:tc>
        <w:tc>
          <w:tcPr>
            <w:tcW w:type="dxa" w:w="12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4–5%</w:t>
            </w:r>
          </w:p>
        </w:tc>
        <w:tc>
          <w:tcPr>
            <w:tcW w:type="dxa" w:w="136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Configurable</w:t>
            </w:r>
          </w:p>
        </w:tc>
        <w:tc>
          <w:tcPr>
            <w:tcW w:type="dxa" w:w="1400"/>
            <w:tcBorders>
              <w:top w:val="single" w:color="D1D5DB" w:sz="1"/>
              <w:left w:val="single" w:color="D1D5DB" w:sz="1"/>
              <w:bottom w:val="single" w:color="D1D5DB" w:sz="1"/>
              <w:right w:val="single" w:color="D1D5DB" w:sz="1"/>
            </w:tcBorders>
            <w:shd w:fill="E8F5E9"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Yes</w:t>
            </w:r>
          </w:p>
        </w:tc>
      </w:tr>
    </w:tbl>
    <w:p>
      <w:pPr>
        <w:spacing w:after="40" w:before="40"/>
      </w:pPr>
    </w:p>
    <w:p>
      <w:pPr>
        <w:pStyle w:val="Heading2"/>
        <w:spacing w:after="160" w:before="280"/>
      </w:pPr>
      <w:r>
        <w:rPr>
          <w:rFonts w:ascii="Arial" w:cs="Arial" w:eastAsia="Arial" w:hAnsi="Arial"/>
          <w:b/>
          <w:bCs/>
          <w:color w:val="0F3460"/>
          <w:sz w:val="26"/>
          <w:szCs w:val="26"/>
        </w:rPr>
        <w:t xml:space="preserve">2.3 Futures Track (Parallel)</w:t>
      </w:r>
    </w:p>
    <w:p>
      <w:pPr>
        <w:spacing w:after="160" w:line="276"/>
      </w:pPr>
      <w:r>
        <w:rPr>
          <w:rFonts w:ascii="Arial" w:cs="Arial" w:eastAsia="Arial" w:hAnsi="Arial"/>
          <w:color w:val="374151"/>
          <w:sz w:val="21"/>
          <w:szCs w:val="21"/>
        </w:rPr>
        <w:t xml:space="preserve">Futures prop firms operate on different platforms (Rithmic/Tradovate) and use different drawdown models. The system should target these in parallel with forex/crypto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200"/>
        <w:gridCol w:w="1600"/>
        <w:gridCol w:w="1200"/>
        <w:gridCol w:w="1060"/>
        <w:gridCol w:w="1400"/>
      </w:tblGrid>
      <w:tr>
        <w:tc>
          <w:tcPr>
            <w:tcW w:type="dxa" w:w="18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Firm</w:t>
            </w:r>
          </w:p>
        </w:tc>
        <w:tc>
          <w:tcPr>
            <w:tcW w:type="dxa" w:w="11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Account</w:t>
            </w:r>
          </w:p>
        </w:tc>
        <w:tc>
          <w:tcPr>
            <w:tcW w:type="dxa" w:w="1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Eval Fee</w:t>
            </w:r>
          </w:p>
        </w:tc>
        <w:tc>
          <w:tcPr>
            <w:tcW w:type="dxa" w:w="16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Drawdown Type</w:t>
            </w:r>
          </w:p>
        </w:tc>
        <w:tc>
          <w:tcPr>
            <w:tcW w:type="dxa" w:w="1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Daily Loss</w:t>
            </w:r>
          </w:p>
        </w:tc>
        <w:tc>
          <w:tcPr>
            <w:tcW w:type="dxa" w:w="10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c>
          <w:tcPr>
            <w:tcW w:type="dxa" w:w="1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EAs OK?</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bCs/>
                <w:color w:val="374151"/>
                <w:sz w:val="18"/>
                <w:szCs w:val="18"/>
              </w:rPr>
              <w:t xml:space="preserve">Apex Trader</w:t>
            </w:r>
          </w:p>
        </w:tc>
        <w:tc>
          <w:tcPr>
            <w:tcW w:type="dxa" w:w="1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$50,000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~$35 eval</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Trailing EOD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None</w:t>
            </w:r>
          </w:p>
        </w:tc>
        <w:tc>
          <w:tcPr>
            <w:tcW w:type="dxa" w:w="1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$3,000</w:t>
            </w:r>
          </w:p>
        </w:tc>
        <w:tc>
          <w:tcPr>
            <w:tcW w:type="dxa" w:w="1400"/>
            <w:tcBorders>
              <w:top w:val="single" w:color="D1D5DB" w:sz="1"/>
              <w:left w:val="single" w:color="D1D5DB" w:sz="1"/>
              <w:bottom w:val="single" w:color="D1D5DB" w:sz="1"/>
              <w:right w:val="single" w:color="D1D5DB" w:sz="1"/>
            </w:tcBorders>
            <w:shd w:fill="E8F5E9"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Yes</w:t>
            </w:r>
          </w:p>
        </w:tc>
      </w:tr>
      <w:tr>
        <w:tc>
          <w:tcPr>
            <w:tcW w:type="dxa" w:w="18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bCs/>
                <w:color w:val="374151"/>
                <w:sz w:val="18"/>
                <w:szCs w:val="18"/>
              </w:rPr>
              <w:t xml:space="preserve">TopStep</w:t>
            </w:r>
          </w:p>
        </w:tc>
        <w:tc>
          <w:tcPr>
            <w:tcW w:type="dxa" w:w="11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$50,000</w:t>
            </w:r>
          </w:p>
        </w:tc>
        <w:tc>
          <w:tcPr>
            <w:tcW w:type="dxa" w:w="12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~$49/mo</w:t>
            </w:r>
          </w:p>
        </w:tc>
        <w:tc>
          <w:tcPr>
            <w:tcW w:type="dxa" w:w="16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Trailing EOD</w:t>
            </w:r>
          </w:p>
        </w:tc>
        <w:tc>
          <w:tcPr>
            <w:tcW w:type="dxa" w:w="12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2%</w:t>
            </w:r>
          </w:p>
        </w:tc>
        <w:tc>
          <w:tcPr>
            <w:tcW w:type="dxa" w:w="106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$3,000</w:t>
            </w:r>
          </w:p>
        </w:tc>
        <w:tc>
          <w:tcPr>
            <w:tcW w:type="dxa" w:w="1400"/>
            <w:tcBorders>
              <w:top w:val="single" w:color="D1D5DB" w:sz="1"/>
              <w:left w:val="single" w:color="D1D5DB" w:sz="1"/>
              <w:bottom w:val="single" w:color="D1D5DB" w:sz="1"/>
              <w:right w:val="single" w:color="D1D5DB" w:sz="1"/>
            </w:tcBorders>
            <w:shd w:fill="E8F5E9"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bCs/>
                <w:color w:val="374151"/>
                <w:sz w:val="18"/>
                <w:szCs w:val="18"/>
              </w:rPr>
              <w:t xml:space="preserve">My Funded Futures</w:t>
            </w:r>
          </w:p>
        </w:tc>
        <w:tc>
          <w:tcPr>
            <w:tcW w:type="dxa" w:w="1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$50,000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~$50–100</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Static (funded)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Varies</w:t>
            </w:r>
          </w:p>
        </w:tc>
        <w:tc>
          <w:tcPr>
            <w:tcW w:type="dxa" w:w="1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$3,000</w:t>
            </w:r>
          </w:p>
        </w:tc>
        <w:tc>
          <w:tcPr>
            <w:tcW w:type="dxa" w:w="1400"/>
            <w:tcBorders>
              <w:top w:val="single" w:color="D1D5DB" w:sz="1"/>
              <w:left w:val="single" w:color="D1D5DB" w:sz="1"/>
              <w:bottom w:val="single" w:color="D1D5DB" w:sz="1"/>
              <w:right w:val="single" w:color="D1D5DB" w:sz="1"/>
            </w:tcBorders>
            <w:shd w:fill="E8F5E9"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Yes</w:t>
            </w:r>
          </w:p>
        </w:tc>
      </w:tr>
    </w:tbl>
    <w:p>
      <w:r>
        <w:br w:type="page"/>
      </w:r>
    </w:p>
    <w:p>
      <w:pPr>
        <w:pStyle w:val="Heading1"/>
        <w:spacing w:after="200" w:before="360"/>
      </w:pPr>
      <w:r>
        <w:rPr>
          <w:rFonts w:ascii="Arial" w:cs="Arial" w:eastAsia="Arial" w:hAnsi="Arial"/>
          <w:b/>
          <w:bCs/>
          <w:color w:val="1A1A2E"/>
          <w:sz w:val="32"/>
          <w:szCs w:val="32"/>
        </w:rPr>
        <w:t xml:space="preserve">3. Drawdown Rule Engine Specification</w:t>
      </w:r>
    </w:p>
    <w:p>
      <w:pPr>
        <w:pBdr>
          <w:bottom w:val="single" w:color="E94560" w:sz="4" w:space="1"/>
        </w:pBdr>
        <w:spacing w:after="80" w:before="80"/>
      </w:pPr>
    </w:p>
    <w:p>
      <w:pPr>
        <w:spacing w:after="160" w:line="276"/>
      </w:pPr>
      <w:r>
        <w:rPr>
          <w:rFonts w:ascii="Arial" w:cs="Arial" w:eastAsia="Arial" w:hAnsi="Arial"/>
          <w:color w:val="374151"/>
          <w:sz w:val="21"/>
          <w:szCs w:val="21"/>
        </w:rPr>
        <w:t xml:space="preserve">Every prop firm’s rules must be codified into a machine-readable profile that the deterministic execution engine loads at startup. This is the single most critical piece of the system — a rule miscalculation means instant account termination.</w:t>
      </w:r>
    </w:p>
    <w:p>
      <w:pPr>
        <w:pStyle w:val="Heading2"/>
        <w:spacing w:after="160" w:before="280"/>
      </w:pPr>
      <w:r>
        <w:rPr>
          <w:rFonts w:ascii="Arial" w:cs="Arial" w:eastAsia="Arial" w:hAnsi="Arial"/>
          <w:b/>
          <w:bCs/>
          <w:color w:val="0F3460"/>
          <w:sz w:val="26"/>
          <w:szCs w:val="26"/>
        </w:rPr>
        <w:t xml:space="preserve">3.1 Drawdown Models (Hardcoded Logic)</w:t>
      </w:r>
    </w:p>
    <w:p>
      <w:pPr>
        <w:spacing w:after="120" w:before="200"/>
      </w:pPr>
      <w:r>
        <w:rPr>
          <w:rFonts w:ascii="Arial" w:cs="Arial" w:eastAsia="Arial" w:hAnsi="Arial"/>
          <w:b/>
          <w:bCs/>
          <w:color w:val="1A1A2E"/>
          <w:sz w:val="22"/>
          <w:szCs w:val="22"/>
        </w:rPr>
        <w:t xml:space="preserve">Static Drawdown (FTMO, FundedNext, FXIFY)</w:t>
      </w:r>
    </w:p>
    <w:p>
      <w:pPr>
        <w:spacing w:after="160" w:line="276"/>
      </w:pPr>
      <w:r>
        <w:rPr>
          <w:rFonts w:ascii="Arial" w:cs="Arial" w:eastAsia="Arial" w:hAnsi="Arial"/>
          <w:color w:val="374151"/>
          <w:sz w:val="21"/>
          <w:szCs w:val="21"/>
        </w:rPr>
        <w:t xml:space="preserve">The floor is calculated once from the initial balance and never moves. This is the most forgiving model and the primary target for our system.</w:t>
      </w:r>
    </w:p>
    <w:p>
      <w:pPr>
        <w:pStyle w:val="ListParagraph"/>
        <w:numPr>
          <w:ilvl w:val="0"/>
          <w:numId w:val="2"/>
        </w:numPr>
        <w:spacing w:after="80" w:line="276"/>
      </w:pPr>
      <w:r>
        <w:rPr>
          <w:rFonts w:ascii="Arial" w:cs="Arial" w:eastAsia="Arial" w:hAnsi="Arial"/>
          <w:b/>
          <w:bCs/>
          <w:color w:val="1A1A2E"/>
          <w:sz w:val="21"/>
          <w:szCs w:val="21"/>
        </w:rPr>
        <w:t xml:space="preserve">Calculation: </w:t>
      </w:r>
      <w:r>
        <w:rPr>
          <w:rFonts w:ascii="Arial" w:cs="Arial" w:eastAsia="Arial" w:hAnsi="Arial"/>
          <w:color w:val="374151"/>
          <w:sz w:val="21"/>
          <w:szCs w:val="21"/>
        </w:rPr>
        <w:t xml:space="preserve">floor = initial_balance × (1 – max_drawdown_pct)</w:t>
      </w:r>
    </w:p>
    <w:p>
      <w:pPr>
        <w:pStyle w:val="ListParagraph"/>
        <w:numPr>
          <w:ilvl w:val="0"/>
          <w:numId w:val="2"/>
        </w:numPr>
        <w:spacing w:after="80" w:line="276"/>
      </w:pPr>
      <w:r>
        <w:rPr>
          <w:rFonts w:ascii="Arial" w:cs="Arial" w:eastAsia="Arial" w:hAnsi="Arial"/>
          <w:b/>
          <w:bCs/>
          <w:color w:val="1A1A2E"/>
          <w:sz w:val="21"/>
          <w:szCs w:val="21"/>
        </w:rPr>
        <w:t xml:space="preserve">Example: </w:t>
      </w:r>
      <w:r>
        <w:rPr>
          <w:rFonts w:ascii="Arial" w:cs="Arial" w:eastAsia="Arial" w:hAnsi="Arial"/>
          <w:color w:val="374151"/>
          <w:sz w:val="21"/>
          <w:szCs w:val="21"/>
        </w:rPr>
        <w:t xml:space="preserve">$100K account, 10% max DD → floor = $90,000. If account grows to $115K, floor is still $90K. Buffer is now $25K.</w:t>
      </w:r>
    </w:p>
    <w:p>
      <w:pPr>
        <w:pStyle w:val="ListParagraph"/>
        <w:numPr>
          <w:ilvl w:val="0"/>
          <w:numId w:val="2"/>
        </w:numPr>
        <w:spacing w:after="80" w:line="276"/>
      </w:pPr>
      <w:r>
        <w:rPr>
          <w:rFonts w:ascii="Arial" w:cs="Arial" w:eastAsia="Arial" w:hAnsi="Arial"/>
          <w:b/>
          <w:bCs/>
          <w:color w:val="1A1A2E"/>
          <w:sz w:val="21"/>
          <w:szCs w:val="21"/>
        </w:rPr>
        <w:t xml:space="preserve">Engine behavior: </w:t>
      </w:r>
      <w:r>
        <w:rPr>
          <w:rFonts w:ascii="Arial" w:cs="Arial" w:eastAsia="Arial" w:hAnsi="Arial"/>
          <w:color w:val="374151"/>
          <w:sz w:val="21"/>
          <w:szCs w:val="21"/>
        </w:rPr>
        <w:t xml:space="preserve">Monitor equity vs. floor. At 80% consumed (equity = $92K), reduce position sizes by 50%. At 90% consumed ($91K), full lockout.</w:t>
      </w:r>
    </w:p>
    <w:p>
      <w:pPr>
        <w:spacing w:after="40" w:before="40"/>
      </w:pPr>
    </w:p>
    <w:p>
      <w:pPr>
        <w:spacing w:after="120" w:before="200"/>
      </w:pPr>
      <w:r>
        <w:rPr>
          <w:rFonts w:ascii="Arial" w:cs="Arial" w:eastAsia="Arial" w:hAnsi="Arial"/>
          <w:b/>
          <w:bCs/>
          <w:color w:val="1A1A2E"/>
          <w:sz w:val="22"/>
          <w:szCs w:val="22"/>
        </w:rPr>
        <w:t xml:space="preserve">Trailing Drawdown (TopStep, Apex)</w:t>
      </w:r>
    </w:p>
    <w:p>
      <w:pPr>
        <w:spacing w:after="160" w:line="276"/>
      </w:pPr>
      <w:r>
        <w:rPr>
          <w:rFonts w:ascii="Arial" w:cs="Arial" w:eastAsia="Arial" w:hAnsi="Arial"/>
          <w:color w:val="374151"/>
          <w:sz w:val="21"/>
          <w:szCs w:val="21"/>
        </w:rPr>
        <w:t xml:space="preserve">The floor moves up as equity grows. Early profits create an illusion of safety while the actual margin for error stays constant or shrinks. This model requires significantly more conservative position sizing.</w:t>
      </w:r>
    </w:p>
    <w:p>
      <w:pPr>
        <w:pStyle w:val="ListParagraph"/>
        <w:numPr>
          <w:ilvl w:val="0"/>
          <w:numId w:val="2"/>
        </w:numPr>
        <w:spacing w:after="80" w:line="276"/>
      </w:pPr>
      <w:r>
        <w:rPr>
          <w:rFonts w:ascii="Arial" w:cs="Arial" w:eastAsia="Arial" w:hAnsi="Arial"/>
          <w:b/>
          <w:bCs/>
          <w:color w:val="1A1A2E"/>
          <w:sz w:val="21"/>
          <w:szCs w:val="21"/>
        </w:rPr>
        <w:t xml:space="preserve">Calculation: </w:t>
      </w:r>
      <w:r>
        <w:rPr>
          <w:rFonts w:ascii="Arial" w:cs="Arial" w:eastAsia="Arial" w:hAnsi="Arial"/>
          <w:color w:val="374151"/>
          <w:sz w:val="21"/>
          <w:szCs w:val="21"/>
        </w:rPr>
        <w:t xml:space="preserve">floor = max(initial_floor, peak_equity – trail_amount). Recalculated at end-of-day (EOD) for most firms.</w:t>
      </w:r>
    </w:p>
    <w:p>
      <w:pPr>
        <w:pStyle w:val="ListParagraph"/>
        <w:numPr>
          <w:ilvl w:val="0"/>
          <w:numId w:val="2"/>
        </w:numPr>
        <w:spacing w:after="80" w:line="276"/>
      </w:pPr>
      <w:r>
        <w:rPr>
          <w:rFonts w:ascii="Arial" w:cs="Arial" w:eastAsia="Arial" w:hAnsi="Arial"/>
          <w:b/>
          <w:bCs/>
          <w:color w:val="1A1A2E"/>
          <w:sz w:val="21"/>
          <w:szCs w:val="21"/>
        </w:rPr>
        <w:t xml:space="preserve">Example: </w:t>
      </w:r>
      <w:r>
        <w:rPr>
          <w:rFonts w:ascii="Arial" w:cs="Arial" w:eastAsia="Arial" w:hAnsi="Arial"/>
          <w:color w:val="374151"/>
          <w:sz w:val="21"/>
          <w:szCs w:val="21"/>
        </w:rPr>
        <w:t xml:space="preserve">$50K account, $3K trail. Initial floor = $47K. Account grows to $56K → floor moves to $53K. Buffer is still only $3K despite $6K in profits.</w:t>
      </w:r>
    </w:p>
    <w:p>
      <w:pPr>
        <w:pStyle w:val="ListParagraph"/>
        <w:numPr>
          <w:ilvl w:val="0"/>
          <w:numId w:val="2"/>
        </w:numPr>
        <w:spacing w:after="80" w:line="276"/>
      </w:pPr>
      <w:r>
        <w:rPr>
          <w:rFonts w:ascii="Arial" w:cs="Arial" w:eastAsia="Arial" w:hAnsi="Arial"/>
          <w:b/>
          <w:bCs/>
          <w:color w:val="1A1A2E"/>
          <w:sz w:val="21"/>
          <w:szCs w:val="21"/>
        </w:rPr>
        <w:t xml:space="preserve">Engine behavior: </w:t>
      </w:r>
      <w:r>
        <w:rPr>
          <w:rFonts w:ascii="Arial" w:cs="Arial" w:eastAsia="Arial" w:hAnsi="Arial"/>
          <w:color w:val="374151"/>
          <w:sz w:val="21"/>
          <w:szCs w:val="21"/>
        </w:rPr>
        <w:t xml:space="preserve">Track peak equity at EOD. Recalculate floor. Position sizing must be based on trail_amount remaining, not account balance. Hard cap risk per trade at 0.3% of initial balance for trailing accounts.</w:t>
      </w:r>
    </w:p>
    <w:p>
      <w:pPr>
        <w:pStyle w:val="ListParagraph"/>
        <w:numPr>
          <w:ilvl w:val="0"/>
          <w:numId w:val="2"/>
        </w:numPr>
        <w:spacing w:after="80" w:line="276"/>
      </w:pPr>
      <w:r>
        <w:rPr>
          <w:rFonts w:ascii="Arial" w:cs="Arial" w:eastAsia="Arial" w:hAnsi="Arial"/>
          <w:b/>
          <w:bCs/>
          <w:color w:val="1A1A2E"/>
          <w:sz w:val="21"/>
          <w:szCs w:val="21"/>
        </w:rPr>
        <w:t xml:space="preserve">Lock mechanism: </w:t>
      </w:r>
      <w:r>
        <w:rPr>
          <w:rFonts w:ascii="Arial" w:cs="Arial" w:eastAsia="Arial" w:hAnsi="Arial"/>
          <w:color w:val="374151"/>
          <w:sz w:val="21"/>
          <w:szCs w:val="21"/>
        </w:rPr>
        <w:t xml:space="preserve">Some firms (TopStep) lock the floor at breakeven once account reaches a certain threshold above start. Engine must detect and apply this.</w:t>
      </w:r>
    </w:p>
    <w:p>
      <w:pPr>
        <w:spacing w:after="40" w:before="40"/>
      </w:pPr>
    </w:p>
    <w:p>
      <w:pPr>
        <w:spacing w:after="120" w:before="200"/>
      </w:pPr>
      <w:r>
        <w:rPr>
          <w:rFonts w:ascii="Arial" w:cs="Arial" w:eastAsia="Arial" w:hAnsi="Arial"/>
          <w:b/>
          <w:bCs/>
          <w:color w:val="1A1A2E"/>
          <w:sz w:val="22"/>
          <w:szCs w:val="22"/>
        </w:rPr>
        <w:t xml:space="preserve">Daily Loss Limit</w:t>
      </w:r>
    </w:p>
    <w:p>
      <w:pPr>
        <w:spacing w:after="160" w:line="276"/>
      </w:pPr>
      <w:r>
        <w:rPr>
          <w:rFonts w:ascii="Arial" w:cs="Arial" w:eastAsia="Arial" w:hAnsi="Arial"/>
          <w:color w:val="374151"/>
          <w:sz w:val="21"/>
          <w:szCs w:val="21"/>
        </w:rPr>
        <w:t xml:space="preserve">Resets each trading day (typically midnight server time). This is the rule that catches the most traders off guard because it includes unrealized (floating) losses on open positions.</w:t>
      </w:r>
    </w:p>
    <w:p>
      <w:pPr>
        <w:pStyle w:val="ListParagraph"/>
        <w:numPr>
          <w:ilvl w:val="0"/>
          <w:numId w:val="2"/>
        </w:numPr>
        <w:spacing w:after="80" w:line="276"/>
      </w:pPr>
      <w:r>
        <w:rPr>
          <w:rFonts w:ascii="Arial" w:cs="Arial" w:eastAsia="Arial" w:hAnsi="Arial"/>
          <w:b/>
          <w:bCs/>
          <w:color w:val="1A1A2E"/>
          <w:sz w:val="21"/>
          <w:szCs w:val="21"/>
        </w:rPr>
        <w:t xml:space="preserve">Static daily: </w:t>
      </w:r>
      <w:r>
        <w:rPr>
          <w:rFonts w:ascii="Arial" w:cs="Arial" w:eastAsia="Arial" w:hAnsi="Arial"/>
          <w:color w:val="374151"/>
          <w:sz w:val="21"/>
          <w:szCs w:val="21"/>
        </w:rPr>
        <w:t xml:space="preserve">5% of initial balance, fixed. Used by FTMO ($5K on $100K account).</w:t>
      </w:r>
    </w:p>
    <w:p>
      <w:pPr>
        <w:pStyle w:val="ListParagraph"/>
        <w:numPr>
          <w:ilvl w:val="0"/>
          <w:numId w:val="2"/>
        </w:numPr>
        <w:spacing w:after="80" w:line="276"/>
      </w:pPr>
      <w:r>
        <w:rPr>
          <w:rFonts w:ascii="Arial" w:cs="Arial" w:eastAsia="Arial" w:hAnsi="Arial"/>
          <w:b/>
          <w:bCs/>
          <w:color w:val="1A1A2E"/>
          <w:sz w:val="21"/>
          <w:szCs w:val="21"/>
        </w:rPr>
        <w:t xml:space="preserve">Dynamic daily: </w:t>
      </w:r>
      <w:r>
        <w:rPr>
          <w:rFonts w:ascii="Arial" w:cs="Arial" w:eastAsia="Arial" w:hAnsi="Arial"/>
          <w:color w:val="374151"/>
          <w:sz w:val="21"/>
          <w:szCs w:val="21"/>
        </w:rPr>
        <w:t xml:space="preserve">5% of current balance at day reset. If account grew to $108K, daily limit is $5,400. Used by some FTMO conditions.</w:t>
      </w:r>
    </w:p>
    <w:p>
      <w:pPr>
        <w:pStyle w:val="ListParagraph"/>
        <w:numPr>
          <w:ilvl w:val="0"/>
          <w:numId w:val="2"/>
        </w:numPr>
        <w:spacing w:after="80" w:line="276"/>
      </w:pPr>
      <w:r>
        <w:rPr>
          <w:rFonts w:ascii="Arial" w:cs="Arial" w:eastAsia="Arial" w:hAnsi="Arial"/>
          <w:b/>
          <w:bCs/>
          <w:color w:val="1A1A2E"/>
          <w:sz w:val="21"/>
          <w:szCs w:val="21"/>
        </w:rPr>
        <w:t xml:space="preserve">Engine behavior: </w:t>
      </w:r>
      <w:r>
        <w:rPr>
          <w:rFonts w:ascii="Arial" w:cs="Arial" w:eastAsia="Arial" w:hAnsi="Arial"/>
          <w:color w:val="374151"/>
          <w:sz w:val="21"/>
          <w:szCs w:val="21"/>
        </w:rPr>
        <w:t xml:space="preserve">At market open, calculate daily_limit = balance_at_reset × daily_loss_pct. Track all closed P&amp;L + floating P&amp;L in real-time. At 70% consumed, no new positions. At 85% consumed, flatten all.</w:t>
      </w:r>
    </w:p>
    <w:p>
      <w:pPr>
        <w:pStyle w:val="Heading2"/>
        <w:spacing w:after="160" w:before="280"/>
      </w:pPr>
      <w:r>
        <w:rPr>
          <w:rFonts w:ascii="Arial" w:cs="Arial" w:eastAsia="Arial" w:hAnsi="Arial"/>
          <w:b/>
          <w:bCs/>
          <w:color w:val="0F3460"/>
          <w:sz w:val="26"/>
          <w:szCs w:val="26"/>
        </w:rPr>
        <w:t xml:space="preserve">3.2 Firm Profile Schema</w:t>
      </w:r>
    </w:p>
    <w:p>
      <w:pPr>
        <w:spacing w:after="160" w:line="276"/>
      </w:pPr>
      <w:r>
        <w:rPr>
          <w:rFonts w:ascii="Arial" w:cs="Arial" w:eastAsia="Arial" w:hAnsi="Arial"/>
          <w:color w:val="374151"/>
          <w:sz w:val="21"/>
          <w:szCs w:val="21"/>
        </w:rPr>
        <w:t xml:space="preserve">Each prop firm is represented as a JSON configuration loaded by the execution engine. New firms can be onboarded by generating a new profile (Claude API assists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22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3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bCs/>
                <w:color w:val="374151"/>
                <w:sz w:val="18"/>
                <w:szCs w:val="18"/>
              </w:rPr>
              <w:t xml:space="preserve">firm_id</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string</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Unique identifier (e.g., "ftmo_100k_phase1")</w:t>
            </w:r>
          </w:p>
        </w:tc>
      </w:tr>
      <w:tr>
        <w:tc>
          <w:tcPr>
            <w:tcW w:type="dxa" w:w="28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bCs/>
                <w:color w:val="374151"/>
                <w:sz w:val="18"/>
                <w:szCs w:val="18"/>
              </w:rPr>
              <w:t xml:space="preserve">max_drawdown_pct</w:t>
            </w:r>
          </w:p>
        </w:tc>
        <w:tc>
          <w:tcPr>
            <w:tcW w:type="dxa" w:w="22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float</w:t>
            </w:r>
          </w:p>
        </w:tc>
        <w:tc>
          <w:tcPr>
            <w:tcW w:type="dxa" w:w="436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Maximum drawdown as decimal (0.10 = 10%)</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bCs/>
                <w:color w:val="374151"/>
                <w:sz w:val="18"/>
                <w:szCs w:val="18"/>
              </w:rPr>
              <w:t xml:space="preserve">drawdown_model</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enum</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"static" | "trailing_eod" | "trailing_realtime"</w:t>
            </w:r>
          </w:p>
        </w:tc>
      </w:tr>
      <w:tr>
        <w:tc>
          <w:tcPr>
            <w:tcW w:type="dxa" w:w="28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bCs/>
                <w:color w:val="374151"/>
                <w:sz w:val="18"/>
                <w:szCs w:val="18"/>
              </w:rPr>
              <w:t xml:space="preserve">daily_loss_pct</w:t>
            </w:r>
          </w:p>
        </w:tc>
        <w:tc>
          <w:tcPr>
            <w:tcW w:type="dxa" w:w="22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float | null</w:t>
            </w:r>
          </w:p>
        </w:tc>
        <w:tc>
          <w:tcPr>
            <w:tcW w:type="dxa" w:w="436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Daily loss limit. Null if no daily limit.</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bCs/>
                <w:color w:val="374151"/>
                <w:sz w:val="18"/>
                <w:szCs w:val="18"/>
              </w:rPr>
              <w:t xml:space="preserve">daily_loss_basis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enum</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"initial_balance" | "current_balance" | "equity_at_reset"</w:t>
            </w:r>
          </w:p>
        </w:tc>
      </w:tr>
      <w:tr>
        <w:tc>
          <w:tcPr>
            <w:tcW w:type="dxa" w:w="28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bCs/>
                <w:color w:val="374151"/>
                <w:sz w:val="18"/>
                <w:szCs w:val="18"/>
              </w:rPr>
              <w:t xml:space="preserve">daily_reset_utc</w:t>
            </w:r>
          </w:p>
        </w:tc>
        <w:tc>
          <w:tcPr>
            <w:tcW w:type="dxa" w:w="22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string</w:t>
            </w:r>
          </w:p>
        </w:tc>
        <w:tc>
          <w:tcPr>
            <w:tcW w:type="dxa" w:w="436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Time daily limit resets (e.g., "23:00" for CET midnight)</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bCs/>
                <w:color w:val="374151"/>
                <w:sz w:val="18"/>
                <w:szCs w:val="18"/>
              </w:rPr>
              <w:t xml:space="preserve">profit_target_pct</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float</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Phase profit target as decimal</w:t>
            </w:r>
          </w:p>
        </w:tc>
      </w:tr>
      <w:tr>
        <w:tc>
          <w:tcPr>
            <w:tcW w:type="dxa" w:w="28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bCs/>
                <w:color w:val="374151"/>
                <w:sz w:val="18"/>
                <w:szCs w:val="18"/>
              </w:rPr>
              <w:t xml:space="preserve">min_trading_days</w:t>
            </w:r>
          </w:p>
        </w:tc>
        <w:tc>
          <w:tcPr>
            <w:tcW w:type="dxa" w:w="22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int</w:t>
            </w:r>
          </w:p>
        </w:tc>
        <w:tc>
          <w:tcPr>
            <w:tcW w:type="dxa" w:w="436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Minimum days with at least 1 trade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bCs/>
                <w:color w:val="374151"/>
                <w:sz w:val="18"/>
                <w:szCs w:val="18"/>
              </w:rPr>
              <w:t xml:space="preserve">max_trading_days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int | null</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Maximum calendar days. Null = unlimited.</w:t>
            </w:r>
          </w:p>
        </w:tc>
      </w:tr>
      <w:tr>
        <w:tc>
          <w:tcPr>
            <w:tcW w:type="dxa" w:w="28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bCs/>
                <w:color w:val="374151"/>
                <w:sz w:val="18"/>
                <w:szCs w:val="18"/>
              </w:rPr>
              <w:t xml:space="preserve">consistency_rule_pct</w:t>
            </w:r>
          </w:p>
        </w:tc>
        <w:tc>
          <w:tcPr>
            <w:tcW w:type="dxa" w:w="22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float | null</w:t>
            </w:r>
          </w:p>
        </w:tc>
        <w:tc>
          <w:tcPr>
            <w:tcW w:type="dxa" w:w="436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Max single-day profit as % of total. Null = none.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bCs/>
                <w:color w:val="374151"/>
                <w:sz w:val="18"/>
                <w:szCs w:val="18"/>
              </w:rPr>
              <w:t xml:space="preserve">news_blackout_mins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int</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Minutes before/after high-impact news. 0 = allowed.</w:t>
            </w:r>
          </w:p>
        </w:tc>
      </w:tr>
      <w:tr>
        <w:tc>
          <w:tcPr>
            <w:tcW w:type="dxa" w:w="28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bCs/>
                <w:color w:val="374151"/>
                <w:sz w:val="18"/>
                <w:szCs w:val="18"/>
              </w:rPr>
              <w:t xml:space="preserve">weekend_holding</w:t>
            </w:r>
          </w:p>
        </w:tc>
        <w:tc>
          <w:tcPr>
            <w:tcW w:type="dxa" w:w="22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bool</w:t>
            </w:r>
          </w:p>
        </w:tc>
        <w:tc>
          <w:tcPr>
            <w:tcW w:type="dxa" w:w="436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Whether positions can be held over weekends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bCs/>
                <w:color w:val="374151"/>
                <w:sz w:val="18"/>
                <w:szCs w:val="18"/>
              </w:rPr>
              <w:t xml:space="preserve">ea_allowed</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bool</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Whether automated trading is permitted</w:t>
            </w:r>
          </w:p>
        </w:tc>
      </w:tr>
      <w:tr>
        <w:tc>
          <w:tcPr>
            <w:tcW w:type="dxa" w:w="28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bCs/>
                <w:color w:val="374151"/>
                <w:sz w:val="18"/>
                <w:szCs w:val="18"/>
              </w:rPr>
              <w:t xml:space="preserve">platform</w:t>
            </w:r>
          </w:p>
        </w:tc>
        <w:tc>
          <w:tcPr>
            <w:tcW w:type="dxa" w:w="22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string</w:t>
            </w:r>
          </w:p>
        </w:tc>
        <w:tc>
          <w:tcPr>
            <w:tcW w:type="dxa" w:w="436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"mt4" | "mt5" | "ctrader" | "tradovate" | "rithmic"</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bCs/>
                <w:color w:val="374151"/>
                <w:sz w:val="18"/>
                <w:szCs w:val="18"/>
              </w:rPr>
              <w:t xml:space="preserve">profit_split_pct</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float</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Trader profit split as decimal (0.80 = 80%)</w:t>
            </w:r>
          </w:p>
        </w:tc>
      </w:tr>
      <w:tr>
        <w:tc>
          <w:tcPr>
            <w:tcW w:type="dxa" w:w="28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bCs/>
                <w:color w:val="374151"/>
                <w:sz w:val="18"/>
                <w:szCs w:val="18"/>
              </w:rPr>
              <w:t xml:space="preserve">scaling_cap</w:t>
            </w:r>
          </w:p>
        </w:tc>
        <w:tc>
          <w:tcPr>
            <w:tcW w:type="dxa" w:w="22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string</w:t>
            </w:r>
          </w:p>
        </w:tc>
        <w:tc>
          <w:tcPr>
            <w:tcW w:type="dxa" w:w="436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Maximum funded capital with scaling</w:t>
            </w:r>
          </w:p>
        </w:tc>
      </w:tr>
    </w:tbl>
    <w:p>
      <w:r>
        <w:br w:type="page"/>
      </w:r>
    </w:p>
    <w:p>
      <w:pPr>
        <w:pStyle w:val="Heading1"/>
        <w:spacing w:after="200" w:before="360"/>
      </w:pPr>
      <w:r>
        <w:rPr>
          <w:rFonts w:ascii="Arial" w:cs="Arial" w:eastAsia="Arial" w:hAnsi="Arial"/>
          <w:b/>
          <w:bCs/>
          <w:color w:val="1A1A2E"/>
          <w:sz w:val="32"/>
          <w:szCs w:val="32"/>
        </w:rPr>
        <w:t xml:space="preserve">4. The 30-Day Execution Roadmap</w:t>
      </w:r>
    </w:p>
    <w:p>
      <w:pPr>
        <w:pBdr>
          <w:bottom w:val="single" w:color="E94560" w:sz="4" w:space="1"/>
        </w:pBdr>
        <w:spacing w:after="80" w:before="80"/>
      </w:pPr>
    </w:p>
    <w:p>
      <w:pPr>
        <w:spacing w:after="160" w:line="276"/>
      </w:pPr>
      <w:r>
        <w:rPr>
          <w:rFonts w:ascii="Arial" w:cs="Arial" w:eastAsia="Arial" w:hAnsi="Arial"/>
          <w:color w:val="374151"/>
          <w:sz w:val="21"/>
          <w:szCs w:val="21"/>
        </w:rPr>
        <w:t xml:space="preserve">This roadmap assumes you are building on the existing Ruflo smart-trader infrastructure with live data feeds already connected (Crypto.com, Alpaca, OANDA). The goal of the first 30 days is not to pass a prop firm challenge — it’s to build and validate the deterministic safety layer.</w:t>
      </w:r>
    </w:p>
    <w:p>
      <w:pPr>
        <w:pStyle w:val="Heading2"/>
        <w:spacing w:after="160" w:before="280"/>
      </w:pPr>
      <w:r>
        <w:rPr>
          <w:rFonts w:ascii="Arial" w:cs="Arial" w:eastAsia="Arial" w:hAnsi="Arial"/>
          <w:b/>
          <w:bCs/>
          <w:color w:val="0F3460"/>
          <w:sz w:val="26"/>
          <w:szCs w:val="26"/>
        </w:rPr>
        <w:t xml:space="preserve">Days 1–5: Deterministic Engine Core</w:t>
      </w:r>
    </w:p>
    <w:p>
      <w:pPr>
        <w:pStyle w:val="ListParagraph"/>
        <w:numPr>
          <w:ilvl w:val="0"/>
          <w:numId w:val="2"/>
        </w:numPr>
        <w:spacing w:after="80" w:line="276"/>
      </w:pPr>
      <w:r>
        <w:rPr>
          <w:rFonts w:ascii="Arial" w:cs="Arial" w:eastAsia="Arial" w:hAnsi="Arial"/>
          <w:b/>
          <w:bCs/>
          <w:color w:val="1A1A2E"/>
          <w:sz w:val="21"/>
          <w:szCs w:val="21"/>
        </w:rPr>
        <w:t xml:space="preserve">Day 1: </w:t>
      </w:r>
      <w:r>
        <w:rPr>
          <w:rFonts w:ascii="Arial" w:cs="Arial" w:eastAsia="Arial" w:hAnsi="Arial"/>
          <w:color w:val="374151"/>
          <w:sz w:val="21"/>
          <w:szCs w:val="21"/>
        </w:rPr>
        <w:t xml:space="preserve">Build the firm profile schema and loader. Create JSON profiles for OneFunded ($5K), FTMO ($100K), and TopStep ($50K) to cover all three drawdown models.</w:t>
      </w:r>
    </w:p>
    <w:p>
      <w:pPr>
        <w:pStyle w:val="ListParagraph"/>
        <w:numPr>
          <w:ilvl w:val="0"/>
          <w:numId w:val="2"/>
        </w:numPr>
        <w:spacing w:after="80" w:line="276"/>
      </w:pPr>
      <w:r>
        <w:rPr>
          <w:rFonts w:ascii="Arial" w:cs="Arial" w:eastAsia="Arial" w:hAnsi="Arial"/>
          <w:b/>
          <w:bCs/>
          <w:color w:val="1A1A2E"/>
          <w:sz w:val="21"/>
          <w:szCs w:val="21"/>
        </w:rPr>
        <w:t xml:space="preserve">Day 2: </w:t>
      </w:r>
      <w:r>
        <w:rPr>
          <w:rFonts w:ascii="Arial" w:cs="Arial" w:eastAsia="Arial" w:hAnsi="Arial"/>
          <w:color w:val="374151"/>
          <w:sz w:val="21"/>
          <w:szCs w:val="21"/>
        </w:rPr>
        <w:t xml:space="preserve">Implement the drawdown monitor module. Support static, trailing EOD, and trailing realtime. Write unit tests that simulate 500-trade sequences with known outcomes and verify the floor calculation is correct to the penny at every step.</w:t>
      </w:r>
    </w:p>
    <w:p>
      <w:pPr>
        <w:pStyle w:val="ListParagraph"/>
        <w:numPr>
          <w:ilvl w:val="0"/>
          <w:numId w:val="2"/>
        </w:numPr>
        <w:spacing w:after="80" w:line="276"/>
      </w:pPr>
      <w:r>
        <w:rPr>
          <w:rFonts w:ascii="Arial" w:cs="Arial" w:eastAsia="Arial" w:hAnsi="Arial"/>
          <w:b/>
          <w:bCs/>
          <w:color w:val="1A1A2E"/>
          <w:sz w:val="21"/>
          <w:szCs w:val="21"/>
        </w:rPr>
        <w:t xml:space="preserve">Day 3: </w:t>
      </w:r>
      <w:r>
        <w:rPr>
          <w:rFonts w:ascii="Arial" w:cs="Arial" w:eastAsia="Arial" w:hAnsi="Arial"/>
          <w:color w:val="374151"/>
          <w:sz w:val="21"/>
          <w:szCs w:val="21"/>
        </w:rPr>
        <w:t xml:space="preserve">Implement the daily loss limit monitor. Handle all three basis types (initial, current, equity-at-reset). Include floating P&amp;L tracking. Unit test with sequences that specifically test the edge case where floating losses breach the limit before any trade is closed.</w:t>
      </w:r>
    </w:p>
    <w:p>
      <w:pPr>
        <w:pStyle w:val="ListParagraph"/>
        <w:numPr>
          <w:ilvl w:val="0"/>
          <w:numId w:val="2"/>
        </w:numPr>
        <w:spacing w:after="80" w:line="276"/>
      </w:pPr>
      <w:r>
        <w:rPr>
          <w:rFonts w:ascii="Arial" w:cs="Arial" w:eastAsia="Arial" w:hAnsi="Arial"/>
          <w:b/>
          <w:bCs/>
          <w:color w:val="1A1A2E"/>
          <w:sz w:val="21"/>
          <w:szCs w:val="21"/>
        </w:rPr>
        <w:t xml:space="preserve">Day 4: </w:t>
      </w:r>
      <w:r>
        <w:rPr>
          <w:rFonts w:ascii="Arial" w:cs="Arial" w:eastAsia="Arial" w:hAnsi="Arial"/>
          <w:color w:val="374151"/>
          <w:sz w:val="21"/>
          <w:szCs w:val="21"/>
        </w:rPr>
        <w:t xml:space="preserve">Build the position sizer. Input: signal confidence, remaining daily headroom, remaining max drawdown headroom, current open exposure. Output: lot size. The sizer must never allow a position that could breach either limit even in a worst-case instant move (use ATR-based stop distance as the risk unit).</w:t>
      </w:r>
    </w:p>
    <w:p>
      <w:pPr>
        <w:pStyle w:val="ListParagraph"/>
        <w:numPr>
          <w:ilvl w:val="0"/>
          <w:numId w:val="2"/>
        </w:numPr>
        <w:spacing w:after="80" w:line="276"/>
      </w:pPr>
      <w:r>
        <w:rPr>
          <w:rFonts w:ascii="Arial" w:cs="Arial" w:eastAsia="Arial" w:hAnsi="Arial"/>
          <w:b/>
          <w:bCs/>
          <w:color w:val="1A1A2E"/>
          <w:sz w:val="21"/>
          <w:szCs w:val="21"/>
        </w:rPr>
        <w:t xml:space="preserve">Day 5: </w:t>
      </w:r>
      <w:r>
        <w:rPr>
          <w:rFonts w:ascii="Arial" w:cs="Arial" w:eastAsia="Arial" w:hAnsi="Arial"/>
          <w:color w:val="374151"/>
          <w:sz w:val="21"/>
          <w:szCs w:val="21"/>
        </w:rPr>
        <w:t xml:space="preserve">Build the kill switch and session manager. Test kill switch latency — from trigger condition to flat-all confirmation must be under 500ms on local execution. Integrate news calendar data for blackout enforcement.</w:t>
      </w:r>
    </w:p>
    <w:p>
      <w:pPr>
        <w:spacing w:after="40" w:before="40"/>
      </w:pPr>
    </w:p>
    <w:p>
      <w:pPr>
        <w:pStyle w:val="Heading2"/>
        <w:spacing w:after="160" w:before="280"/>
      </w:pPr>
      <w:r>
        <w:rPr>
          <w:rFonts w:ascii="Arial" w:cs="Arial" w:eastAsia="Arial" w:hAnsi="Arial"/>
          <w:b/>
          <w:bCs/>
          <w:color w:val="0F3460"/>
          <w:sz w:val="26"/>
          <w:szCs w:val="26"/>
        </w:rPr>
        <w:t xml:space="preserve">Days 6–12: Strategy Layer Integration</w:t>
      </w:r>
    </w:p>
    <w:p>
      <w:pPr>
        <w:pStyle w:val="ListParagraph"/>
        <w:numPr>
          <w:ilvl w:val="0"/>
          <w:numId w:val="2"/>
        </w:numPr>
        <w:spacing w:after="80" w:line="276"/>
      </w:pPr>
      <w:r>
        <w:rPr>
          <w:rFonts w:ascii="Arial" w:cs="Arial" w:eastAsia="Arial" w:hAnsi="Arial"/>
          <w:b/>
          <w:bCs/>
          <w:color w:val="1A1A2E"/>
          <w:sz w:val="21"/>
          <w:szCs w:val="21"/>
        </w:rPr>
        <w:t xml:space="preserve">Day 6–7: </w:t>
      </w:r>
      <w:r>
        <w:rPr>
          <w:rFonts w:ascii="Arial" w:cs="Arial" w:eastAsia="Arial" w:hAnsi="Arial"/>
          <w:color w:val="374151"/>
          <w:sz w:val="21"/>
          <w:szCs w:val="21"/>
        </w:rPr>
        <w:t xml:space="preserve">Set up Ollama with a quantized 7B/13B model for the market regime classifier. Train on labeled historical data: trending, ranging, volatile, low-liquidity. Validate classification accuracy on out-of-sample data. Target 75%+ accuracy.</w:t>
      </w:r>
    </w:p>
    <w:p>
      <w:pPr>
        <w:pStyle w:val="ListParagraph"/>
        <w:numPr>
          <w:ilvl w:val="0"/>
          <w:numId w:val="2"/>
        </w:numPr>
        <w:spacing w:after="80" w:line="276"/>
      </w:pPr>
      <w:r>
        <w:rPr>
          <w:rFonts w:ascii="Arial" w:cs="Arial" w:eastAsia="Arial" w:hAnsi="Arial"/>
          <w:b/>
          <w:bCs/>
          <w:color w:val="1A1A2E"/>
          <w:sz w:val="21"/>
          <w:szCs w:val="21"/>
        </w:rPr>
        <w:t xml:space="preserve">Day 8–9: </w:t>
      </w:r>
      <w:r>
        <w:rPr>
          <w:rFonts w:ascii="Arial" w:cs="Arial" w:eastAsia="Arial" w:hAnsi="Arial"/>
          <w:color w:val="374151"/>
          <w:sz w:val="21"/>
          <w:szCs w:val="21"/>
        </w:rPr>
        <w:t xml:space="preserve">Build the technical signal generator. Takes price data + indicator values, outputs scored trade setups. Start with a simple ensemble: RSI + EMA crossover + support/resistance + ATR volatility filter. The Ollama model scores confluence.</w:t>
      </w:r>
    </w:p>
    <w:p>
      <w:pPr>
        <w:pStyle w:val="ListParagraph"/>
        <w:numPr>
          <w:ilvl w:val="0"/>
          <w:numId w:val="2"/>
        </w:numPr>
        <w:spacing w:after="80" w:line="276"/>
      </w:pPr>
      <w:r>
        <w:rPr>
          <w:rFonts w:ascii="Arial" w:cs="Arial" w:eastAsia="Arial" w:hAnsi="Arial"/>
          <w:b/>
          <w:bCs/>
          <w:color w:val="1A1A2E"/>
          <w:sz w:val="21"/>
          <w:szCs w:val="21"/>
        </w:rPr>
        <w:t xml:space="preserve">Day 10–11: </w:t>
      </w:r>
      <w:r>
        <w:rPr>
          <w:rFonts w:ascii="Arial" w:cs="Arial" w:eastAsia="Arial" w:hAnsi="Arial"/>
          <w:color w:val="374151"/>
          <w:sz w:val="21"/>
          <w:szCs w:val="21"/>
        </w:rPr>
        <w:t xml:space="preserve">Wire the signal generator output into the deterministic engine. Signals above threshold → position sizer → execution. Signals below threshold → logged but not acted upon. All of this runs in paper-trade mode.</w:t>
      </w:r>
    </w:p>
    <w:p>
      <w:pPr>
        <w:pStyle w:val="ListParagraph"/>
        <w:numPr>
          <w:ilvl w:val="0"/>
          <w:numId w:val="2"/>
        </w:numPr>
        <w:spacing w:after="80" w:line="276"/>
      </w:pPr>
      <w:r>
        <w:rPr>
          <w:rFonts w:ascii="Arial" w:cs="Arial" w:eastAsia="Arial" w:hAnsi="Arial"/>
          <w:b/>
          <w:bCs/>
          <w:color w:val="1A1A2E"/>
          <w:sz w:val="21"/>
          <w:szCs w:val="21"/>
        </w:rPr>
        <w:t xml:space="preserve">Day 12: </w:t>
      </w:r>
      <w:r>
        <w:rPr>
          <w:rFonts w:ascii="Arial" w:cs="Arial" w:eastAsia="Arial" w:hAnsi="Arial"/>
          <w:color w:val="374151"/>
          <w:sz w:val="21"/>
          <w:szCs w:val="21"/>
        </w:rPr>
        <w:t xml:space="preserve">Set up Claude API integration for the daily strategy review. End-of-day batch call that receives: all signals generated, all trades taken, drawdown utilization, win/loss sequence. Claude returns: parameter adjustment suggestions, risk flag warnings, strategy commentary. Estimated cost: ~$0.50–$2.00/day.</w:t>
      </w:r>
    </w:p>
    <w:p>
      <w:pPr>
        <w:spacing w:after="40" w:before="40"/>
      </w:pPr>
    </w:p>
    <w:p>
      <w:pPr>
        <w:pStyle w:val="Heading2"/>
        <w:spacing w:after="160" w:before="280"/>
      </w:pPr>
      <w:r>
        <w:rPr>
          <w:rFonts w:ascii="Arial" w:cs="Arial" w:eastAsia="Arial" w:hAnsi="Arial"/>
          <w:b/>
          <w:bCs/>
          <w:color w:val="0F3460"/>
          <w:sz w:val="26"/>
          <w:szCs w:val="26"/>
        </w:rPr>
        <w:t xml:space="preserve">Days 13–20: Paper Trading Validation</w:t>
      </w:r>
    </w:p>
    <w:p>
      <w:pPr>
        <w:pStyle w:val="ListParagraph"/>
        <w:numPr>
          <w:ilvl w:val="0"/>
          <w:numId w:val="2"/>
        </w:numPr>
        <w:spacing w:after="80" w:line="276"/>
      </w:pPr>
      <w:r>
        <w:rPr>
          <w:rFonts w:ascii="Arial" w:cs="Arial" w:eastAsia="Arial" w:hAnsi="Arial"/>
          <w:b/>
          <w:bCs/>
          <w:color w:val="1A1A2E"/>
          <w:sz w:val="21"/>
          <w:szCs w:val="21"/>
        </w:rPr>
        <w:t xml:space="preserve">Day 13: </w:t>
      </w:r>
      <w:r>
        <w:rPr>
          <w:rFonts w:ascii="Arial" w:cs="Arial" w:eastAsia="Arial" w:hAnsi="Arial"/>
          <w:color w:val="374151"/>
          <w:sz w:val="21"/>
          <w:szCs w:val="21"/>
        </w:rPr>
        <w:t xml:space="preserve">Launch full system in paper-trade mode against live market data. Run against the OneFunded $5K profile. Monitor 24/7 for one week.</w:t>
      </w:r>
    </w:p>
    <w:p>
      <w:pPr>
        <w:pStyle w:val="ListParagraph"/>
        <w:numPr>
          <w:ilvl w:val="0"/>
          <w:numId w:val="2"/>
        </w:numPr>
        <w:spacing w:after="80" w:line="276"/>
      </w:pPr>
      <w:r>
        <w:rPr>
          <w:rFonts w:ascii="Arial" w:cs="Arial" w:eastAsia="Arial" w:hAnsi="Arial"/>
          <w:b/>
          <w:bCs/>
          <w:color w:val="1A1A2E"/>
          <w:sz w:val="21"/>
          <w:szCs w:val="21"/>
        </w:rPr>
        <w:t xml:space="preserve">Day 14–19: </w:t>
      </w:r>
      <w:r>
        <w:rPr>
          <w:rFonts w:ascii="Arial" w:cs="Arial" w:eastAsia="Arial" w:hAnsi="Arial"/>
          <w:color w:val="374151"/>
          <w:sz w:val="21"/>
          <w:szCs w:val="21"/>
        </w:rPr>
        <w:t xml:space="preserve">Daily review cycle. Every morning, review overnight performance. Check: Did the kill switch fire? Were any drawdown limits approached? What was the signal-to-trade conversion rate? Is the consistency rule being respected?</w:t>
      </w:r>
    </w:p>
    <w:p>
      <w:pPr>
        <w:pStyle w:val="ListParagraph"/>
        <w:numPr>
          <w:ilvl w:val="0"/>
          <w:numId w:val="2"/>
        </w:numPr>
        <w:spacing w:after="80" w:line="276"/>
      </w:pPr>
      <w:r>
        <w:rPr>
          <w:rFonts w:ascii="Arial" w:cs="Arial" w:eastAsia="Arial" w:hAnsi="Arial"/>
          <w:b/>
          <w:bCs/>
          <w:color w:val="1A1A2E"/>
          <w:sz w:val="21"/>
          <w:szCs w:val="21"/>
        </w:rPr>
        <w:t xml:space="preserve">Day 20: </w:t>
      </w:r>
      <w:r>
        <w:rPr>
          <w:rFonts w:ascii="Arial" w:cs="Arial" w:eastAsia="Arial" w:hAnsi="Arial"/>
          <w:color w:val="374151"/>
          <w:sz w:val="21"/>
          <w:szCs w:val="21"/>
        </w:rPr>
        <w:t xml:space="preserve">End of Week 1 paper trading. Run comprehensive performance analysis. If the system has maintained positive expectancy without any rule breaches across 5+ trading days, proceed. If any rule was breached, diagnose, fix, reset, and re-run.</w:t>
      </w:r>
    </w:p>
    <w:p>
      <w:pPr>
        <w:spacing w:after="40" w:before="40"/>
      </w:pPr>
    </w:p>
    <w:p>
      <w:pPr>
        <w:pStyle w:val="Heading2"/>
        <w:spacing w:after="160" w:before="280"/>
      </w:pPr>
      <w:r>
        <w:rPr>
          <w:rFonts w:ascii="Arial" w:cs="Arial" w:eastAsia="Arial" w:hAnsi="Arial"/>
          <w:b/>
          <w:bCs/>
          <w:color w:val="0F3460"/>
          <w:sz w:val="26"/>
          <w:szCs w:val="26"/>
        </w:rPr>
        <w:t xml:space="preserve">Days 21–25: Multi-Firm Profile Testing</w:t>
      </w:r>
    </w:p>
    <w:p>
      <w:pPr>
        <w:pStyle w:val="ListParagraph"/>
        <w:numPr>
          <w:ilvl w:val="0"/>
          <w:numId w:val="2"/>
        </w:numPr>
        <w:spacing w:after="80" w:line="276"/>
      </w:pPr>
      <w:r>
        <w:rPr>
          <w:rFonts w:ascii="Arial" w:cs="Arial" w:eastAsia="Arial" w:hAnsi="Arial"/>
          <w:b/>
          <w:bCs/>
          <w:color w:val="1A1A2E"/>
          <w:sz w:val="21"/>
          <w:szCs w:val="21"/>
        </w:rPr>
        <w:t xml:space="preserve">Day 21–22: </w:t>
      </w:r>
      <w:r>
        <w:rPr>
          <w:rFonts w:ascii="Arial" w:cs="Arial" w:eastAsia="Arial" w:hAnsi="Arial"/>
          <w:color w:val="374151"/>
          <w:sz w:val="21"/>
          <w:szCs w:val="21"/>
        </w:rPr>
        <w:t xml:space="preserve">Switch to FTMO $100K profile. Re-run paper trading. Verify that the static 10% drawdown and 5% daily loss limits are correctly enforced with the larger account size and different position sizing.</w:t>
      </w:r>
    </w:p>
    <w:p>
      <w:pPr>
        <w:pStyle w:val="ListParagraph"/>
        <w:numPr>
          <w:ilvl w:val="0"/>
          <w:numId w:val="2"/>
        </w:numPr>
        <w:spacing w:after="80" w:line="276"/>
      </w:pPr>
      <w:r>
        <w:rPr>
          <w:rFonts w:ascii="Arial" w:cs="Arial" w:eastAsia="Arial" w:hAnsi="Arial"/>
          <w:b/>
          <w:bCs/>
          <w:color w:val="1A1A2E"/>
          <w:sz w:val="21"/>
          <w:szCs w:val="21"/>
        </w:rPr>
        <w:t xml:space="preserve">Day 23–24: </w:t>
      </w:r>
      <w:r>
        <w:rPr>
          <w:rFonts w:ascii="Arial" w:cs="Arial" w:eastAsia="Arial" w:hAnsi="Arial"/>
          <w:color w:val="374151"/>
          <w:sz w:val="21"/>
          <w:szCs w:val="21"/>
        </w:rPr>
        <w:t xml:space="preserve">Switch to TopStep $50K profile. This is the critical test — trailing drawdown requires fundamentally different behavior. Verify that the engine correctly adjusts the floor at EOD and that position sizing is appropriately conservative.</w:t>
      </w:r>
    </w:p>
    <w:p>
      <w:pPr>
        <w:pStyle w:val="ListParagraph"/>
        <w:numPr>
          <w:ilvl w:val="0"/>
          <w:numId w:val="2"/>
        </w:numPr>
        <w:spacing w:after="80" w:line="276"/>
      </w:pPr>
      <w:r>
        <w:rPr>
          <w:rFonts w:ascii="Arial" w:cs="Arial" w:eastAsia="Arial" w:hAnsi="Arial"/>
          <w:b/>
          <w:bCs/>
          <w:color w:val="1A1A2E"/>
          <w:sz w:val="21"/>
          <w:szCs w:val="21"/>
        </w:rPr>
        <w:t xml:space="preserve">Day 25: </w:t>
      </w:r>
      <w:r>
        <w:rPr>
          <w:rFonts w:ascii="Arial" w:cs="Arial" w:eastAsia="Arial" w:hAnsi="Arial"/>
          <w:color w:val="374151"/>
          <w:sz w:val="21"/>
          <w:szCs w:val="21"/>
        </w:rPr>
        <w:t xml:space="preserve">Run all three profiles simultaneously in multi-account mode. Verify that signals are correctly routed and that each account’s rules are enforced independently.</w:t>
      </w:r>
    </w:p>
    <w:p>
      <w:pPr>
        <w:spacing w:after="40" w:before="40"/>
      </w:pPr>
    </w:p>
    <w:p>
      <w:pPr>
        <w:pStyle w:val="Heading2"/>
        <w:spacing w:after="160" w:before="280"/>
      </w:pPr>
      <w:r>
        <w:rPr>
          <w:rFonts w:ascii="Arial" w:cs="Arial" w:eastAsia="Arial" w:hAnsi="Arial"/>
          <w:b/>
          <w:bCs/>
          <w:color w:val="0F3460"/>
          <w:sz w:val="26"/>
          <w:szCs w:val="26"/>
        </w:rPr>
        <w:t xml:space="preserve">Days 26–30: Go-Live Decision</w:t>
      </w:r>
    </w:p>
    <w:p>
      <w:pPr>
        <w:pStyle w:val="ListParagraph"/>
        <w:numPr>
          <w:ilvl w:val="0"/>
          <w:numId w:val="2"/>
        </w:numPr>
        <w:spacing w:after="80" w:line="276"/>
      </w:pPr>
      <w:r>
        <w:rPr>
          <w:rFonts w:ascii="Arial" w:cs="Arial" w:eastAsia="Arial" w:hAnsi="Arial"/>
          <w:b/>
          <w:bCs/>
          <w:color w:val="1A1A2E"/>
          <w:sz w:val="21"/>
          <w:szCs w:val="21"/>
        </w:rPr>
        <w:t xml:space="preserve">Day 26–27: </w:t>
      </w:r>
      <w:r>
        <w:rPr>
          <w:rFonts w:ascii="Arial" w:cs="Arial" w:eastAsia="Arial" w:hAnsi="Arial"/>
          <w:color w:val="374151"/>
          <w:sz w:val="21"/>
          <w:szCs w:val="21"/>
        </w:rPr>
        <w:t xml:space="preserve">Final performance analysis across all paper-traded profiles. Calculate: total trades, win rate, average R:R, max consecutive losses, max drawdown reached as % of limit, consistency score, daily loss limit utilization peaks.</w:t>
      </w:r>
    </w:p>
    <w:p>
      <w:pPr>
        <w:pStyle w:val="ListParagraph"/>
        <w:numPr>
          <w:ilvl w:val="0"/>
          <w:numId w:val="2"/>
        </w:numPr>
        <w:spacing w:after="80" w:line="276"/>
      </w:pPr>
      <w:r>
        <w:rPr>
          <w:rFonts w:ascii="Arial" w:cs="Arial" w:eastAsia="Arial" w:hAnsi="Arial"/>
          <w:b/>
          <w:bCs/>
          <w:color w:val="1A1A2E"/>
          <w:sz w:val="21"/>
          <w:szCs w:val="21"/>
        </w:rPr>
        <w:t xml:space="preserve">Day 28: </w:t>
      </w:r>
      <w:r>
        <w:rPr>
          <w:rFonts w:ascii="Arial" w:cs="Arial" w:eastAsia="Arial" w:hAnsi="Arial"/>
          <w:color w:val="374151"/>
          <w:sz w:val="21"/>
          <w:szCs w:val="21"/>
        </w:rPr>
        <w:t xml:space="preserve">If all metrics pass (win rate &gt; 50%, avg R:R &gt; 1.5:1, max DD &lt; 60% of limit, no rule breaches), purchase the first live evaluation: OneFunded $5K for ~$23.</w:t>
      </w:r>
    </w:p>
    <w:p>
      <w:pPr>
        <w:pStyle w:val="ListParagraph"/>
        <w:numPr>
          <w:ilvl w:val="0"/>
          <w:numId w:val="2"/>
        </w:numPr>
        <w:spacing w:after="80" w:line="276"/>
      </w:pPr>
      <w:r>
        <w:rPr>
          <w:rFonts w:ascii="Arial" w:cs="Arial" w:eastAsia="Arial" w:hAnsi="Arial"/>
          <w:b/>
          <w:bCs/>
          <w:color w:val="1A1A2E"/>
          <w:sz w:val="21"/>
          <w:szCs w:val="21"/>
        </w:rPr>
        <w:t xml:space="preserve">Day 29–30: </w:t>
      </w:r>
      <w:r>
        <w:rPr>
          <w:rFonts w:ascii="Arial" w:cs="Arial" w:eastAsia="Arial" w:hAnsi="Arial"/>
          <w:color w:val="374151"/>
          <w:sz w:val="21"/>
          <w:szCs w:val="21"/>
        </w:rPr>
        <w:t xml:space="preserve">Begin the first live prop firm evaluation. The system trades exactly as it did in paper mode — same rules, same position sizing, same kill switch. Monitor manually for the first 48 hours as an additional safety layer.</w:t>
      </w:r>
    </w:p>
    <w:p>
      <w:r>
        <w:br w:type="page"/>
      </w:r>
    </w:p>
    <w:p>
      <w:pPr>
        <w:pStyle w:val="Heading1"/>
        <w:spacing w:after="200" w:before="360"/>
      </w:pPr>
      <w:r>
        <w:rPr>
          <w:rFonts w:ascii="Arial" w:cs="Arial" w:eastAsia="Arial" w:hAnsi="Arial"/>
          <w:b/>
          <w:bCs/>
          <w:color w:val="1A1A2E"/>
          <w:sz w:val="32"/>
          <w:szCs w:val="32"/>
        </w:rPr>
        <w:t xml:space="preserve">5. Capital Compounding Protocol</w:t>
      </w:r>
    </w:p>
    <w:p>
      <w:pPr>
        <w:pBdr>
          <w:bottom w:val="single" w:color="E94560" w:sz="4" w:space="1"/>
        </w:pBdr>
        <w:spacing w:after="80" w:before="80"/>
      </w:pPr>
    </w:p>
    <w:p>
      <w:pPr>
        <w:spacing w:after="160" w:line="276"/>
      </w:pPr>
      <w:r>
        <w:rPr>
          <w:rFonts w:ascii="Arial" w:cs="Arial" w:eastAsia="Arial" w:hAnsi="Arial"/>
          <w:color w:val="374151"/>
          <w:sz w:val="21"/>
          <w:szCs w:val="21"/>
        </w:rPr>
        <w:t xml:space="preserve">The compounding protocol defines how profits from funded accounts are reinvested into purchasing larger evaluations. This is the mechanism for scaling from a $5K funded account to $150K+ in total funded capital.</w:t>
      </w:r>
    </w:p>
    <w:p>
      <w:pPr>
        <w:pStyle w:val="Heading2"/>
        <w:spacing w:after="160" w:before="280"/>
      </w:pPr>
      <w:r>
        <w:rPr>
          <w:rFonts w:ascii="Arial" w:cs="Arial" w:eastAsia="Arial" w:hAnsi="Arial"/>
          <w:b/>
          <w:bCs/>
          <w:color w:val="0F3460"/>
          <w:sz w:val="26"/>
          <w:szCs w:val="26"/>
        </w:rPr>
        <w:t xml:space="preserve">5.1 Reinvestment Rules</w:t>
      </w:r>
    </w:p>
    <w:p>
      <w:pPr>
        <w:pStyle w:val="ListParagraph"/>
        <w:numPr>
          <w:ilvl w:val="0"/>
          <w:numId w:val="2"/>
        </w:numPr>
        <w:spacing w:after="80" w:line="276"/>
      </w:pPr>
      <w:r>
        <w:rPr>
          <w:rFonts w:ascii="Arial" w:cs="Arial" w:eastAsia="Arial" w:hAnsi="Arial"/>
          <w:b/>
          <w:bCs/>
          <w:color w:val="1A1A2E"/>
          <w:sz w:val="21"/>
          <w:szCs w:val="21"/>
        </w:rPr>
        <w:t xml:space="preserve">Allocation: </w:t>
      </w:r>
      <w:r>
        <w:rPr>
          <w:rFonts w:ascii="Arial" w:cs="Arial" w:eastAsia="Arial" w:hAnsi="Arial"/>
          <w:color w:val="374151"/>
          <w:sz w:val="21"/>
          <w:szCs w:val="21"/>
        </w:rPr>
        <w:t xml:space="preserve">60% of all funded account profits are allocated to the compounding pool. 40% is taken as personal income.</w:t>
      </w:r>
    </w:p>
    <w:p>
      <w:pPr>
        <w:pStyle w:val="ListParagraph"/>
        <w:numPr>
          <w:ilvl w:val="0"/>
          <w:numId w:val="2"/>
        </w:numPr>
        <w:spacing w:after="80" w:line="276"/>
      </w:pPr>
      <w:r>
        <w:rPr>
          <w:rFonts w:ascii="Arial" w:cs="Arial" w:eastAsia="Arial" w:hAnsi="Arial"/>
          <w:b/>
          <w:bCs/>
          <w:color w:val="1A1A2E"/>
          <w:sz w:val="21"/>
          <w:szCs w:val="21"/>
        </w:rPr>
        <w:t xml:space="preserve">Trigger: </w:t>
      </w:r>
      <w:r>
        <w:rPr>
          <w:rFonts w:ascii="Arial" w:cs="Arial" w:eastAsia="Arial" w:hAnsi="Arial"/>
          <w:color w:val="374151"/>
          <w:sz w:val="21"/>
          <w:szCs w:val="21"/>
        </w:rPr>
        <w:t xml:space="preserve">When the compounding pool reaches the cost of the next tier evaluation, purchase it immediately.</w:t>
      </w:r>
    </w:p>
    <w:p>
      <w:pPr>
        <w:pStyle w:val="ListParagraph"/>
        <w:numPr>
          <w:ilvl w:val="0"/>
          <w:numId w:val="2"/>
        </w:numPr>
        <w:spacing w:after="80" w:line="276"/>
      </w:pPr>
      <w:r>
        <w:rPr>
          <w:rFonts w:ascii="Arial" w:cs="Arial" w:eastAsia="Arial" w:hAnsi="Arial"/>
          <w:b/>
          <w:bCs/>
          <w:color w:val="1A1A2E"/>
          <w:sz w:val="21"/>
          <w:szCs w:val="21"/>
        </w:rPr>
        <w:t xml:space="preserve">Progression: </w:t>
      </w:r>
      <w:r>
        <w:rPr>
          <w:rFonts w:ascii="Arial" w:cs="Arial" w:eastAsia="Arial" w:hAnsi="Arial"/>
          <w:color w:val="374151"/>
          <w:sz w:val="21"/>
          <w:szCs w:val="21"/>
        </w:rPr>
        <w:t xml:space="preserve">OneFunded $5K ($23) → FundedNext $6K ($49) → multiple $25K accounts → FTMO/FXIFY $100K ($400–540).</w:t>
      </w:r>
    </w:p>
    <w:p>
      <w:pPr>
        <w:pStyle w:val="ListParagraph"/>
        <w:numPr>
          <w:ilvl w:val="0"/>
          <w:numId w:val="2"/>
        </w:numPr>
        <w:spacing w:after="80" w:line="276"/>
      </w:pPr>
      <w:r>
        <w:rPr>
          <w:rFonts w:ascii="Arial" w:cs="Arial" w:eastAsia="Arial" w:hAnsi="Arial"/>
          <w:b/>
          <w:bCs/>
          <w:color w:val="1A1A2E"/>
          <w:sz w:val="21"/>
          <w:szCs w:val="21"/>
        </w:rPr>
        <w:t xml:space="preserve">Parallel accounts: </w:t>
      </w:r>
      <w:r>
        <w:rPr>
          <w:rFonts w:ascii="Arial" w:cs="Arial" w:eastAsia="Arial" w:hAnsi="Arial"/>
          <w:color w:val="374151"/>
          <w:sz w:val="21"/>
          <w:szCs w:val="21"/>
        </w:rPr>
        <w:t xml:space="preserve">Once a funded account is stable (3+ successful payouts), start a new evaluation while continuing to trade the funded account.</w:t>
      </w:r>
    </w:p>
    <w:p>
      <w:pPr>
        <w:pStyle w:val="ListParagraph"/>
        <w:numPr>
          <w:ilvl w:val="0"/>
          <w:numId w:val="2"/>
        </w:numPr>
        <w:spacing w:after="80" w:line="276"/>
      </w:pPr>
      <w:r>
        <w:rPr>
          <w:rFonts w:ascii="Arial" w:cs="Arial" w:eastAsia="Arial" w:hAnsi="Arial"/>
          <w:b/>
          <w:bCs/>
          <w:color w:val="1A1A2E"/>
          <w:sz w:val="21"/>
          <w:szCs w:val="21"/>
        </w:rPr>
        <w:t xml:space="preserve">Safety reserve: </w:t>
      </w:r>
      <w:r>
        <w:rPr>
          <w:rFonts w:ascii="Arial" w:cs="Arial" w:eastAsia="Arial" w:hAnsi="Arial"/>
          <w:color w:val="374151"/>
          <w:sz w:val="21"/>
          <w:szCs w:val="21"/>
        </w:rPr>
        <w:t xml:space="preserve">Always maintain a 3-evaluation reserve in cash. If an account is lost, you can immediately restart without waiting for new profits.</w:t>
      </w:r>
    </w:p>
    <w:p>
      <w:pPr>
        <w:pStyle w:val="Heading2"/>
        <w:spacing w:after="160" w:before="280"/>
      </w:pPr>
      <w:r>
        <w:rPr>
          <w:rFonts w:ascii="Arial" w:cs="Arial" w:eastAsia="Arial" w:hAnsi="Arial"/>
          <w:b/>
          <w:bCs/>
          <w:color w:val="0F3460"/>
          <w:sz w:val="26"/>
          <w:szCs w:val="26"/>
        </w:rPr>
        <w:t xml:space="preserve">5.2 Projected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1800"/>
        <w:gridCol w:w="2100"/>
        <w:gridCol w:w="1960"/>
      </w:tblGrid>
      <w:tr>
        <w:tc>
          <w:tcPr>
            <w:tcW w:type="dxa" w:w="1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Month</w:t>
            </w:r>
          </w:p>
        </w:tc>
        <w:tc>
          <w:tcPr>
            <w:tcW w:type="dxa" w:w="21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18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Eval Cost</w:t>
            </w:r>
          </w:p>
        </w:tc>
        <w:tc>
          <w:tcPr>
            <w:tcW w:type="dxa" w:w="21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Funded Capital</w:t>
            </w:r>
          </w:p>
        </w:tc>
        <w:tc>
          <w:tcPr>
            <w:tcW w:type="dxa" w:w="19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Monthly Rev</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bCs/>
                <w:color w:val="374151"/>
                <w:sz w:val="18"/>
                <w:szCs w:val="18"/>
              </w:rPr>
              <w:t xml:space="preserve">Month 1</w:t>
            </w:r>
          </w:p>
        </w:tc>
        <w:tc>
          <w:tcPr>
            <w:tcW w:type="dxa" w:w="2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Pass OneFunded $5K</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$23</w:t>
            </w:r>
          </w:p>
        </w:tc>
        <w:tc>
          <w:tcPr>
            <w:tcW w:type="dxa" w:w="2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$5,000</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$200–400</w:t>
            </w:r>
          </w:p>
        </w:tc>
      </w:tr>
      <w:tr>
        <w:tc>
          <w:tcPr>
            <w:tcW w:type="dxa" w:w="14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bCs/>
                <w:color w:val="374151"/>
                <w:sz w:val="18"/>
                <w:szCs w:val="18"/>
              </w:rPr>
              <w:t xml:space="preserve">Month 2</w:t>
            </w:r>
          </w:p>
        </w:tc>
        <w:tc>
          <w:tcPr>
            <w:tcW w:type="dxa" w:w="21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Add FundedNext $6K</w:t>
            </w:r>
          </w:p>
        </w:tc>
        <w:tc>
          <w:tcPr>
            <w:tcW w:type="dxa" w:w="18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$49</w:t>
            </w:r>
          </w:p>
        </w:tc>
        <w:tc>
          <w:tcPr>
            <w:tcW w:type="dxa" w:w="21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$11,000</w:t>
            </w:r>
          </w:p>
        </w:tc>
        <w:tc>
          <w:tcPr>
            <w:tcW w:type="dxa" w:w="196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$400–800</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bCs/>
                <w:color w:val="374151"/>
                <w:sz w:val="18"/>
                <w:szCs w:val="18"/>
              </w:rPr>
              <w:t xml:space="preserve">Month 3</w:t>
            </w:r>
          </w:p>
        </w:tc>
        <w:tc>
          <w:tcPr>
            <w:tcW w:type="dxa" w:w="2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Add 2× $25K accounts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~$200 ea</w:t>
            </w:r>
          </w:p>
        </w:tc>
        <w:tc>
          <w:tcPr>
            <w:tcW w:type="dxa" w:w="2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$61,000</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$1.5–3K</w:t>
            </w:r>
          </w:p>
        </w:tc>
      </w:tr>
      <w:tr>
        <w:tc>
          <w:tcPr>
            <w:tcW w:type="dxa" w:w="14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bCs/>
                <w:color w:val="374151"/>
                <w:sz w:val="18"/>
                <w:szCs w:val="18"/>
              </w:rPr>
              <w:t xml:space="preserve">Month 4</w:t>
            </w:r>
          </w:p>
        </w:tc>
        <w:tc>
          <w:tcPr>
            <w:tcW w:type="dxa" w:w="21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Add FTMO $100K</w:t>
            </w:r>
          </w:p>
        </w:tc>
        <w:tc>
          <w:tcPr>
            <w:tcW w:type="dxa" w:w="18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$540</w:t>
            </w:r>
          </w:p>
        </w:tc>
        <w:tc>
          <w:tcPr>
            <w:tcW w:type="dxa" w:w="21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$161,000</w:t>
            </w:r>
          </w:p>
        </w:tc>
        <w:tc>
          <w:tcPr>
            <w:tcW w:type="dxa" w:w="196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$4–8K</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bCs/>
                <w:color w:val="374151"/>
                <w:sz w:val="18"/>
                <w:szCs w:val="18"/>
              </w:rPr>
              <w:t xml:space="preserve">Month 5–6</w:t>
            </w:r>
          </w:p>
        </w:tc>
        <w:tc>
          <w:tcPr>
            <w:tcW w:type="dxa" w:w="2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Consolidate + scale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From pool</w:t>
            </w:r>
          </w:p>
        </w:tc>
        <w:tc>
          <w:tcPr>
            <w:tcW w:type="dxa" w:w="2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$150–200K+</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$8–15K</w:t>
            </w:r>
          </w:p>
        </w:tc>
      </w:tr>
    </w:tbl>
    <w:p>
      <w:pPr>
        <w:spacing w:after="40" w:before="40"/>
      </w:pPr>
    </w:p>
    <w:p>
      <w:pPr>
        <w:spacing w:after="160" w:line="276"/>
      </w:pPr>
      <w:r>
        <w:rPr>
          <w:rFonts w:ascii="Arial" w:cs="Arial" w:eastAsia="Arial" w:hAnsi="Arial"/>
          <w:color w:val="374151"/>
          <w:sz w:val="21"/>
          <w:szCs w:val="21"/>
        </w:rPr>
        <w:t xml:space="preserve">Important caveat: These projections assume a ~60% evaluation pass rate and consistent monthly returns of 3–5% on funded capital. Real-world pass rates across the industry are 5–10% for manual traders. An automated system with proper risk controls should achieve significantly higher, but the compounding timeline should be viewed as optimistic. Budget for 2–3 evaluation failures per tier.</w:t>
      </w:r>
    </w:p>
    <w:p>
      <w:r>
        <w:br w:type="page"/>
      </w:r>
    </w:p>
    <w:p>
      <w:pPr>
        <w:pStyle w:val="Heading1"/>
        <w:spacing w:after="200" w:before="360"/>
      </w:pPr>
      <w:r>
        <w:rPr>
          <w:rFonts w:ascii="Arial" w:cs="Arial" w:eastAsia="Arial" w:hAnsi="Arial"/>
          <w:b/>
          <w:bCs/>
          <w:color w:val="1A1A2E"/>
          <w:sz w:val="32"/>
          <w:szCs w:val="32"/>
        </w:rPr>
        <w:t xml:space="preserve">6. Platform Integration Map</w:t>
      </w:r>
    </w:p>
    <w:p>
      <w:pPr>
        <w:pBdr>
          <w:bottom w:val="single" w:color="E94560" w:sz="4" w:space="1"/>
        </w:pBdr>
        <w:spacing w:after="80" w:before="80"/>
      </w:pPr>
    </w:p>
    <w:p>
      <w:pPr>
        <w:spacing w:after="160" w:line="276"/>
      </w:pPr>
      <w:r>
        <w:rPr>
          <w:rFonts w:ascii="Arial" w:cs="Arial" w:eastAsia="Arial" w:hAnsi="Arial"/>
          <w:color w:val="374151"/>
          <w:sz w:val="21"/>
          <w:szCs w:val="21"/>
        </w:rPr>
        <w:t xml:space="preserve">Each prop firm requires integration with a specific trading platform. The execution engine must support all of these via modular adapters.</w:t>
      </w:r>
    </w:p>
    <w:p>
      <w:pPr>
        <w:pStyle w:val="Heading2"/>
        <w:spacing w:after="160" w:before="280"/>
      </w:pPr>
      <w:r>
        <w:rPr>
          <w:rFonts w:ascii="Arial" w:cs="Arial" w:eastAsia="Arial" w:hAnsi="Arial"/>
          <w:b/>
          <w:bCs/>
          <w:color w:val="0F3460"/>
          <w:sz w:val="26"/>
          <w:szCs w:val="26"/>
        </w:rPr>
        <w:t xml:space="preserve">6.1 Platform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00"/>
        <w:gridCol w:w="2460"/>
      </w:tblGrid>
      <w:tr>
        <w:tc>
          <w:tcPr>
            <w:tcW w:type="dxa" w:w="20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Platform</w:t>
            </w:r>
          </w:p>
        </w:tc>
        <w:tc>
          <w:tcPr>
            <w:tcW w:type="dxa" w:w="25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Firms Using It</w:t>
            </w:r>
          </w:p>
        </w:tc>
        <w:tc>
          <w:tcPr>
            <w:tcW w:type="dxa" w:w="240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API Type</w:t>
            </w:r>
          </w:p>
        </w:tc>
        <w:tc>
          <w:tcPr>
            <w:tcW w:type="dxa" w:w="2460"/>
            <w:tcBorders>
              <w:top w:val="single" w:color="D1D5DB" w:sz="1"/>
              <w:left w:val="single" w:color="D1D5DB" w:sz="1"/>
              <w:bottom w:val="single" w:color="D1D5DB" w:sz="1"/>
              <w:right w:val="single" w:color="D1D5DB" w:sz="1"/>
            </w:tcBorders>
            <w:shd w:fill="0F3460" w:val="clear"/>
            <w:tcMar>
              <w:top w:type="dxa" w:w="80"/>
              <w:left w:type="dxa" w:w="120"/>
              <w:bottom w:type="dxa" w:w="80"/>
              <w:right w:type="dxa" w:w="120"/>
            </w:tcMar>
            <w:vAlign w:val="center"/>
          </w:tcPr>
          <w:p>
            <w:r>
              <w:rPr>
                <w:rFonts w:ascii="Arial" w:cs="Arial" w:eastAsia="Arial" w:hAnsi="Arial"/>
                <w:b/>
                <w:bCs/>
                <w:color w:val="FFFFFF"/>
                <w:sz w:val="18"/>
                <w:szCs w:val="18"/>
              </w:rPr>
              <w:t xml:space="preserve">Integration Method</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bCs/>
                <w:color w:val="374151"/>
                <w:sz w:val="18"/>
                <w:szCs w:val="18"/>
              </w:rPr>
              <w:t xml:space="preserve">MetaTrader 5</w:t>
            </w:r>
          </w:p>
        </w:tc>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FTMO, FundedNext, FXIFY, E8</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MQL5 / ZeroMQ bridge</w:t>
            </w:r>
          </w:p>
        </w:tc>
        <w:tc>
          <w:tcPr>
            <w:tcW w:type="dxa" w:w="2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EA running locally, ZMQ to Node.js</w:t>
            </w:r>
          </w:p>
        </w:tc>
      </w:tr>
      <w:tr>
        <w:tc>
          <w:tcPr>
            <w:tcW w:type="dxa" w:w="20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bCs/>
                <w:color w:val="374151"/>
                <w:sz w:val="18"/>
                <w:szCs w:val="18"/>
              </w:rPr>
              <w:t xml:space="preserve">cTrader</w:t>
            </w:r>
          </w:p>
        </w:tc>
        <w:tc>
          <w:tcPr>
            <w:tcW w:type="dxa" w:w="25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FTMO, FundingPips</w:t>
            </w:r>
          </w:p>
        </w:tc>
        <w:tc>
          <w:tcPr>
            <w:tcW w:type="dxa" w:w="24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cTrader Open API</w:t>
            </w:r>
          </w:p>
        </w:tc>
        <w:tc>
          <w:tcPr>
            <w:tcW w:type="dxa" w:w="246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gRPC/Protocol Buffers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bCs/>
                <w:color w:val="374151"/>
                <w:sz w:val="18"/>
                <w:szCs w:val="18"/>
              </w:rPr>
              <w:t xml:space="preserve">TradeLocker</w:t>
            </w:r>
          </w:p>
        </w:tc>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DNA Funded, OneFunded</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REST API</w:t>
            </w:r>
          </w:p>
        </w:tc>
        <w:tc>
          <w:tcPr>
            <w:tcW w:type="dxa" w:w="2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Direct HTTP from Node.js</w:t>
            </w:r>
          </w:p>
        </w:tc>
      </w:tr>
      <w:tr>
        <w:tc>
          <w:tcPr>
            <w:tcW w:type="dxa" w:w="20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bCs/>
                <w:color w:val="374151"/>
                <w:sz w:val="18"/>
                <w:szCs w:val="18"/>
              </w:rPr>
              <w:t xml:space="preserve">Tradovate</w:t>
            </w:r>
          </w:p>
        </w:tc>
        <w:tc>
          <w:tcPr>
            <w:tcW w:type="dxa" w:w="25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Apex, TopStep</w:t>
            </w:r>
          </w:p>
        </w:tc>
        <w:tc>
          <w:tcPr>
            <w:tcW w:type="dxa" w:w="240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WebSocket + REST</w:t>
            </w:r>
          </w:p>
        </w:tc>
        <w:tc>
          <w:tcPr>
            <w:tcW w:type="dxa" w:w="2460"/>
            <w:tcBorders>
              <w:top w:val="single" w:color="D1D5DB" w:sz="1"/>
              <w:left w:val="single" w:color="D1D5DB" w:sz="1"/>
              <w:bottom w:val="single" w:color="D1D5DB" w:sz="1"/>
              <w:right w:val="single" w:color="D1D5DB" w:sz="1"/>
            </w:tcBorders>
            <w:shd w:fill="F8F9FA"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Native WebSocket client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bCs/>
                <w:color w:val="374151"/>
                <w:sz w:val="18"/>
                <w:szCs w:val="18"/>
              </w:rPr>
              <w:t xml:space="preserve">Rithmic</w:t>
            </w:r>
          </w:p>
        </w:tc>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Apex, TopStep, MFFU</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R | Protocol API</w:t>
            </w:r>
          </w:p>
        </w:tc>
        <w:tc>
          <w:tcPr>
            <w:tcW w:type="dxa" w:w="2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vAlign w:val="center"/>
          </w:tcPr>
          <w:p>
            <w:r>
              <w:rPr>
                <w:rFonts w:ascii="Arial" w:cs="Arial" w:eastAsia="Arial" w:hAnsi="Arial"/>
                <w:b w:val="false"/>
                <w:bCs w:val="false"/>
                <w:color w:val="374151"/>
                <w:sz w:val="18"/>
                <w:szCs w:val="18"/>
              </w:rPr>
              <w:t xml:space="preserve">C++/Python bridge or NinjaTrader EA</w:t>
            </w:r>
          </w:p>
        </w:tc>
      </w:tr>
    </w:tbl>
    <w:p>
      <w:pPr>
        <w:spacing w:after="40" w:before="40"/>
      </w:pPr>
    </w:p>
    <w:p>
      <w:pPr>
        <w:pStyle w:val="Heading2"/>
        <w:spacing w:after="160" w:before="280"/>
      </w:pPr>
      <w:r>
        <w:rPr>
          <w:rFonts w:ascii="Arial" w:cs="Arial" w:eastAsia="Arial" w:hAnsi="Arial"/>
          <w:b/>
          <w:bCs/>
          <w:color w:val="0F3460"/>
          <w:sz w:val="26"/>
          <w:szCs w:val="26"/>
        </w:rPr>
        <w:t xml:space="preserve">6.2 Recommended Build Order for Adapters</w:t>
      </w:r>
    </w:p>
    <w:p>
      <w:pPr>
        <w:spacing w:after="160" w:line="276"/>
      </w:pPr>
      <w:r>
        <w:rPr>
          <w:rFonts w:ascii="Arial" w:cs="Arial" w:eastAsia="Arial" w:hAnsi="Arial"/>
          <w:color w:val="374151"/>
          <w:sz w:val="21"/>
          <w:szCs w:val="21"/>
        </w:rPr>
        <w:t xml:space="preserve">Build platform adapters in this order based on how many target firms each unlocks:</w:t>
      </w:r>
    </w:p>
    <w:p>
      <w:pPr>
        <w:pStyle w:val="ListParagraph"/>
        <w:numPr>
          <w:ilvl w:val="0"/>
          <w:numId w:val="2"/>
        </w:numPr>
        <w:spacing w:after="80" w:line="276"/>
      </w:pPr>
      <w:r>
        <w:rPr>
          <w:rFonts w:ascii="Arial" w:cs="Arial" w:eastAsia="Arial" w:hAnsi="Arial"/>
          <w:b/>
          <w:bCs/>
          <w:color w:val="1A1A2E"/>
          <w:sz w:val="21"/>
          <w:szCs w:val="21"/>
        </w:rPr>
        <w:t xml:space="preserve">Priority 1 — MT5 adapter: </w:t>
      </w:r>
      <w:r>
        <w:rPr>
          <w:rFonts w:ascii="Arial" w:cs="Arial" w:eastAsia="Arial" w:hAnsi="Arial"/>
          <w:color w:val="374151"/>
          <w:sz w:val="21"/>
          <w:szCs w:val="21"/>
        </w:rPr>
        <w:t xml:space="preserve">Unlocks FTMO, FundedNext, FXIFY, E8 Markets. Build a lightweight Expert Advisor that receives commands via ZeroMQ from the Node.js execution engine and places/manages orders.</w:t>
      </w:r>
    </w:p>
    <w:p>
      <w:pPr>
        <w:pStyle w:val="ListParagraph"/>
        <w:numPr>
          <w:ilvl w:val="0"/>
          <w:numId w:val="2"/>
        </w:numPr>
        <w:spacing w:after="80" w:line="276"/>
      </w:pPr>
      <w:r>
        <w:rPr>
          <w:rFonts w:ascii="Arial" w:cs="Arial" w:eastAsia="Arial" w:hAnsi="Arial"/>
          <w:b/>
          <w:bCs/>
          <w:color w:val="1A1A2E"/>
          <w:sz w:val="21"/>
          <w:szCs w:val="21"/>
        </w:rPr>
        <w:t xml:space="preserve">Priority 2 — TradeLocker adapter: </w:t>
      </w:r>
      <w:r>
        <w:rPr>
          <w:rFonts w:ascii="Arial" w:cs="Arial" w:eastAsia="Arial" w:hAnsi="Arial"/>
          <w:color w:val="374151"/>
          <w:sz w:val="21"/>
          <w:szCs w:val="21"/>
        </w:rPr>
        <w:t xml:space="preserve">Unlocks OneFunded, DNA Funded. REST API is the simplest integration — direct HTTP calls from Node.js.</w:t>
      </w:r>
    </w:p>
    <w:p>
      <w:pPr>
        <w:pStyle w:val="ListParagraph"/>
        <w:numPr>
          <w:ilvl w:val="0"/>
          <w:numId w:val="2"/>
        </w:numPr>
        <w:spacing w:after="80" w:line="276"/>
      </w:pPr>
      <w:r>
        <w:rPr>
          <w:rFonts w:ascii="Arial" w:cs="Arial" w:eastAsia="Arial" w:hAnsi="Arial"/>
          <w:b/>
          <w:bCs/>
          <w:color w:val="1A1A2E"/>
          <w:sz w:val="21"/>
          <w:szCs w:val="21"/>
        </w:rPr>
        <w:t xml:space="preserve">Priority 3 — Tradovate adapter: </w:t>
      </w:r>
      <w:r>
        <w:rPr>
          <w:rFonts w:ascii="Arial" w:cs="Arial" w:eastAsia="Arial" w:hAnsi="Arial"/>
          <w:color w:val="374151"/>
          <w:sz w:val="21"/>
          <w:szCs w:val="21"/>
        </w:rPr>
        <w:t xml:space="preserve">Unlocks Apex Trader Funding, TopStep (Tradovate path). WebSocket-based, good fit for the existing Node.js architecture.</w:t>
      </w:r>
    </w:p>
    <w:p>
      <w:pPr>
        <w:pStyle w:val="ListParagraph"/>
        <w:numPr>
          <w:ilvl w:val="0"/>
          <w:numId w:val="2"/>
        </w:numPr>
        <w:spacing w:after="80" w:line="276"/>
      </w:pPr>
      <w:r>
        <w:rPr>
          <w:rFonts w:ascii="Arial" w:cs="Arial" w:eastAsia="Arial" w:hAnsi="Arial"/>
          <w:b/>
          <w:bCs/>
          <w:color w:val="1A1A2E"/>
          <w:sz w:val="21"/>
          <w:szCs w:val="21"/>
        </w:rPr>
        <w:t xml:space="preserve">Priority 4 — cTrader/Rithmic: </w:t>
      </w:r>
      <w:r>
        <w:rPr>
          <w:rFonts w:ascii="Arial" w:cs="Arial" w:eastAsia="Arial" w:hAnsi="Arial"/>
          <w:color w:val="374151"/>
          <w:sz w:val="21"/>
          <w:szCs w:val="21"/>
        </w:rPr>
        <w:t xml:space="preserve">Lower priority. Build only if specific firm selection requires it.</w:t>
      </w:r>
    </w:p>
    <w:p>
      <w:r>
        <w:br w:type="page"/>
      </w:r>
    </w:p>
    <w:p>
      <w:pPr>
        <w:pStyle w:val="Heading1"/>
        <w:spacing w:after="200" w:before="360"/>
      </w:pPr>
      <w:r>
        <w:rPr>
          <w:rFonts w:ascii="Arial" w:cs="Arial" w:eastAsia="Arial" w:hAnsi="Arial"/>
          <w:b/>
          <w:bCs/>
          <w:color w:val="1A1A2E"/>
          <w:sz w:val="32"/>
          <w:szCs w:val="32"/>
        </w:rPr>
        <w:t xml:space="preserve">7. Prohibited Strategy Blacklist</w:t>
      </w:r>
    </w:p>
    <w:p>
      <w:pPr>
        <w:pBdr>
          <w:bottom w:val="single" w:color="E94560" w:sz="4" w:space="1"/>
        </w:pBdr>
        <w:spacing w:after="80" w:before="80"/>
      </w:pPr>
    </w:p>
    <w:p>
      <w:pPr>
        <w:spacing w:after="160" w:line="276"/>
      </w:pPr>
      <w:r>
        <w:rPr>
          <w:rFonts w:ascii="Arial" w:cs="Arial" w:eastAsia="Arial" w:hAnsi="Arial"/>
          <w:color w:val="374151"/>
          <w:sz w:val="21"/>
          <w:szCs w:val="21"/>
        </w:rPr>
        <w:t xml:space="preserve">These strategies are explicitly banned by most prop firms and must be hardcoded as rejections in the execution engine. The system must never execute any of these regardless of what the AI signal layer suggests.</w:t>
      </w:r>
    </w:p>
    <w:p>
      <w:pPr>
        <w:pStyle w:val="ListParagraph"/>
        <w:numPr>
          <w:ilvl w:val="0"/>
          <w:numId w:val="2"/>
        </w:numPr>
        <w:spacing w:after="80" w:line="276"/>
      </w:pPr>
      <w:r>
        <w:rPr>
          <w:rFonts w:ascii="Arial" w:cs="Arial" w:eastAsia="Arial" w:hAnsi="Arial"/>
          <w:b/>
          <w:bCs/>
          <w:color w:val="1A1A2E"/>
          <w:sz w:val="21"/>
          <w:szCs w:val="21"/>
        </w:rPr>
        <w:t xml:space="preserve">Martingale: </w:t>
      </w:r>
      <w:r>
        <w:rPr>
          <w:rFonts w:ascii="Arial" w:cs="Arial" w:eastAsia="Arial" w:hAnsi="Arial"/>
          <w:color w:val="374151"/>
          <w:sz w:val="21"/>
          <w:szCs w:val="21"/>
        </w:rPr>
        <w:t xml:space="preserve">Doubling position size after a loss. Banned by virtually all firms. The engine must verify that no new position is larger than the previous losing position in the same instrument within a configurable lookback window.</w:t>
      </w:r>
    </w:p>
    <w:p>
      <w:pPr>
        <w:pStyle w:val="ListParagraph"/>
        <w:numPr>
          <w:ilvl w:val="0"/>
          <w:numId w:val="2"/>
        </w:numPr>
        <w:spacing w:after="80" w:line="276"/>
      </w:pPr>
      <w:r>
        <w:rPr>
          <w:rFonts w:ascii="Arial" w:cs="Arial" w:eastAsia="Arial" w:hAnsi="Arial"/>
          <w:b/>
          <w:bCs/>
          <w:color w:val="1A1A2E"/>
          <w:sz w:val="21"/>
          <w:szCs w:val="21"/>
        </w:rPr>
        <w:t xml:space="preserve">Grid trading without stops: </w:t>
      </w:r>
      <w:r>
        <w:rPr>
          <w:rFonts w:ascii="Arial" w:cs="Arial" w:eastAsia="Arial" w:hAnsi="Arial"/>
          <w:color w:val="374151"/>
          <w:sz w:val="21"/>
          <w:szCs w:val="21"/>
        </w:rPr>
        <w:t xml:space="preserve">Opening expanding grids of positions at fixed intervals without hard stop losses. Allowed in some limited forms, but the engine must enforce a hard stop on every position.</w:t>
      </w:r>
    </w:p>
    <w:p>
      <w:pPr>
        <w:pStyle w:val="ListParagraph"/>
        <w:numPr>
          <w:ilvl w:val="0"/>
          <w:numId w:val="2"/>
        </w:numPr>
        <w:spacing w:after="80" w:line="276"/>
      </w:pPr>
      <w:r>
        <w:rPr>
          <w:rFonts w:ascii="Arial" w:cs="Arial" w:eastAsia="Arial" w:hAnsi="Arial"/>
          <w:b/>
          <w:bCs/>
          <w:color w:val="1A1A2E"/>
          <w:sz w:val="21"/>
          <w:szCs w:val="21"/>
        </w:rPr>
        <w:t xml:space="preserve">Latency arbitrage: </w:t>
      </w:r>
      <w:r>
        <w:rPr>
          <w:rFonts w:ascii="Arial" w:cs="Arial" w:eastAsia="Arial" w:hAnsi="Arial"/>
          <w:color w:val="374151"/>
          <w:sz w:val="21"/>
          <w:szCs w:val="21"/>
        </w:rPr>
        <w:t xml:space="preserve">Exploiting price feed delays. This will get accounts flagged and terminated immediately. The engine must enforce minimum hold times per firm profile.</w:t>
      </w:r>
    </w:p>
    <w:p>
      <w:pPr>
        <w:pStyle w:val="ListParagraph"/>
        <w:numPr>
          <w:ilvl w:val="0"/>
          <w:numId w:val="2"/>
        </w:numPr>
        <w:spacing w:after="80" w:line="276"/>
      </w:pPr>
      <w:r>
        <w:rPr>
          <w:rFonts w:ascii="Arial" w:cs="Arial" w:eastAsia="Arial" w:hAnsi="Arial"/>
          <w:b/>
          <w:bCs/>
          <w:color w:val="1A1A2E"/>
          <w:sz w:val="21"/>
          <w:szCs w:val="21"/>
        </w:rPr>
        <w:t xml:space="preserve">Cross-account hedging: </w:t>
      </w:r>
      <w:r>
        <w:rPr>
          <w:rFonts w:ascii="Arial" w:cs="Arial" w:eastAsia="Arial" w:hAnsi="Arial"/>
          <w:color w:val="374151"/>
          <w:sz w:val="21"/>
          <w:szCs w:val="21"/>
        </w:rPr>
        <w:t xml:space="preserve">Going long on one firm’s account and short on another’s for the same instrument. Firms actively share data to detect this. The engine’s multi-account manager must prevent opposing positions across accounts.</w:t>
      </w:r>
    </w:p>
    <w:p>
      <w:pPr>
        <w:pStyle w:val="ListParagraph"/>
        <w:numPr>
          <w:ilvl w:val="0"/>
          <w:numId w:val="2"/>
        </w:numPr>
        <w:spacing w:after="80" w:line="276"/>
      </w:pPr>
      <w:r>
        <w:rPr>
          <w:rFonts w:ascii="Arial" w:cs="Arial" w:eastAsia="Arial" w:hAnsi="Arial"/>
          <w:b/>
          <w:bCs/>
          <w:color w:val="1A1A2E"/>
          <w:sz w:val="21"/>
          <w:szCs w:val="21"/>
        </w:rPr>
        <w:t xml:space="preserve">Copy trading from external signals: </w:t>
      </w:r>
      <w:r>
        <w:rPr>
          <w:rFonts w:ascii="Arial" w:cs="Arial" w:eastAsia="Arial" w:hAnsi="Arial"/>
          <w:color w:val="374151"/>
          <w:sz w:val="21"/>
          <w:szCs w:val="21"/>
        </w:rPr>
        <w:t xml:space="preserve">Most firms require that trades originate from the trader’s own strategy. All signals must be internally generated.</w:t>
      </w:r>
    </w:p>
    <w:p>
      <w:pPr>
        <w:pStyle w:val="ListParagraph"/>
        <w:numPr>
          <w:ilvl w:val="0"/>
          <w:numId w:val="2"/>
        </w:numPr>
        <w:spacing w:after="80" w:line="276"/>
      </w:pPr>
      <w:r>
        <w:rPr>
          <w:rFonts w:ascii="Arial" w:cs="Arial" w:eastAsia="Arial" w:hAnsi="Arial"/>
          <w:b/>
          <w:bCs/>
          <w:color w:val="1A1A2E"/>
          <w:sz w:val="21"/>
          <w:szCs w:val="21"/>
        </w:rPr>
        <w:t xml:space="preserve">High-frequency scalping: </w:t>
      </w:r>
      <w:r>
        <w:rPr>
          <w:rFonts w:ascii="Arial" w:cs="Arial" w:eastAsia="Arial" w:hAnsi="Arial"/>
          <w:color w:val="374151"/>
          <w:sz w:val="21"/>
          <w:szCs w:val="21"/>
        </w:rPr>
        <w:t xml:space="preserve">Sub-second hold times or thousands of daily trades. Most firms restrict this. The engine must enforce minimum hold times and maximum daily trade counts per firm profile.</w:t>
      </w:r>
    </w:p>
    <w:p>
      <w:r>
        <w:br w:type="page"/>
      </w:r>
    </w:p>
    <w:p>
      <w:pPr>
        <w:pStyle w:val="Heading1"/>
        <w:spacing w:after="200" w:before="360"/>
      </w:pPr>
      <w:r>
        <w:rPr>
          <w:rFonts w:ascii="Arial" w:cs="Arial" w:eastAsia="Arial" w:hAnsi="Arial"/>
          <w:b/>
          <w:bCs/>
          <w:color w:val="1A1A2E"/>
          <w:sz w:val="32"/>
          <w:szCs w:val="32"/>
        </w:rPr>
        <w:t xml:space="preserve">8. Risk Assessment &amp; Honest Constraints</w:t>
      </w:r>
    </w:p>
    <w:p>
      <w:pPr>
        <w:pBdr>
          <w:bottom w:val="single" w:color="E94560" w:sz="4" w:space="1"/>
        </w:pBdr>
        <w:spacing w:after="80" w:before="80"/>
      </w:pPr>
    </w:p>
    <w:p>
      <w:pPr>
        <w:spacing w:after="160" w:line="276"/>
      </w:pPr>
      <w:r>
        <w:rPr>
          <w:rFonts w:ascii="Arial" w:cs="Arial" w:eastAsia="Arial" w:hAnsi="Arial"/>
          <w:color w:val="374151"/>
          <w:sz w:val="21"/>
          <w:szCs w:val="21"/>
        </w:rPr>
        <w:t xml:space="preserve">This section exists to prevent overconfidence. Building an autonomous trading system that passes prop firm evaluations is technically feasible but operationally difficult. Here are the real constraints.</w:t>
      </w:r>
    </w:p>
    <w:p>
      <w:pPr>
        <w:pStyle w:val="Heading2"/>
        <w:spacing w:after="160" w:before="280"/>
      </w:pPr>
      <w:r>
        <w:rPr>
          <w:rFonts w:ascii="Arial" w:cs="Arial" w:eastAsia="Arial" w:hAnsi="Arial"/>
          <w:b/>
          <w:bCs/>
          <w:color w:val="0F3460"/>
          <w:sz w:val="26"/>
          <w:szCs w:val="26"/>
        </w:rPr>
        <w:t xml:space="preserve">8.1 Technical Risks</w:t>
      </w:r>
    </w:p>
    <w:p>
      <w:pPr>
        <w:pStyle w:val="ListParagraph"/>
        <w:numPr>
          <w:ilvl w:val="0"/>
          <w:numId w:val="2"/>
        </w:numPr>
        <w:spacing w:after="80" w:line="276"/>
      </w:pPr>
      <w:r>
        <w:rPr>
          <w:rFonts w:ascii="Arial" w:cs="Arial" w:eastAsia="Arial" w:hAnsi="Arial"/>
          <w:b/>
          <w:bCs/>
          <w:color w:val="1A1A2E"/>
          <w:sz w:val="21"/>
          <w:szCs w:val="21"/>
        </w:rPr>
        <w:t xml:space="preserve">Ollama model reliability: </w:t>
      </w:r>
      <w:r>
        <w:rPr>
          <w:rFonts w:ascii="Arial" w:cs="Arial" w:eastAsia="Arial" w:hAnsi="Arial"/>
          <w:color w:val="374151"/>
          <w:sz w:val="21"/>
          <w:szCs w:val="21"/>
        </w:rPr>
        <w:t xml:space="preserve">Local LLMs can produce inconsistent outputs on edge cases. Mitigation: the AI layer only produces signals; it never executes. All execution decisions flow through deterministic code.</w:t>
      </w:r>
    </w:p>
    <w:p>
      <w:pPr>
        <w:pStyle w:val="ListParagraph"/>
        <w:numPr>
          <w:ilvl w:val="0"/>
          <w:numId w:val="2"/>
        </w:numPr>
        <w:spacing w:after="80" w:line="276"/>
      </w:pPr>
      <w:r>
        <w:rPr>
          <w:rFonts w:ascii="Arial" w:cs="Arial" w:eastAsia="Arial" w:hAnsi="Arial"/>
          <w:b/>
          <w:bCs/>
          <w:color w:val="1A1A2E"/>
          <w:sz w:val="21"/>
          <w:szCs w:val="21"/>
        </w:rPr>
        <w:t xml:space="preserve">Platform API stability: </w:t>
      </w:r>
      <w:r>
        <w:rPr>
          <w:rFonts w:ascii="Arial" w:cs="Arial" w:eastAsia="Arial" w:hAnsi="Arial"/>
          <w:color w:val="374151"/>
          <w:sz w:val="21"/>
          <w:szCs w:val="21"/>
        </w:rPr>
        <w:t xml:space="preserve">MT5 ZeroMQ bridges, TradeLocker APIs, and Tradovate WebSockets can all experience downtime or latency spikes. Mitigation: heartbeat monitoring, automatic position flatten on connection loss, manual override capability.</w:t>
      </w:r>
    </w:p>
    <w:p>
      <w:pPr>
        <w:pStyle w:val="ListParagraph"/>
        <w:numPr>
          <w:ilvl w:val="0"/>
          <w:numId w:val="2"/>
        </w:numPr>
        <w:spacing w:after="80" w:line="276"/>
      </w:pPr>
      <w:r>
        <w:rPr>
          <w:rFonts w:ascii="Arial" w:cs="Arial" w:eastAsia="Arial" w:hAnsi="Arial"/>
          <w:b/>
          <w:bCs/>
          <w:color w:val="1A1A2E"/>
          <w:sz w:val="21"/>
          <w:szCs w:val="21"/>
        </w:rPr>
        <w:t xml:space="preserve">Multi-firm rule conflicts: </w:t>
      </w:r>
      <w:r>
        <w:rPr>
          <w:rFonts w:ascii="Arial" w:cs="Arial" w:eastAsia="Arial" w:hAnsi="Arial"/>
          <w:color w:val="374151"/>
          <w:sz w:val="21"/>
          <w:szCs w:val="21"/>
        </w:rPr>
        <w:t xml:space="preserve">Trading the same instrument on multiple firms simultaneously creates risk of triggering cross-account hedging detection. Mitigation: the multi-account manager enforces directional consistency across all accounts for the same instrument.</w:t>
      </w:r>
    </w:p>
    <w:p>
      <w:pPr>
        <w:pStyle w:val="Heading2"/>
        <w:spacing w:after="160" w:before="280"/>
      </w:pPr>
      <w:r>
        <w:rPr>
          <w:rFonts w:ascii="Arial" w:cs="Arial" w:eastAsia="Arial" w:hAnsi="Arial"/>
          <w:b/>
          <w:bCs/>
          <w:color w:val="0F3460"/>
          <w:sz w:val="26"/>
          <w:szCs w:val="26"/>
        </w:rPr>
        <w:t xml:space="preserve">8.2 Financial Risks</w:t>
      </w:r>
    </w:p>
    <w:p>
      <w:pPr>
        <w:pStyle w:val="ListParagraph"/>
        <w:numPr>
          <w:ilvl w:val="0"/>
          <w:numId w:val="2"/>
        </w:numPr>
        <w:spacing w:after="80" w:line="276"/>
      </w:pPr>
      <w:r>
        <w:rPr>
          <w:rFonts w:ascii="Arial" w:cs="Arial" w:eastAsia="Arial" w:hAnsi="Arial"/>
          <w:b/>
          <w:bCs/>
          <w:color w:val="1A1A2E"/>
          <w:sz w:val="21"/>
          <w:szCs w:val="21"/>
        </w:rPr>
        <w:t xml:space="preserve">Evaluation failure rate: </w:t>
      </w:r>
      <w:r>
        <w:rPr>
          <w:rFonts w:ascii="Arial" w:cs="Arial" w:eastAsia="Arial" w:hAnsi="Arial"/>
          <w:color w:val="374151"/>
          <w:sz w:val="21"/>
          <w:szCs w:val="21"/>
        </w:rPr>
        <w:t xml:space="preserve">Even with automation, expect 2–3 failures per tier. Budget accordingly. At Tier 1 ($23–$50 per eval), failures are cheap. At Tier 2 ($400–$540), they hurt.</w:t>
      </w:r>
    </w:p>
    <w:p>
      <w:pPr>
        <w:pStyle w:val="ListParagraph"/>
        <w:numPr>
          <w:ilvl w:val="0"/>
          <w:numId w:val="2"/>
        </w:numPr>
        <w:spacing w:after="80" w:line="276"/>
      </w:pPr>
      <w:r>
        <w:rPr>
          <w:rFonts w:ascii="Arial" w:cs="Arial" w:eastAsia="Arial" w:hAnsi="Arial"/>
          <w:b/>
          <w:bCs/>
          <w:color w:val="1A1A2E"/>
          <w:sz w:val="21"/>
          <w:szCs w:val="21"/>
        </w:rPr>
        <w:t xml:space="preserve">Strategy decay: </w:t>
      </w:r>
      <w:r>
        <w:rPr>
          <w:rFonts w:ascii="Arial" w:cs="Arial" w:eastAsia="Arial" w:hAnsi="Arial"/>
          <w:color w:val="374151"/>
          <w:sz w:val="21"/>
          <w:szCs w:val="21"/>
        </w:rPr>
        <w:t xml:space="preserve">Market conditions change. A strategy that passes evaluations in Month 1 may stop working by Month 4. The Claude API weekly audit is designed to catch this, but regime shifts can be sudden.</w:t>
      </w:r>
    </w:p>
    <w:p>
      <w:pPr>
        <w:pStyle w:val="ListParagraph"/>
        <w:numPr>
          <w:ilvl w:val="0"/>
          <w:numId w:val="2"/>
        </w:numPr>
        <w:spacing w:after="80" w:line="276"/>
      </w:pPr>
      <w:r>
        <w:rPr>
          <w:rFonts w:ascii="Arial" w:cs="Arial" w:eastAsia="Arial" w:hAnsi="Arial"/>
          <w:b/>
          <w:bCs/>
          <w:color w:val="1A1A2E"/>
          <w:sz w:val="21"/>
          <w:szCs w:val="21"/>
        </w:rPr>
        <w:t xml:space="preserve">Firm solvency: </w:t>
      </w:r>
      <w:r>
        <w:rPr>
          <w:rFonts w:ascii="Arial" w:cs="Arial" w:eastAsia="Arial" w:hAnsi="Arial"/>
          <w:color w:val="374151"/>
          <w:sz w:val="21"/>
          <w:szCs w:val="21"/>
        </w:rPr>
        <w:t xml:space="preserve">Prop firms are businesses. Some have shut down unexpectedly (MyForexFunds in 2023). Mitigation: diversify across 3+ firms and never have more than 40% of total funded capital with a single firm.</w:t>
      </w:r>
    </w:p>
    <w:p>
      <w:pPr>
        <w:pStyle w:val="Heading2"/>
        <w:spacing w:after="160" w:before="280"/>
      </w:pPr>
      <w:r>
        <w:rPr>
          <w:rFonts w:ascii="Arial" w:cs="Arial" w:eastAsia="Arial" w:hAnsi="Arial"/>
          <w:b/>
          <w:bCs/>
          <w:color w:val="0F3460"/>
          <w:sz w:val="26"/>
          <w:szCs w:val="26"/>
        </w:rPr>
        <w:t xml:space="preserve">8.3 Realistic Expectations</w:t>
      </w:r>
    </w:p>
    <w:p>
      <w:pPr>
        <w:spacing w:after="160" w:line="276"/>
      </w:pPr>
      <w:r>
        <w:rPr>
          <w:rFonts w:ascii="Arial" w:cs="Arial" w:eastAsia="Arial" w:hAnsi="Arial"/>
          <w:color w:val="374151"/>
          <w:sz w:val="21"/>
          <w:szCs w:val="21"/>
        </w:rPr>
        <w:t xml:space="preserve">The financial targets in the original prompt ($150K funded, $10K/month by Month 6) are achievable but represent a best-case scenario. A more realistic range is $75–150K funded capital and $4–8K monthly revenue by Month 6, assuming the system performs well and evaluations are passed at a reasonable rate. The compounding protocol accelerates growth, but it depends on consistent execution and a low failure rate on evaluations.</w:t>
      </w:r>
    </w:p>
    <w:p>
      <w:pPr>
        <w:spacing w:after="160" w:line="276"/>
      </w:pPr>
      <w:r>
        <w:rPr>
          <w:rFonts w:ascii="Arial" w:cs="Arial" w:eastAsia="Arial" w:hAnsi="Arial"/>
          <w:color w:val="374151"/>
          <w:sz w:val="21"/>
          <w:szCs w:val="21"/>
        </w:rPr>
        <w:t xml:space="preserve">The most important thing this system provides is not speed — it’s discipline. Prop firm evaluations are primarily tests of risk management, not trading skill. An automated system that perfectly enforces drawdown rules, position sizing, and consistency requirements has a structural advantage over manual traders who are subject to emotional decision-making. That advantage alone justifies the build.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TRU-NEXUS Autonomous Trading System  •  Architecture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2026-03-25T21:12:26.903Z</dcterms:created>
  <dcterms:modified xsi:type="dcterms:W3CDTF">2026-03-25T21:12:26.904Z</dcterms:modified>
</cp:coreProperties>
</file>

<file path=docProps/custom.xml><?xml version="1.0" encoding="utf-8"?>
<Properties xmlns="http://schemas.openxmlformats.org/officeDocument/2006/custom-properties" xmlns:vt="http://schemas.openxmlformats.org/officeDocument/2006/docPropsVTypes"/>
</file>