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Cộng hòa xã hội chủ nghĩa Việt Nam</w:t>
      </w:r>
    </w:p>
    <w:p>
      <w:r>
        <w:t>VĂN BẢN THỬ NGHIỆM — KHÔNG CÓ GIÁ TRỊ PHÁP LÝ</w:t>
      </w:r>
    </w:p>
    <w:p>
      <w:r>
        <w:t xml:space="preserve">Tôi đi trên một con đo. Đây  là văn bản mẫu.</w:t>
      </w:r>
    </w:p>
    <w:p>
      <w:r>
        <w:t>Tôi đo chiều dài. Tôi đi trên một con đò.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t>Trong bảng: một con đo.</w:t>
            </w:r>
          </w:p>
        </w:tc>
      </w:tr>
    </w:tbl>
    <w:p>
      <w:r>
        <w:br w:type="page"/>
        <w:t>Trang hai: một con đo.</w:t>
      </w:r>
    </w:p>
    <w:sectPr>
      <w:pgSz w:w="11906" w:h="16838"/>
      <w:pgMar w:top="1134" w:right="850" w:bottom="1134" w:left="1701"/>
    </w:sectPr>
  </w:body>
</w:document>
</file>