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Van Trung</w:t>
      </w:r>
      <w:r>
        <w:rPr>
          <w:vertAlign w:val="superscript"/>
        </w:rPr>
        <w:t>*</w:t>
      </w:r>
    </w:p>
    <w:p>
      <w:pPr>
        <w:spacing w:line="240" w:lineRule="auto" w:after="80" w:before="0"/>
        <w:jc w:val="center"/>
      </w:pPr>
      <w:r>
        <w:rPr/>
        <w:t>International School, Vietnam National University, Hanoi, 144 Xuan Thuy Street, Cau Giay District, Hanoi, Vietnam</w:t>
      </w:r>
    </w:p>
    <w:p>
      <w:pPr>
        <w:spacing w:line="240" w:lineRule="auto" w:after="80" w:before="0"/>
        <w:jc w:val="center"/>
      </w:pPr>
      <w:r>
        <w:rPr/>
        <w:t>* Corresponding author: Nguyen Van Trung, International School, Vietnam National University, Hanoi, 144 Xuan Thuy Street, Cau Giay District, Hanoi, Vietnam. Email: kontrungcany@gmail.com. Tel: +84 355 347 831. ORCID 0009-0008-3307-6569.</w:t>
      </w:r>
    </w:p>
    <w:p>
      <w:pPr>
        <w:keepNext/>
        <w:spacing w:line="360" w:lineRule="auto" w:after="120" w:before="240"/>
      </w:pPr>
      <w:r>
        <w:rPr>
          <w:b/>
        </w:rPr>
        <w:t>Acknowledgements</w:t>
      </w:r>
    </w:p>
    <w:p>
      <w:pPr>
        <w:spacing w:line="360" w:lineRule="auto" w:after="120" w:before="0"/>
        <w:jc w:val="both"/>
      </w:pPr>
      <w:r>
        <w:rPr/>
        <w:t>The author thanks a native English-speaking editor for language editing of the manuscript.</w:t>
      </w:r>
    </w:p>
    <w:p>
      <w:pPr>
        <w:keepNext/>
        <w:spacing w:line="360" w:lineRule="auto" w:after="120" w:before="240"/>
      </w:pPr>
      <w:r>
        <w:rPr>
          <w:b/>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240"/>
      </w:pPr>
      <w:r>
        <w:rPr>
          <w:b/>
        </w:rPr>
        <w:t>Data availability statement</w:t>
      </w:r>
    </w:p>
    <w:p>
      <w:pPr>
        <w:spacing w:line="360" w:lineRule="auto" w:after="120" w:before="0"/>
        <w:jc w:val="both"/>
      </w:pPr>
      <w:r>
        <w:rPr/>
        <w:t>The ESG scores (LSEG Workspace) and the accounting and market data (Compustat Global) are licensed, and the licences do not allow the author to redistribute them, including firm identifiers and derived firm-level variables; the download date of the scores was not recorded. The R code, the pre-analysis plan, and all aggregate output files are available from the author on request and will be deposited in a public repository upon acceptance. Researchers with access to the two databases can rebuild the sample with the code.</w:t>
      </w:r>
    </w:p>
    <w:p>
      <w:pPr>
        <w:keepNext/>
        <w:spacing w:line="360" w:lineRule="auto" w:after="120" w:before="240"/>
      </w:pPr>
      <w:r>
        <w:rPr>
          <w:b/>
        </w:rPr>
        <w:t>Conflict of interest disclosure</w:t>
      </w:r>
    </w:p>
    <w:p>
      <w:pPr>
        <w:spacing w:line="360" w:lineRule="auto" w:after="120" w:before="0"/>
        <w:jc w:val="both"/>
      </w:pPr>
      <w:r>
        <w:rPr/>
        <w:t>The author has nothing to disclose.</w:t>
      </w:r>
    </w:p>
    <w:p>
      <w:pPr>
        <w:keepNext/>
        <w:spacing w:line="360" w:lineRule="auto" w:after="120" w:before="240"/>
      </w:pPr>
      <w:r>
        <w:rPr>
          <w:b/>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240"/>
      </w:pPr>
      <w:r>
        <w:rPr>
          <w:b/>
        </w:rPr>
        <w:t>Author contributions</w:t>
      </w:r>
    </w:p>
    <w:p>
      <w:pPr>
        <w:spacing w:line="360" w:lineRule="auto" w:after="120" w:before="0"/>
        <w:jc w:val="both"/>
      </w:pPr>
      <w:r>
        <w:rPr/>
        <w:t>Nguyen Van Trung is the sole author and carried out the conceptualization, data curation, formal analysis, methodology, software, visualization, and writing.</w:t>
      </w:r>
    </w:p>
    <w:p>
      <w:pPr>
        <w:keepNext/>
        <w:spacing w:line="360" w:lineRule="auto" w:after="120" w:before="240"/>
      </w:pPr>
      <w:r>
        <w:rPr>
          <w:b/>
        </w:rPr>
        <w:t>Declaration of generative AI use</w:t>
      </w:r>
    </w:p>
    <w:p>
      <w:pPr>
        <w:spacing w:line="360" w:lineRule="auto" w:after="120" w:before="0"/>
        <w:jc w:val="both"/>
      </w:pPr>
      <w:r>
        <w:rPr/>
        <w:t>The author used Claude (Anthropic), through Claude Code, in September and October 2026 to screen research questions, draft the pre-analysis plan, write the R code, edit and revise the text, check references, and simulate referee reports. The author reviewed every output, checked each reported number against the R output files, and takes full responsibility for the content.</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