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b/>
          <w:sz w:val="28"/>
        </w:rPr>
        <w:t>Who Gets an ESG Score? Coverage Selection and Firm Value in Five Southeast Asian Markets</w:t>
      </w:r>
    </w:p>
    <w:p>
      <w:pPr>
        <w:keepNext/>
        <w:spacing w:line="480" w:lineRule="auto" w:after="120" w:before="240"/>
      </w:pPr>
      <w:r>
        <w:rPr>
          <w:b/>
        </w:rPr>
        <w:t>Abstract</w:t>
      </w:r>
    </w:p>
    <w:p>
      <w:pPr>
        <w:spacing w:line="480" w:lineRule="auto" w:after="120" w:before="0"/>
        <w:jc w:val="both"/>
      </w:pPr>
      <w:r>
        <w:rPr/>
        <w:t>Most listed firms in Southeast Asia have no environmental, social, and governance (ESG) score, so they sit outside the universe that ESG-screened investors can hold. We ask which firms enter London Stock Exchange Group (LSEG) ESG coverage and whether entry changes their valuation. We compare 675 non-financial firms in Indonesia, Malaysia, the Philippines, Singapore, and Thailand that received a first score with 2,613 never-scored firms. Over the five years before the first score, the market-to-book (MTB) ratio of scored firms grew 10.0% more than that of never-scored firms, a run-up absent in a large Malaysian wave. Under parallel trends, we detect no MTB gain after the first score (estimate 0.002; 95% interval −0.046 to 0.048) and no difference between high- and low-score firms. ESG screens built on this provider's scores draw on firms that have often just outgrown their peers.</w:t>
      </w:r>
    </w:p>
    <w:p>
      <w:pPr>
        <w:spacing w:line="480" w:lineRule="auto" w:after="80" w:before="0"/>
      </w:pPr>
      <w:r>
        <w:rPr>
          <w:b/>
        </w:rPr>
        <w:t>Keywords:</w:t>
      </w:r>
      <w:r>
        <w:t xml:space="preserve"> Emerging markets, ESG ratings, Firm valuation, Rating coverage, Sustainable finance</w:t>
      </w:r>
    </w:p>
    <w:p>
      <w:r>
        <w:br w:type="page"/>
      </w:r>
    </w:p>
    <w:p>
      <w:pPr>
        <w:keepNext/>
        <w:spacing w:line="480" w:lineRule="auto" w:after="120" w:before="240"/>
      </w:pPr>
      <w:r>
        <w:rPr>
          <w:b/>
        </w:rPr>
        <w:t>1. Introduction</w:t>
      </w:r>
    </w:p>
    <w:p>
      <w:pPr>
        <w:spacing w:line="480" w:lineRule="auto" w:after="120" w:before="0"/>
        <w:ind w:firstLine="432"/>
        <w:jc w:val="both"/>
      </w:pPr>
      <w:r>
        <w:rPr/>
        <w:t>Environmental, social, and governance (ESG) scores decide which firms ESG-screened investors can hold. A fund, index, or mandate restricted to scored stocks cannot buy a firm that no provider covers. In five Southeast Asian equity markets, most listed firms had no score from the London Stock Exchange Group (LSEG) at any point between 2014 and 2024. Much of the academic literature on ESG ratings uses LSEG scores (Berg, Kölbel, et al., 2022; Dobrick et al., 2023). Entry into the scored universe therefore raises two questions: which firms get scored, and does entry change how the market values them?</w:t>
      </w:r>
    </w:p>
    <w:p>
      <w:pPr>
        <w:spacing w:line="480" w:lineRule="auto" w:after="120" w:before="0"/>
        <w:ind w:firstLine="432"/>
        <w:jc w:val="both"/>
      </w:pPr>
      <w:r>
        <w:rPr/>
        <w:t>Theory provides no single answer to the second question. Investor recognition predicts a gain for every newly scored firm, because a first score makes it visible to ESG-screening investors and a broader investor base raises its price (Merton, 1987). ESG preferences predict a gain for firms the score reveals as green and a loss for those it reveals as brown (Pástor et al., 2021; Pedersen et al., 2021). Evidence on index additions and rating changes is mixed (Section 2).</w:t>
      </w:r>
    </w:p>
    <w:p>
      <w:pPr>
        <w:spacing w:line="480" w:lineRule="auto" w:after="120" w:before="0"/>
        <w:ind w:firstLine="432"/>
        <w:jc w:val="both"/>
      </w:pPr>
      <w:r>
        <w:rPr/>
        <w:t>The first question matters because providers choose whom to score. They are likely to add a firm once it is large, liquid, and discloses enough to be scored, and their scores rise with firm size (Dobrick et al., 2023; Drempetic et al., 2020). If coverage follows growth in market value, a comparison of scored and unscored firms, or a regression that pools all years around coverage, attributes past growth to the score. U.S. studies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480" w:lineRule="auto" w:after="120" w:before="0"/>
        <w:ind w:firstLine="432"/>
        <w:jc w:val="both"/>
      </w:pPr>
      <w:r>
        <w:rPr/>
        <w:t>We study Indonesia, Malaysia, the Philippines, Singapore, and Thailand. LSEG, whose scores were earlier distributed as Refinitiv ESG and ASSET4, extended coverage in market-specific waves. Of the 675 non-financial firms that entered coverage between 2015 and 2024, 577 did so in 2020 to 2023, and 289 were Malaysian firms first scored in 2021 or 2022. We compare these firms with 2,613 never-scored firms before and after each firm's first scored year, using the estimator of Callaway and Sant'Anna (2021), which makes this comparison cohort by cohort and avoids the biases of two-way fixed effects regressions under staggered timing (Baker et al., 2022; Goodman-Bacon, 2021). A pre-analysis plan, committed to version control before the estimation code, records the hypotheses, sample rules, estimator, and robustness checks; we label every later analysis exploratory.</w:t>
      </w:r>
    </w:p>
    <w:p>
      <w:pPr>
        <w:spacing w:line="480" w:lineRule="auto" w:after="120" w:before="0"/>
        <w:ind w:firstLine="432"/>
        <w:jc w:val="both"/>
      </w:pPr>
      <w:r>
        <w:rPr/>
        <w:t>The evidence has four parts. First, scored firms had outgrown never-scored firms of similar size, country, and industry before their first scored year (Figure 1). From five years before the first score to the base year (the year before it), their market capitalization grew 14.1% more (95% interval 3.1% to 25.3%) and their market-to-book (MTB) ratio 10.0% more (1.9% to 18.2%). The joint test of parallel pre-coverage trends rejects for market capitalization but not, at the 5% level, for MTB (p = 0.074). Second, the run-up differs across coverage waves (Figure 2): it is large in the 108 Thai and Singaporean firms first scored in 2019 and 2020 and absent in the 289 Malaysian firms first scored in 2021 and 2022, the largest wave in the data. Third, under parallel trends from the base year, the average effect on log MTB over the first four years is 0.002 (95% interval −0.046 to 0.048). The difference between firms with high and low initial scores, which tests the preference channel, is −0.041 (p = 0.307); with a minimum detectable difference of 0.113, we cannot exclude a moderate difference. Fourth, a static two-way fixed effects regression on the same data attributes a 6.6% MTB increase to coverage.</w:t>
      </w:r>
    </w:p>
    <w:p>
      <w:pPr>
        <w:spacing w:line="480" w:lineRule="auto" w:after="120" w:before="120"/>
        <w:jc w:val="center"/>
      </w:pPr>
      <w:r>
        <w:rPr>
          <w:b/>
        </w:rPr>
        <w:t>[Insert Figure 1 here]</w:t>
      </w:r>
    </w:p>
    <w:p>
      <w:pPr>
        <w:spacing w:line="480" w:lineRule="auto" w:after="120" w:before="120"/>
        <w:jc w:val="center"/>
      </w:pPr>
      <w:r>
        <w:rPr>
          <w:b/>
        </w:rPr>
        <w:t>[Insert Figure 2 here]</w:t>
      </w:r>
    </w:p>
    <w:p>
      <w:pPr>
        <w:spacing w:line="480" w:lineRule="auto" w:after="120" w:before="0"/>
        <w:ind w:firstLine="432"/>
        <w:jc w:val="both"/>
      </w:pPr>
      <w:r>
        <w:rPr/>
        <w:t>We do not claim that coverage has no effect on valuation. With coverage dated one year later, to the first year in which investors could have seen a score, the MTB ratio changes by −6.6% relative to never-scored firms (95% interval −10.9% to −2.0%). Because we measure this decline from the end of the run-up, it cannot separate a reversal of earlier growth from an effect of coverage. The decline loses significance if post-coverage departures from parallel trends may reach about a quarter of the largest pre-coverage year-to-year change (Rambachan &amp; Roth, 2023), at which point the headline estimate's interval widens to −0.071 to 0.073.</w:t>
      </w:r>
    </w:p>
    <w:p>
      <w:pPr>
        <w:spacing w:line="480" w:lineRule="auto" w:after="120" w:before="0"/>
        <w:ind w:firstLine="432"/>
        <w:jc w:val="both"/>
      </w:pPr>
      <w:r>
        <w:rPr/>
        <w:t>The study makes three contributions. First, it adds valuation and an emerging-market setting to the rating-coverage literature (Bikmetova &amp; Pirinsky, 2026; Tsang et al., 2024, 2025) and shows which firms one provider brought into its scored universe: outside its largest wave, firms that had just outgrown their peers. Second, it adds coverage initiation to the evidence on ratings as price-relevant information: unlike an MSCI downgrade (Berg, Heeb, et al., 2022), entry into LSEG coverage was not followed by a detectable revaluation for firms with high or low initial scores. Third, it shows how selection into the scored universe can make scored firms look more valuable than the score itself made them.</w:t>
      </w:r>
    </w:p>
    <w:p>
      <w:pPr>
        <w:spacing w:line="480" w:lineRule="auto" w:after="120" w:before="0"/>
        <w:ind w:firstLine="432"/>
        <w:jc w:val="both"/>
      </w:pPr>
      <w:r>
        <w:rPr/>
        <w:t>Section 2 reviews the literature and states the hypotheses. Sections 3, 4, and 5 present the data, methods, and results. Section 6 discusses mechanisms and implications, Section 7 states the limitations, and Section 8 concludes.</w:t>
      </w:r>
    </w:p>
    <w:p>
      <w:pPr>
        <w:keepNext/>
        <w:spacing w:line="480" w:lineRule="auto" w:after="120" w:before="240"/>
      </w:pPr>
      <w:r>
        <w:rPr>
          <w:b/>
        </w:rPr>
        <w:t>2. Related Literature and Hypotheses</w:t>
      </w:r>
    </w:p>
    <w:p>
      <w:pPr>
        <w:keepNext/>
        <w:spacing w:line="480" w:lineRule="auto" w:after="120" w:before="120"/>
      </w:pPr>
      <w:r>
        <w:rPr>
          <w:i/>
        </w:rPr>
        <w:t>2.1 ESG ratings as information and certification</w:t>
      </w:r>
    </w:p>
    <w:p>
      <w:pPr>
        <w:spacing w:line="480" w:lineRule="auto" w:after="120" w:before="0"/>
        <w:ind w:firstLine="432"/>
        <w:jc w:val="both"/>
      </w:pPr>
      <w:r>
        <w:rPr/>
        <w:t>ESG ratings can move prices when they change what investors know or which investors may hold a stock. Evidence on rating changes points to both channels. MSCI downgrades are followed by lower ownership by U.S. funds with ESG mandates and a one-year abnormal return of approximately −2.37%, with weaker effects for upgrades (Berg, Heeb, et al., 2022). Calendar-time portfolios of firms with rating changes show a similar asymmetry (Shanaev &amp; Ghimire, 2022). Hartzmark and Sussman (2019) show that publishing Morningstar sustainability ratings for mutual funds redirected fund flows, although any effect on the stocks those funds hold is indirect.</w:t>
      </w:r>
    </w:p>
    <w:p>
      <w:pPr>
        <w:spacing w:line="480" w:lineRule="auto" w:after="120" w:before="0"/>
        <w:ind w:firstLine="432"/>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keepNext/>
        <w:spacing w:line="480" w:lineRule="auto" w:after="120" w:before="120"/>
      </w:pPr>
      <w:r>
        <w:rPr>
          <w:i/>
        </w:rPr>
        <w:t>2.2 ESG demand, recognition, and price pressure</w:t>
      </w:r>
    </w:p>
    <w:p>
      <w:pPr>
        <w:spacing w:line="480" w:lineRule="auto" w:after="120" w:before="0"/>
        <w:ind w:firstLine="432"/>
        <w:jc w:val="both"/>
      </w:pPr>
      <w:r>
        <w:rPr/>
        <w:t>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w:t>
      </w:r>
    </w:p>
    <w:p>
      <w:pPr>
        <w:spacing w:line="480" w:lineRule="auto" w:after="120" w:before="0"/>
        <w:ind w:firstLine="432"/>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keepNext/>
        <w:spacing w:line="480" w:lineRule="auto" w:after="120" w:before="120"/>
      </w:pPr>
      <w:r>
        <w:rPr>
          <w:i/>
        </w:rPr>
        <w:t>2.3 Which firms providers score</w:t>
      </w:r>
    </w:p>
    <w:p>
      <w:pPr>
        <w:spacing w:line="480" w:lineRule="auto" w:after="120" w:before="0"/>
        <w:ind w:firstLine="432"/>
        <w:jc w:val="both"/>
      </w:pPr>
      <w:r>
        <w:rPr/>
        <w:t>We expect providers to cover firms in the indices their clients track and firms that disclose enough to be scored, although our data omit the provider's coverage rules. Mandatory sustainability reporting increases the information available on listed firms (Krueger et al., 2024).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keepNext/>
        <w:spacing w:line="480" w:lineRule="auto" w:after="120" w:before="120"/>
      </w:pPr>
      <w:r>
        <w:rPr>
          <w:i/>
        </w:rPr>
        <w:t>2.4 Hypotheses</w:t>
      </w:r>
    </w:p>
    <w:p>
      <w:pPr>
        <w:spacing w:line="480" w:lineRule="auto" w:after="120" w:before="0"/>
        <w:ind w:firstLine="432"/>
        <w:jc w:val="both"/>
      </w:pPr>
      <w:r>
        <w:rPr/>
        <w:t>The pre-analysis plan states three hypotheses, all tested two-sided.</w:t>
      </w:r>
    </w:p>
    <w:p>
      <w:pPr>
        <w:spacing w:line="480" w:lineRule="auto" w:after="120" w:before="0"/>
        <w:ind w:firstLine="432"/>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480" w:lineRule="auto" w:after="120" w:before="0"/>
        <w:ind w:firstLine="432"/>
        <w:jc w:val="both"/>
      </w:pPr>
      <w:r>
        <w:rPr/>
        <w:t>H</w:t>
      </w:r>
      <w:r>
        <w:rPr>
          <w:vertAlign w:val="subscript"/>
        </w:rPr>
        <w:t>2</w:t>
      </w:r>
      <w:r>
        <w:rPr/>
        <w:t xml:space="preserve"> (secondary): Coverage changes log market capitalization, book leverage, and log total assets.</w:t>
      </w:r>
    </w:p>
    <w:p>
      <w:pPr>
        <w:spacing w:line="480" w:lineRule="auto" w:after="120" w:before="0"/>
        <w:ind w:firstLine="432"/>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this test separates it from recognition.</w:t>
      </w:r>
    </w:p>
    <w:p>
      <w:pPr>
        <w:keepNext/>
        <w:spacing w:line="480" w:lineRule="auto" w:after="120" w:before="240"/>
      </w:pPr>
      <w:r>
        <w:rPr>
          <w:b/>
        </w:rPr>
        <w:t>3. Institutional Setting and Data</w:t>
      </w:r>
    </w:p>
    <w:p>
      <w:pPr>
        <w:keepNext/>
        <w:spacing w:line="480" w:lineRule="auto" w:after="120" w:before="120"/>
      </w:pPr>
      <w:r>
        <w:rPr>
          <w:i/>
        </w:rPr>
        <w:t>3.1 ESG disclosure and rating coverage in the five markets</w:t>
      </w:r>
    </w:p>
    <w:p>
      <w:pPr>
        <w:spacing w:line="480" w:lineRule="auto" w:after="120" w:before="0"/>
        <w:ind w:firstLine="432"/>
        <w:jc w:val="both"/>
      </w:pPr>
      <w:r>
        <w:rPr/>
        <w:t>The five markets introduced sustainability reporting rules for listed firms at different times. Bursa Malaysia required a sustainability statement in annual reports for financial years ending on or after December 31, 2016, phased in from the largest companies over two years (Bursa Malaysia, 2015). Singapore requires listed issuers to publish a comply-or-explain sustainability report for financial years ending on or after December 31, 2017 (Singapore Exchange, 2016). Philippine listed companies have attached a comply-or-explain sustainability report since the 2019 annual reports (Securities and Exchange Commission Philippines, 2019). A 2017 Indonesian regulation applies to listed companies from 2020 (Otoritas Jasa Keuangan, 2017), and Thai listed companies have reported sustainability information in the 56-1 One Report since the fiscal year ending in 2021 (Tilleke &amp; Gibbins, 2020). We could not confirm the dates of earlier Thai guidance.</w:t>
      </w:r>
    </w:p>
    <w:p>
      <w:pPr>
        <w:spacing w:line="480" w:lineRule="auto" w:after="120" w:before="0"/>
        <w:ind w:firstLine="432"/>
        <w:jc w:val="both"/>
      </w:pPr>
      <w:r>
        <w:rPr/>
        <w:t>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formerly Refinitiv ESG, is a separate product. Some newly covered firms may thus already have had scores that our data do not record, so our event is the initiation of LSEG ESG coverage, not a firm's first ESG rating of any kind. Throughout, a score is the LSEG ESG score, a data-vendor assessment built from company disclosures; a rating is the broader class of assessments, including MSCI-type ratings produced by analysts; and coverage means that LSEG publishes a score for the firm.</w:t>
      </w:r>
    </w:p>
    <w:p>
      <w:pPr>
        <w:spacing w:line="480" w:lineRule="auto" w:after="120" w:before="0"/>
        <w:ind w:firstLine="432"/>
        <w:jc w:val="both"/>
      </w:pPr>
      <w:r>
        <w:rPr/>
        <w:t>Table S2 and Figure S1 of the supplementary material show that coverage arrived in waves: 108 first scores in Thailand and Singapore in 2019 and 2020, and 289 in Malaysia in 2021 and 2022. Of the 675 scored firms, 404 (59.9%) are Malaysian, and Malaysian and Thai firms together make up 84.3%. Because first scored years can precede publication (Section 3.2), we cannot link the Malaysian wave to the November 2022 agreement on FTSE Russell scores. The waves do not follow a single reporting rule: the Thai wave preceded the One Report requirement, and the Malaysian wave came years after Bursa Malaysia's rule. Singapore, Indonesia, and the Philippines have too few first scores per year to relate them to their rules. The data do not record why the provider expanded coverage. The pooled estimates are weighted toward Malaysia and Thailand; therefore, we also report estimates by market and wave.</w:t>
      </w:r>
    </w:p>
    <w:p>
      <w:pPr>
        <w:keepNext/>
        <w:spacing w:line="480" w:lineRule="auto" w:after="120" w:before="120"/>
      </w:pPr>
      <w:r>
        <w:rPr>
          <w:i/>
        </w:rPr>
        <w:t>3.2 Sample and coverage timing</w:t>
      </w:r>
    </w:p>
    <w:p>
      <w:pPr>
        <w:spacing w:line="480" w:lineRule="auto" w:after="120" w:before="0"/>
        <w:ind w:firstLine="432"/>
        <w:jc w:val="both"/>
      </w:pPr>
      <w:r>
        <w:rPr/>
        <w:t>The data cover all 3,709 firms listed in the five markets from 2014 to 2024 (40,799 firm-years). They combine the annual LSEG ESG score (LSEG, 2025), not the controversy-adjusted combined score, with accounting and market data from Compustat Global (S&amp;P Global Market Intelligence, 2025).</w:t>
      </w:r>
    </w:p>
    <w:p>
      <w:pPr>
        <w:spacing w:line="480" w:lineRule="auto" w:after="120" w:before="0"/>
        <w:ind w:firstLine="432"/>
        <w:jc w:val="both"/>
      </w:pPr>
      <w:r>
        <w:rPr/>
        <w:t>We call firms without an LSEG score unscored and firms that never receive one in our sample never-scored, and the latter form the comparison group. Dropping financial firms leaves 3,423 firms. A firm's first scored year, g, is its first fiscal year with an LSEG ESG score, and its base year is g − 1.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so counts differ slightly across Tables S4 and S6 of the supplementary material. We set MTB ratios at or below zero (negative book equity) to missing; 28.0% of never-scored and 12.7% of scored firm-years lack a log MTB ratio. Never-scored firms are smaller on average; a check in Section 5.5 and Appendix B restricts scored firms to the size range of the controls.</w:t>
      </w:r>
    </w:p>
    <w:p>
      <w:pPr>
        <w:spacing w:line="480" w:lineRule="auto" w:after="120" w:before="0"/>
        <w:ind w:firstLine="432"/>
        <w:jc w:val="both"/>
      </w:pPr>
      <w:r>
        <w:rPr/>
        <w:t>The first scored year may precede the year in which investors first see a score.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 if the provider backfilled a firm's history at entry, the gap exceeds one year. Both features move the true publication date later, never earlier, so they cannot create the pre-coverage growth we report but can place pre-publication years in our post-coverage window. Section 5.4 therefore also dates coverage one and two years later.</w:t>
      </w:r>
    </w:p>
    <w:p>
      <w:pPr>
        <w:keepNext/>
        <w:spacing w:line="480" w:lineRule="auto" w:after="120" w:before="120"/>
      </w:pPr>
      <w:r>
        <w:rPr>
          <w:i/>
        </w:rPr>
        <w:t>3.3 Outcomes</w:t>
      </w:r>
    </w:p>
    <w:p>
      <w:pPr>
        <w:spacing w:line="48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keepNext/>
        <w:spacing w:line="480" w:lineRule="auto" w:after="120" w:before="240"/>
      </w:pPr>
      <w:r>
        <w:rPr>
          <w:b/>
        </w:rPr>
        <w:t>4. Methods</w:t>
      </w:r>
    </w:p>
    <w:p>
      <w:pPr>
        <w:keepNext/>
        <w:spacing w:line="480" w:lineRule="auto" w:after="120" w:before="120"/>
      </w:pPr>
      <w:r>
        <w:rPr>
          <w:i/>
        </w:rPr>
        <w:t>4.1 Target parameter and identification</w:t>
      </w:r>
    </w:p>
    <w:p>
      <w:pPr>
        <w:spacing w:line="48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the average effect in year t for firms first scored in year g, is</w:t>
      </w:r>
    </w:p>
    <w:p>
      <w:pPr>
        <w:tabs>
          <w:tab w:pos="4680" w:val="center"/>
          <w:tab w:pos="9360" w:val="right"/>
        </w:tabs>
        <w:spacing w:line="48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480" w:lineRule="auto" w:after="120" w:before="0"/>
        <w:ind w:firstLine="432"/>
        <w:jc w:val="both"/>
      </w:pPr>
      <w:r>
        <w:rPr/>
        <w:t>We identify it under conditional parallel trends relative to the base year:</w:t>
      </w:r>
    </w:p>
    <w:p>
      <w:pPr>
        <w:tabs>
          <w:tab w:pos="4680" w:val="center"/>
          <w:tab w:pos="9360" w:val="right"/>
        </w:tabs>
        <w:spacing w:line="48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480" w:lineRule="auto" w:after="120" w:before="0"/>
        <w:ind w:firstLine="432"/>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w:t>
      </w:r>
    </w:p>
    <w:p>
      <w:pPr>
        <w:spacing w:line="480" w:lineRule="auto" w:after="120" w:before="120"/>
        <w:jc w:val="center"/>
      </w:pPr>
      <w:r>
        <w:rPr>
          <w:b/>
        </w:rPr>
        <w:t>[Insert Table 1 here]</w:t>
      </w:r>
    </w:p>
    <w:p>
      <w:pPr>
        <w:keepNext/>
        <w:spacing w:line="480" w:lineRule="auto" w:after="120" w:before="120"/>
      </w:pPr>
      <w:r>
        <w:rPr>
          <w:i/>
        </w:rPr>
        <w:t>4.2 Estimation</w:t>
      </w:r>
    </w:p>
    <w:p>
      <w:pPr>
        <w:spacing w:line="48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48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480" w:lineRule="auto" w:after="120" w:before="0"/>
        <w:ind w:firstLine="432"/>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The estimated group-time effect is</w:t>
      </w:r>
    </w:p>
    <w:p>
      <w:pPr>
        <w:tabs>
          <w:tab w:pos="4680" w:val="center"/>
          <w:tab w:pos="9360" w:val="right"/>
        </w:tabs>
        <w:spacing w:line="48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48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 number of scored firms (Callaway &amp; Sant'Anna, 2021):</w:t>
      </w:r>
    </w:p>
    <w:p>
      <w:pPr>
        <w:tabs>
          <w:tab w:pos="4680" w:val="center"/>
          <w:tab w:pos="9360" w:val="right"/>
        </w:tabs>
        <w:spacing w:line="48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480" w:lineRule="auto" w:after="120" w:before="0"/>
        <w:ind w:firstLine="432"/>
        <w:jc w:val="both"/>
      </w:pPr>
      <w:r>
        <w:rPr/>
        <w:t>where h indexes the cohort. The headline estimate averages, with the same weights, all cells from the first scored year to three years later:</w:t>
      </w:r>
    </w:p>
    <w:p>
      <w:pPr>
        <w:tabs>
          <w:tab w:pos="4680" w:val="center"/>
          <w:tab w:pos="9360" w:val="right"/>
        </w:tabs>
        <w:spacing w:line="48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480" w:lineRule="auto" w:after="120" w:before="0"/>
        <w:ind w:firstLine="432"/>
        <w:jc w:val="both"/>
      </w:pPr>
      <w:r>
        <w:rPr/>
        <w:t>Cohorts first scored after 2021 are not observed for all four post-coverage years, so cohort composition changes across event years; row R11 keeps only the cohorts observed through event year 3.</w:t>
      </w:r>
    </w:p>
    <w:p>
      <w:pPr>
        <w:spacing w:line="480" w:lineRule="auto" w:after="120" w:before="0"/>
        <w:ind w:firstLine="432"/>
        <w:jc w:val="both"/>
      </w:pPr>
      <w:r>
        <w:rPr/>
        <w:t>The design involves three choices. First, baseline controls are never-scored firms; later-scored firms, which may also be growing toward the provider's universe, join them only in check R1. Second, all comparisons, including pre-coverage ones, are relative to the base year: a negative θ̂(e) for e ≤ −2 means that scored firms grew faster than never-scored firms with the same covariates from year g + e to the base year. Third, we measure the covariates in the base year, at the end of any run-up. Because the provider's scores rise with firm size (Dobrick et al., 2023), conditioning on base-year total assets matches scored firms to never-scored firms of similar size and can absorb part of the run-up. Checks therefore drop the covariates, measure total assets two years before the base year, or replace the quadratic with quintile indicators.</w:t>
      </w:r>
    </w:p>
    <w:p>
      <w:pPr>
        <w:keepNext/>
        <w:spacing w:line="480" w:lineRule="auto" w:after="120" w:before="120"/>
      </w:pPr>
      <w:r>
        <w:rPr>
          <w:i/>
        </w:rPr>
        <w:t>4.3 Inference</w:t>
      </w:r>
    </w:p>
    <w:p>
      <w:pPr>
        <w:spacing w:line="48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48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48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but not the confidence intervals, of the three secondary outcomes; an interval that excludes zero can therefore accompany an adjusted p-value above 5%, as for log total assets in Table 2. The joint test of parallel pre-coverage trends is</w:t>
      </w:r>
    </w:p>
    <w:p>
      <w:pPr>
        <w:spacing w:line="480" w:lineRule="auto" w:after="120" w:before="120"/>
        <w:jc w:val="center"/>
      </w:pPr>
      <w:r>
        <w:rPr>
          <w:b/>
        </w:rPr>
        <w:t>[Insert Table 2 here]</w:t>
      </w:r>
    </w:p>
    <w:p>
      <w:pPr>
        <w:tabs>
          <w:tab w:pos="4680" w:val="center"/>
          <w:tab w:pos="9360" w:val="right"/>
        </w:tabs>
        <w:spacing w:line="48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48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spacing w:line="480" w:lineRule="auto" w:after="120" w:before="0"/>
        <w:ind w:firstLine="432"/>
        <w:jc w:val="both"/>
      </w:pPr>
      <w:r>
        <w:rPr/>
        <w:t>Coverage arrived in market-level waves, so a market or industry shock can affect many scored firms at once. The country indicators in Eq. (3) absorb market-wide changes within each cell; because five markets are too few clusters, an exploratory check resamples the 50 market-by-industry clusters instead of firms.</w:t>
      </w:r>
    </w:p>
    <w:p>
      <w:pPr>
        <w:keepNext/>
        <w:spacing w:line="480" w:lineRule="auto" w:after="120" w:before="120"/>
      </w:pPr>
      <w:r>
        <w:rPr>
          <w:i/>
        </w:rPr>
        <w:t>4.4 Sensitivity to departures from parallel trends</w:t>
      </w:r>
    </w:p>
    <w:p>
      <w:pPr>
        <w:spacing w:line="480" w:lineRule="auto" w:after="120" w:before="0"/>
        <w:ind w:firstLine="432"/>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48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480" w:lineRule="auto" w:after="120" w:before="0"/>
        <w:ind w:firstLine="432"/>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48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480" w:lineRule="auto" w:after="120" w:before="0"/>
        <w:ind w:firstLine="432"/>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keepNext/>
        <w:spacing w:line="480" w:lineRule="auto" w:after="120" w:before="120"/>
      </w:pPr>
      <w:r>
        <w:rPr>
          <w:i/>
        </w:rPr>
        <w:t>4.5 Benchmark regression and robustness checks</w:t>
      </w:r>
    </w:p>
    <w:p>
      <w:pPr>
        <w:spacing w:line="480" w:lineRule="auto" w:after="120" w:before="0"/>
        <w:ind w:firstLine="432"/>
        <w:jc w:val="both"/>
      </w:pPr>
      <w:r>
        <w:rPr/>
        <w:t>As a benchmark, we estimate on scored and never-scored firms the static two-way fixed effects (TWFE) regression analyzed by Goodman-Bacon (2021) and Baker et al. (2022):</w:t>
      </w:r>
    </w:p>
    <w:p>
      <w:pPr>
        <w:tabs>
          <w:tab w:pos="4680" w:val="center"/>
          <w:tab w:pos="9360" w:val="right"/>
        </w:tabs>
        <w:spacing w:line="48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48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term.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480" w:lineRule="auto" w:after="120" w:before="0"/>
        <w:ind w:firstLine="432"/>
        <w:jc w:val="both"/>
      </w:pPr>
      <w:r>
        <w:rPr/>
        <w:t>The pre-analysis plan fixed rows R1 to R6 of Table 3: four robustness checks, a placebo, and the benchmark of Eq.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Rows R7 to R11 and Tables S7 and S8 of the supplementary material are exploratory; Section 5 describes each check with its results.</w:t>
      </w:r>
    </w:p>
    <w:p>
      <w:pPr>
        <w:spacing w:line="480" w:lineRule="auto" w:after="120" w:before="120"/>
        <w:jc w:val="center"/>
      </w:pPr>
      <w:r>
        <w:rPr>
          <w:b/>
        </w:rPr>
        <w:t>[Insert Table 3 here]</w:t>
      </w:r>
    </w:p>
    <w:p>
      <w:pPr>
        <w:keepNext/>
        <w:spacing w:line="480" w:lineRule="auto" w:after="120" w:before="240"/>
      </w:pPr>
      <w:r>
        <w:rPr>
          <w:b/>
        </w:rPr>
        <w:t>5. Results</w:t>
      </w:r>
    </w:p>
    <w:p>
      <w:pPr>
        <w:keepNext/>
        <w:spacing w:line="480" w:lineRule="auto" w:after="120" w:before="120"/>
      </w:pPr>
      <w:r>
        <w:rPr>
          <w:i/>
        </w:rPr>
        <w:t>5.1 Which firms get scored</w:t>
      </w:r>
    </w:p>
    <w:p>
      <w:pPr>
        <w:spacing w:line="480" w:lineRule="auto" w:after="120" w:before="0"/>
        <w:ind w:firstLine="432"/>
        <w:jc w:val="both"/>
      </w:pPr>
      <w:r>
        <w:rPr/>
        <w:t>Table 1 compares scored firms in the base year with never-scored firm-years in the sample. Scored firms are larger: their median market capitalization is 203.2 million U.S. dollars against 42.2 million, and their median total assets are 4.3 times as large, with normalized differences of 0.69 and 0.61. Their MTB ratio is also higher, with a mean of 2.37 against 1.84 and a median of 1.26 against 0.95, while leverage differs little (normalized difference: −0.04). Because scored firms are concentrated in the base years 2019 to 2022 while never-scored firm-years span 2014 to 2024, these level differences mix calendar effects with selection. Return on assets covers fewer than half of the firm-years; therefore, we use it only descriptively. In Malaysia, where the expansion was broadest, the 565 never-scored firms remained smaller than the scored ones: the median total assets of scored firms were 3.3 times those of the never-scored firms. Because scores rise with total assets in this provider's data (Dobrick et al., 2023), we compare changes and adjust for size, country, and industry in Eq. (3).</w:t>
      </w:r>
    </w:p>
    <w:p>
      <w:pPr>
        <w:keepNext/>
        <w:spacing w:line="480" w:lineRule="auto" w:after="120" w:before="120"/>
      </w:pPr>
      <w:r>
        <w:rPr>
          <w:i/>
        </w:rPr>
        <w:t>5.2 Average effects of the first score</w:t>
      </w:r>
    </w:p>
    <w:p>
      <w:pPr>
        <w:spacing w:line="480" w:lineRule="auto" w:after="120" w:before="0"/>
        <w:ind w:firstLine="432"/>
        <w:jc w:val="both"/>
      </w:pPr>
      <w:r>
        <w:rPr/>
        <w:t>Table 2 reports the headline estimates of Eq. (6). The effect on log MTB is 0.002, with a standard error of 0.024 and a 95% confidence interval of −0.046 to 0.048. Under assumption (2), the data are compatible with changes in the MTB ratio from −4.5% to 4.9%, so increases of a few percent remain possible. The MDE from Eq. (7) is 0.067, about 7.0%. With the cluster bootstrap, the interval is −0.050 to 0.053.</w:t>
      </w:r>
    </w:p>
    <w:p>
      <w:pPr>
        <w:spacing w:line="480" w:lineRule="auto" w:after="120" w:before="0"/>
        <w:ind w:firstLine="432"/>
        <w:jc w:val="both"/>
      </w:pPr>
      <w:r>
        <w:rPr/>
        <w:t>After Holm adjustment, no secondary outcome changes significantly at the 5% level. Log market capitalization changes by −0.055 (p = 0.134), leverage by 0.8 percentage points (p = 0.134), and log total assets by 0.044 (p = 0.053, against an unadjusted p = 0.018). Under assumption (2), the MTB estimate shows no sign of the gain that the recognition channel predicts (Merton, 1987). It also does not show the demand response to newly published sustainability ratings that Hartzmark and Sussman (2019) document for funds.</w:t>
      </w:r>
    </w:p>
    <w:p>
      <w:pPr>
        <w:keepNext/>
        <w:spacing w:line="480" w:lineRule="auto" w:after="120" w:before="120"/>
      </w:pPr>
      <w:r>
        <w:rPr>
          <w:i/>
        </w:rPr>
        <w:t>5.3 Dynamics before and after the first score</w:t>
      </w:r>
    </w:p>
    <w:p>
      <w:pPr>
        <w:spacing w:line="480" w:lineRule="auto" w:after="120" w:before="0"/>
        <w:ind w:firstLine="432"/>
        <w:jc w:val="both"/>
      </w:pPr>
      <w:r>
        <w:rPr/>
        <w:t>Figure 1 plots the event-time estimates of Eq. (5) for all four outcomes. Before the first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with the cluster bootstrap, the 95% interval for the MTB run-up is 2.3% to 20.5%. The joint test of Eq. (8) rejects parallel pre-coverage trends for market capitalization (p = 0.022) but not at the 5% level for MTB (p = 0.074). With the cluster bootstrap, the two tests give p = 0.001 and p = 0.225. As Roth (2022) cautions, a non-rejection is not evidence that pre-coverage trends are parallel. Log total assets follow a weaker version of the pattern, and leverage falls toward the base year (pre-trend p = 0.002).</w:t>
      </w:r>
    </w:p>
    <w:p>
      <w:pPr>
        <w:spacing w:line="480" w:lineRule="auto" w:after="120" w:before="0"/>
        <w:ind w:firstLine="432"/>
        <w:jc w:val="both"/>
      </w:pPr>
      <w:r>
        <w:rPr/>
        <w:t>After the first score, the MTB estimates for event years 0 to 3 lie between −0.044 and 0.017, and none differs from zero at the 5% level. The market capitalization estimate is −0.072 in event year 1 (p = 0.029) and not significant later. Only 141 scored firms from 6 cohorts reach event year 4; therefore, we plot that year but exclude it from Eq. (6) (Appendix B reports its estimates). Log total assets rise to 0.090 by event year 3, and leverage returns toward its earlier level. The MTB gap between scored and never-scored firms thus widens before coverage and stops widening afterward. Because we cannot separate rising prices from new shares in market capitalization, we base statements about valuation on the MTB ratio.</w:t>
      </w:r>
    </w:p>
    <w:p>
      <w:pPr>
        <w:spacing w:line="480" w:lineRule="auto" w:after="120" w:before="0"/>
        <w:ind w:firstLine="432"/>
        <w:jc w:val="both"/>
      </w:pPr>
      <w:r>
        <w:rPr/>
        <w:t>Figure 2 separates the two largest coverage waves from the remaining cohorts. We drew the wave boundaries from Table S2 after seeing the coverage counts; therefore, this split is exploratory. The 108 Thai and Singaporean firms first scored in 2019 and 2020 show the largest run-up. From event year −5 to the base year, their MTB ratio grew 33.1% and their market capitalization 57.3% more than those of never-scored firms (pre-trend p = 0.006 and p &lt; 0.001). The 289 Malaysian firms first scored in 2021 and 2022 show no run-up: their pre-coverage MTB estimates range from −0.027 in event year −5 to 0.041 in event year −2 (pre-trend p = 0.549). The 278 firms in the remaining cohorts, including 109 firms first scored in 2023, fall in between. Their MTB ratio lies below that of never-scored firms by a similar amount in event years −5 and −2 (−0.103 and −0.108) and catches up in the base year (pre-trend p = 0.006), while their market capitalization shows no run-up (pre-trend p = 0.652). After the first score, no group shows an MTB gain: the estimates of Eq. (6) are 0.021 for the Malaysian wave, −0.009 for the Thai and Singaporean wave, and −0.016 for the remaining cohorts. Market capitalization fell after coverage in the Malaysian wave (−0.146, p = 0.005), which accounts for the negative pooled estimate.</w:t>
      </w:r>
    </w:p>
    <w:p>
      <w:pPr>
        <w:keepNext/>
        <w:spacing w:line="480" w:lineRule="auto" w:after="120" w:before="120"/>
      </w:pPr>
      <w:r>
        <w:rPr>
          <w:i/>
        </w:rPr>
        <w:t>5.4 Timing of coverage and sensitivity to pre-trends</w:t>
      </w:r>
    </w:p>
    <w:p>
      <w:pPr>
        <w:spacing w:line="480" w:lineRule="auto" w:after="120" w:before="0"/>
        <w:ind w:firstLine="432"/>
        <w:jc w:val="both"/>
      </w:pPr>
      <w:r>
        <w:rPr/>
        <w:t>Table 3 presents the robustness checks. Rows R1 to R6 were pre-specified, and rows R7 to R11 are exploratory. Row R10 dates coverage one year after the first scored year, when a score could first have been published. Because scores were backfilled or revised (Berg et al., 2020; Sahin et al., 2023), this also moves the base year closer to the end of the run-up. The MTB effect is −0.068, a change of about −6.6% (95% interval −0.116 to −0.020; p = 0.004), estimated from 646 scored and 2,412 control firms. With the cluster bootstrap, its interval is −0.125 to −0.018. Its joint pre-trend test gives p = 0.072. With M̄ = 0.25 in Eq. (10), its interval runs from −0.138 to 0.002 and includes zero. Appendix B reports the breakdown value of M̄ and two further timing variants, which also give declines.</w:t>
      </w:r>
    </w:p>
    <w:p>
      <w:pPr>
        <w:spacing w:line="480" w:lineRule="auto" w:after="120" w:before="0"/>
        <w:ind w:firstLine="432"/>
        <w:jc w:val="both"/>
      </w:pPr>
      <w:r>
        <w:rPr/>
        <w:t>Figure S2 plots the event-time path under R10. The decline grows with time since coverage, from −0.039 in the re-dated event year 0 to −0.200 in event year 3. The baseline path in Figure 1 does not show this because its later event years come from early cohorts, while its first post-coverage years pool all cohorts; Appendix B reconciles the two paths. The long-horizon reading therefore rests on the R10 path and its interval, which come from the early cohorts only. If firms are selected at an unusually high valuation that later partly reverses, the decline measures the reversal and can hide an offsetting positive effect of coverage. If valuations would otherwise have stayed at their pre-coverage peak, coverage lowered them. The data cannot separate the two readings.</w:t>
      </w:r>
    </w:p>
    <w:p>
      <w:pPr>
        <w:spacing w:line="48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Row R7 removes a linear pre-trend with Eq. (9). The MTB effect becomes −0.052 (95% interval −0.118 to 0.014), negative because a continued run-up would have raised valuations further. Row R8 compares scored firms with never-scored firms that grew at a similar rate before coverage and so share any tendency to revert. Its MTB effect is 0.028 (p = 0.265), with an interval from −0.021 to 0.077 that admits gains of several percent. R8 conditions only on market capitalization growth from year g − 3 to the base year. Because control firms matched on past growth can themselves revert, it does not settle the reversal question.</w:t>
      </w:r>
    </w:p>
    <w:p>
      <w:pPr>
        <w:spacing w:line="480" w:lineRule="auto" w:after="120" w:before="0"/>
        <w:ind w:firstLine="432"/>
        <w:jc w:val="both"/>
      </w:pPr>
      <w:r>
        <w:rPr/>
        <w:t>Table S5 reports the bounds of Eq. (10). The largest change between consecutive pre-coverage MTB estimates was 0.046. With M̄ = 0.25, the interval for the MTB effect is −0.071 to 0.073; with M̄ = 1, it widens to −0.147 to 0.148. Every interval includes zero and admits moderate effects in either direction. The upper limit of the unadjusted interval lies just below a 5% increase in the MTB ratio. Any departure with M̄ above about 0.01 thus admits an increase of 5%, and any departure at all admits a positive effect. The absence of a detected positive effect is therefore conditional on assumption (2).</w:t>
      </w:r>
    </w:p>
    <w:p>
      <w:pPr>
        <w:keepNext/>
        <w:spacing w:line="480" w:lineRule="auto" w:after="120" w:before="120"/>
      </w:pPr>
      <w:r>
        <w:rPr>
          <w:i/>
        </w:rPr>
        <w:t>5.5 Robustness</w:t>
      </w:r>
    </w:p>
    <w:p>
      <w:pPr>
        <w:spacing w:line="480" w:lineRule="auto" w:after="120" w:before="0"/>
        <w:ind w:firstLine="432"/>
        <w:jc w:val="both"/>
      </w:pPr>
      <w:r>
        <w:rPr/>
        <w:t>None of the pre-specified rows R1 to R4 shows an effect on log MTB that differs from zero at the 10% level. The effect is −0.001 when not-yet-scored firms join the controls, as Callaway and Sant'Anna (2021) propose, and 0.025 without the covariates of Eq. (3). It is 0.031 without the 2020 and 2021 cohorts and 0.016 when we drop control firms below the size range of scored firms. The market capitalization and total assets results are less stable than the MTB result. Under the size restriction, the market capitalization effect shrinks to −0.007 and the total assets effect is 0.101, against 0.011 without covariates. We therefore do not read the total assets estimate in Table 2 as evidence that coverage causes growth. Appendix B reports variants of the size covariate and support (Table S7, Figure S2): the run-up does not depend on conditioning on base-year total assets, and the post-coverage MTB estimate does not depend on extrapolating the size adjustment to the largest firms.</w:t>
      </w:r>
    </w:p>
    <w:p>
      <w:pPr>
        <w:spacing w:line="48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in Figure 1 and adds no independent evidence. The static TWFE regression in Eq. (11) in row R6 attributes increases of 0.064 in log MTB (p = 0.014) and 0.185 in log market capitalization to coverage. In the decomposition of Table S8 (Appendix B), comparing each cohort with its own base year, rather than pooling all years, accounts for approximately half of the MTB gap. Conditioning on base-year total assets accounts for most of the rest, and the choice of controls and window for little.</w:t>
      </w:r>
    </w:p>
    <w:p>
      <w:pPr>
        <w:spacing w:line="480" w:lineRule="auto" w:after="120" w:before="0"/>
        <w:ind w:firstLine="432"/>
        <w:jc w:val="both"/>
      </w:pPr>
      <w:r>
        <w:rPr/>
        <w:t>Row R9 and Table S1 exclude one market at a time. The MTB effect ranges from −0.007 to 0.017 and is −0.003 without Malaysia (p = 0.940), whereas the market capitalization effect turns to 0.037. Appendix B reports market-by-market estimates (Table S3) and early versus late cohorts; we do not read the positive estimate for the few firms first scored by 2019 as evidence of a gain for early entrants.</w:t>
      </w:r>
    </w:p>
    <w:p>
      <w:pPr>
        <w:keepNext/>
        <w:spacing w:line="480" w:lineRule="auto" w:after="120" w:before="120"/>
      </w:pPr>
      <w:r>
        <w:rPr>
          <w:i/>
        </w:rPr>
        <w:t>5.6 Does the score itself matter?</w:t>
      </w:r>
    </w:p>
    <w:p>
      <w:pPr>
        <w:spacing w:line="480" w:lineRule="auto" w:after="120" w:before="0"/>
        <w:ind w:firstLine="432"/>
        <w:jc w:val="both"/>
      </w:pPr>
      <w:r>
        <w:rPr/>
        <w:t>The last three rows of Table 3 divide scored firms at the cohort median of their first ESG score. The MTB effect is −0.019 for high-score and 0.022 for low-score entrants, and the difference of −0.041 (standard error 0.040, p = 0.307) is not significant. Because the score rises with firm size (correlation 0.35 with base-year log total assets), a split on the raw score partly separates large from small firms. Table S7 therefore repeats the split after purging the score of base-year total assets, country, and cohort, which together explain 0.23 of its variance. The difference is then −0.027 (standard error 0.040, p = 0.491). Neither split supports the sign pattern that the preference channel predicts, but with minimum detectable differences of 0.113 and 0.111, neither test excludes moderate differences.</w:t>
      </w:r>
    </w:p>
    <w:p>
      <w:pPr>
        <w:keepNext/>
        <w:spacing w:line="480" w:lineRule="auto" w:after="120" w:before="120"/>
      </w:pPr>
      <w:r>
        <w:rPr>
          <w:i/>
        </w:rPr>
        <w:t>5.7 Economic magnitude</w:t>
      </w:r>
    </w:p>
    <w:p>
      <w:pPr>
        <w:spacing w:line="480" w:lineRule="auto" w:after="120" w:before="0"/>
        <w:ind w:firstLine="432"/>
        <w:jc w:val="both"/>
      </w:pPr>
      <w:r>
        <w:rPr/>
        <w:t>Under assumption (2), the largest increase compatible with the headline interval is of the same order as the announcement return of 4.86% that Demiroglu and Ryngaert (2010) report for the first analyst coverage of neglected stocks. It is also twice the one-year abnormal return that follows an MSCI downgrade (Berg, Heeb, et al., 2022). Annual year-end ratios would miss short-lived price pressure, so our estimates concern the lasting revaluation of the kind that a permanent rise in investor recognition would produce (Chen et al., 2004; Merton, 1987). A lasting effect half as large as the MTB run-up would lie at the upper end of the headline interval; therefore, any such effect is small relative to the growth that preceded coverage.</w:t>
      </w:r>
    </w:p>
    <w:p>
      <w:pPr>
        <w:keepNext/>
        <w:spacing w:line="480" w:lineRule="auto" w:after="120" w:before="240"/>
      </w:pPr>
      <w:r>
        <w:rPr>
          <w:b/>
        </w:rPr>
        <w:t>6. Discussion</w:t>
      </w:r>
    </w:p>
    <w:p>
      <w:pPr>
        <w:keepNext/>
        <w:spacing w:line="480" w:lineRule="auto" w:after="120" w:before="120"/>
      </w:pPr>
      <w:r>
        <w:rPr>
          <w:i/>
        </w:rPr>
        <w:t>6.1 What the ordering of events shows</w:t>
      </w:r>
    </w:p>
    <w:p>
      <w:pPr>
        <w:spacing w:line="480" w:lineRule="auto" w:after="120" w:before="0"/>
        <w:ind w:firstLine="432"/>
        <w:jc w:val="both"/>
      </w:pPr>
      <w:r>
        <w:rPr/>
        <w:t>The clearest result is an ordering of events. On average, firms entered the scored universe after their MTB ratio and market capitalization had grown faster than those of never-scored firms, and their MTB ratio stopped gaining afterward. Several mechanisms fit this ordering. The provider may have added firms once they had grown large and visible enough to matter to its clients (Section 2.3). Firms may have become scoreable by publishing a first sustainability report, joining an index, or issuing equity, any of which can coincide with rising value; the fall in leverage toward the base year is consistent with equity issuance. Firms may also have started or expanded sustainability reporting when doing well or planning to raise capital, a strategic-disclosure reading that our data cannot test. Each mechanism implies that entry into a provider's coverage marks the end of a period of relative growth, not a random draw.</w:t>
      </w:r>
    </w:p>
    <w:p>
      <w:pPr>
        <w:spacing w:line="480" w:lineRule="auto" w:after="120" w:before="0"/>
        <w:ind w:firstLine="432"/>
        <w:jc w:val="both"/>
      </w:pPr>
      <w:r>
        <w:rPr/>
        <w:t>The flat post-coverage MTB path admits three readings, depending on the counterfactual trend (Rambachan &amp; Roth, 2023; Roth, 2022). With parallel paths from the base year, the data show no detected effect of coverage, and the interval of Section 5.2 bounds its size. With a continued run-up, coverage lowered valuations relative to the trend. With a partly transitory run-up, the flat path is consistent with a positive coverage effect that offset a reversal. The awareness evidence on index additions predicts a permanent gain from recognition (Chen et al., 2004); under assumption (2), we detect none. The decline that the publication-dated estimates of Section 5.4 show for early cohorts could reflect a reversal, partly offset by a positive coverage effect, or a negative effect of coverage. The evidence therefore does not show that coverage has no effect: no heterogeneity-robust specification detects a valuation gain, and the bounds do not exclude one.</w:t>
      </w:r>
    </w:p>
    <w:p>
      <w:pPr>
        <w:keepNext/>
        <w:spacing w:line="480" w:lineRule="auto" w:after="120" w:before="120"/>
      </w:pPr>
      <w:r>
        <w:rPr>
          <w:i/>
        </w:rPr>
        <w:t>6.2 Relation to evidence on ESG ratings and certification</w:t>
      </w:r>
    </w:p>
    <w:p>
      <w:pPr>
        <w:spacing w:line="480" w:lineRule="auto" w:after="120" w:before="0"/>
        <w:ind w:firstLine="432"/>
        <w:jc w:val="both"/>
      </w:pPr>
      <w:r>
        <w:rPr/>
        <w:t>The absence of a detected gain fits the evidence on certification by sustainability indices, where additions have little price effect relative to comparable firms (Durand et al., 2019; Hawn et al., 2018). This contrasts with the price effects of MSCI downgrades (Berg, Heeb, et al., 2022; Shanaev &amp; Ghimire, 2022). Two features of our setting may explain this difference. First, the evidence that ESG funds trade on ratings concerns MSCI, the one rating that explains their holdings (Berg, Heeb, et al., 2022). Entering the coverage of another provider may change little for these funds. Second, scored firms were large and visible before coverage (Table 1), and some may have had FTSE Russell scores, which leaves less room for recognition (Merton, 1987). Disagreement among providers (Berg, Kölbel, et al., 2022; Serafeim &amp; Yoon, 2023) further weakens the information in any single score. U.S. studies find that coverage changes firm conduct (Bikmetova &amp; Pirinsky, 2026; Tsang et al., 2024) and payout (Tsang et al., 2025). We find no stable change in leverage or total assets and observe no measures of conduct.</w:t>
      </w:r>
    </w:p>
    <w:p>
      <w:pPr>
        <w:spacing w:line="480" w:lineRule="auto" w:after="120" w:before="0"/>
        <w:ind w:firstLine="432"/>
        <w:jc w:val="both"/>
      </w:pPr>
      <w:r>
        <w:rPr/>
        <w:t>The pre-coverage run-up also relates to evidence on ESG demand. Pástor et al. (2022) show that realized green returns can reflect unexpected shifts in demand. A one-time demand shift, or selection after one, would produce a run-up followed by a flat path. Without ownership data, we cannot determine whether ESG investors bought these firms before or after coverage. In Section 4.4, with M̄ = 0.25, the data admit MTB changes from −6.9% to 7.5%, so we cannot exclude a demand shift of a few percent after coverage.</w:t>
      </w:r>
    </w:p>
    <w:p>
      <w:pPr>
        <w:keepNext/>
        <w:spacing w:line="480" w:lineRule="auto" w:after="120" w:before="120"/>
      </w:pPr>
      <w:r>
        <w:rPr>
          <w:i/>
        </w:rPr>
        <w:t>6.3 Implications</w:t>
      </w:r>
    </w:p>
    <w:p>
      <w:pPr>
        <w:spacing w:line="480" w:lineRule="auto" w:after="120" w:before="0"/>
        <w:ind w:firstLine="432"/>
        <w:jc w:val="both"/>
      </w:pPr>
      <w:r>
        <w:rPr/>
        <w:t>These implications are bounded by the design: one provider whose score is not the rating shown to drive ESG fund holdings, annual data, five markets, and no data on ownership, returns, or publication dates.</w:t>
      </w:r>
    </w:p>
    <w:p>
      <w:pPr>
        <w:spacing w:line="480" w:lineRule="auto" w:after="120" w:before="0"/>
        <w:ind w:firstLine="432"/>
        <w:jc w:val="both"/>
      </w:pPr>
      <w:r>
        <w:rPr/>
        <w:t>For rating providers, data users, and ESG investors, the LSEG scored universe in these markets tilts toward large firms and, outside the Malaysian wave, toward firms that have just outgrown their peers. Because the first scored year can precede publication and the provider may have filled in the history, backtests around coverage initiation may suffer from look-ahead bias (Berg et al., 2020; Sahin et al., 2023). Our annual MTB data do not speak to the returns of a strategy that buys newly scored firms.</w:t>
      </w:r>
    </w:p>
    <w:p>
      <w:pPr>
        <w:spacing w:line="480" w:lineRule="auto" w:after="120" w:before="0"/>
        <w:ind w:firstLine="432"/>
        <w:jc w:val="both"/>
      </w:pPr>
      <w:r>
        <w:rPr/>
        <w:t>For exchanges and regulators, broad expansions of coverage within a market, such as the Malaysian wave, appear to select less on prior growth, but we cannot attribute that wave to the November 2022 arrangement between Bursa Malaysia and LSEG (Bernama, 2022), and we detect no MTB gain within it. Under assumption (2), our evidence does not support using rating coverage as a lever for issuer valuation.</w:t>
      </w:r>
    </w:p>
    <w:p>
      <w:pPr>
        <w:spacing w:line="480" w:lineRule="auto" w:after="120" w:before="0"/>
        <w:ind w:firstLine="432"/>
        <w:jc w:val="both"/>
      </w:pPr>
      <w:r>
        <w:rPr/>
        <w:t>For listed firms, under assumption (2), the estimates give no support to the expectation that a first LSEG score will raise valuation through investor recognition or preferences (Merton, 1987; Pástor et al., 2021). The interval excludes increases above 4.9% with the firm bootstrap and above 5.5% with the cluster bootstrap, but smaller effects remain possible. For empirical research, a cross-sectional valuation premium of scored firms or a static TWFE estimate can reflect selection into coverage rather than an effect of scores (Table S8), so studies comparing scored and unscored firms in these markets should model coverage timing and report pre-coverage dynamics.</w:t>
      </w:r>
    </w:p>
    <w:p>
      <w:pPr>
        <w:keepNext/>
        <w:spacing w:line="480" w:lineRule="auto" w:after="120" w:before="240"/>
      </w:pPr>
      <w:r>
        <w:rPr>
          <w:b/>
        </w:rPr>
        <w:t>7. Limitations</w:t>
      </w:r>
    </w:p>
    <w:p>
      <w:pPr>
        <w:spacing w:line="480" w:lineRule="auto" w:after="120" w:before="0"/>
        <w:ind w:firstLine="432"/>
        <w:jc w:val="both"/>
      </w:pPr>
      <w:r>
        <w:rPr/>
        <w:t>The study has eight limitations. First, the provider chooses when to cover a firm, and we have no coverage variation unrelated to firm performance. The post-coverage estimates rest on conditional parallel trends from the base year, which the pre-coverage estimates question. Our sensitivity analysis uses a linear trend and a simplified bound, not the confidence sets of Rambachan and Roth (2023). Second, the data are annual and may contain backfilled or revised scores, so we observe neither first-score publication dates nor announcement returns; dating coverage later closes only part of this gap. Third, we observe only LSEG coverage, whose score is not the rating that the cited evidence links to ESG fund holdings (Berg, Heeb, et al., 2022). For firms with earlier scores from other providers, such as FTSE Russell scores for Malaysian index constituents (Bernama, 2022), the event is an additional score. We do not examine domestic ESG channels such as exchange sustainability indices or Shariah screens. Fourth, the data contain no stock returns, shares outstanding, ownership, foreign holdings, foreign-ownership limits, index membership, or firm-level sustainability report dates. We therefore cannot separate price changes from share issuance, test the recognition channel directly, or link first scores to index entry or first sustainability reports. We date the reporting rules in Section 3.1 by market, not by firm, from regulatory texts and, for Thailand and Malaysia, from secondary summaries. Fifth, a few market capitalization values are implausibly large; pooled winsorization limits but does not correct them. Sixth, Malaysian and Thai firms make up 84.3% of scored firms and dominate the pooled estimates; five markets are too few for market-level inference. Seventh, with an MDE of 0.067 on log MTB, our design would detect smaller effects with less than 80% probability. Eighth, the unrecorded download date leaves the vintage of revisable recent scores uncertain.</w:t>
      </w:r>
    </w:p>
    <w:p>
      <w:pPr>
        <w:keepNext/>
        <w:spacing w:line="480" w:lineRule="auto" w:after="120" w:before="240"/>
      </w:pPr>
      <w:r>
        <w:rPr>
          <w:b/>
        </w:rPr>
        <w:t>8. Conclusion</w:t>
      </w:r>
    </w:p>
    <w:p>
      <w:pPr>
        <w:spacing w:line="480" w:lineRule="auto" w:after="120" w:before="0"/>
        <w:ind w:firstLine="432"/>
        <w:jc w:val="both"/>
      </w:pPr>
      <w:r>
        <w:rPr/>
        <w:t>On average, entry into LSEG ESG coverage in five Southeast Asian markets followed relative growth and was not followed by a detected rise in MTB ratios. Before their first scored year, scored firms grew faster than never-scored firms of similar size, country, and industry, by 10.0% in MTB (1.9% to 18.2%). The Malaysian firms covered in the large 2021 and 2022 wave showed no such run-up. Under parallel trends, the headline effect is 0.002 (95% interval −0.046 to 0.048), and we detect no difference between firms with high and low initial scores. Dating coverage one year later gives an MTB change of −6.6%, which may reflect a reversal of the run-up or a negative effect of coverage. Departures from parallel trends, such as those before coverage, would admit effects of several percent in either direction. Comparisons of scored and unscored firms that ignore coverage timing can attribute this selection to the score.</w:t>
      </w:r>
    </w:p>
    <w:p>
      <w:pPr>
        <w:keepNext/>
        <w:spacing w:line="480" w:lineRule="auto" w:after="120" w:before="240"/>
      </w:pPr>
      <w:r>
        <w:rPr>
          <w:b/>
        </w:rPr>
        <w:t>Acknowledgements</w:t>
      </w:r>
    </w:p>
    <w:p>
      <w:pPr>
        <w:spacing w:line="480" w:lineRule="auto" w:after="120" w:before="0"/>
        <w:jc w:val="both"/>
      </w:pPr>
      <w:r>
        <w:rPr/>
        <w:t>The author thanks a native English-speaking editor for language editing of the manuscript.</w:t>
      </w:r>
    </w:p>
    <w:p>
      <w:pPr>
        <w:keepNext/>
        <w:spacing w:line="480" w:lineRule="auto" w:after="120" w:before="240"/>
      </w:pPr>
      <w:r>
        <w:rPr>
          <w:b/>
        </w:rPr>
        <w:t>References</w:t>
      </w:r>
    </w:p>
    <w:p>
      <w:pPr>
        <w:spacing w:line="480" w:lineRule="auto" w:after="80" w:before="0"/>
        <w:ind w:left="432" w:hanging="432"/>
      </w:pPr>
      <w:r>
        <w:rPr/>
        <w:t>Avramov, D., Cheng, S., Lioui, A., &amp; Tarelli, A. (2022). Sustainable investing with ESG rating uncertainty. Journal of Financial Economics, 145(2), 642–664. https://doi.org/10.1016/j.jfineco.2021.09.009</w:t>
      </w:r>
    </w:p>
    <w:p>
      <w:pPr>
        <w:spacing w:line="480" w:lineRule="auto" w:after="80" w:before="0"/>
        <w:ind w:left="432" w:hanging="432"/>
      </w:pPr>
      <w:r>
        <w:rPr/>
        <w:t>Baker, A. C., Larcker, D. F., &amp; Wang, C. C. Y. (2022). How much should we trust staggered difference-in-differences estimates? Journal of Financial Economics, 144(2), 370–395. https://doi.org/10.1016/j.jfineco.2022.01.004</w:t>
      </w:r>
    </w:p>
    <w:p>
      <w:pPr>
        <w:spacing w:line="480" w:lineRule="auto" w:after="80" w:before="0"/>
        <w:ind w:left="432" w:hanging="432"/>
      </w:pPr>
      <w:r>
        <w:rPr/>
        <w:t>Berg, F., Fabisik, K., &amp; Sautner, Z. (2020). Is history repeating itself? The (un)predictable past of ESG ratings (Finance Working Paper No. 708/2020). European Corporate Governance Institute. https://ssrn.com/abstract=3722087</w:t>
      </w:r>
    </w:p>
    <w:p>
      <w:pPr>
        <w:spacing w:line="480" w:lineRule="auto" w:after="80" w:before="0"/>
        <w:ind w:left="432" w:hanging="432"/>
      </w:pPr>
      <w:r>
        <w:rPr/>
        <w:t>Berg, F., Heeb, F., &amp; Kölbel, J. F. (2022). The economic impact of ESG ratings (SAFE Working Paper No. 439). Leibniz Institute for Financial Research SAFE. https://ssrn.com/abstract=4088545</w:t>
      </w:r>
    </w:p>
    <w:p>
      <w:pPr>
        <w:spacing w:line="480" w:lineRule="auto" w:after="80" w:before="0"/>
        <w:ind w:left="432" w:hanging="432"/>
      </w:pPr>
      <w:r>
        <w:rPr/>
        <w:t>Berg, F., Kölbel, J. F., &amp; Rigobon, R. (2022). Aggregate confusion: The divergence of ESG ratings. Review of Finance, 26(6), 1315–1344. https://doi.org/10.1093/rof/rfac033</w:t>
      </w:r>
    </w:p>
    <w:p>
      <w:pPr>
        <w:spacing w:line="480" w:lineRule="auto" w:after="80" w:before="0"/>
        <w:ind w:left="432" w:hanging="432"/>
      </w:pPr>
      <w:r>
        <w:rPr/>
        <w:t>Bernama. (2022, November 2). Bursa Malaysia signs sustainability MoU with London Stock Exchange Group. https://www.bernama.com/en/news.php?id=2134522</w:t>
      </w:r>
    </w:p>
    <w:p>
      <w:pPr>
        <w:spacing w:line="480" w:lineRule="auto" w:after="80" w:before="0"/>
        <w:ind w:left="432" w:hanging="432"/>
      </w:pPr>
      <w:r>
        <w:rPr/>
        <w:t>Bikmetova, N., &amp; Pirinsky, C. A. (2026). Do ESG rating agencies improve ESG performance? Journal of Business Ethics, 204(2), 335–365. https://doi.org/10.1007/s10551-025-06063-0</w:t>
      </w:r>
    </w:p>
    <w:p>
      <w:pPr>
        <w:spacing w:line="480" w:lineRule="auto" w:after="80" w:before="0"/>
        <w:ind w:left="432" w:hanging="432"/>
      </w:pPr>
      <w:r>
        <w:rPr/>
        <w:t>Bursa Malaysia. (2015). Sustainability reporting guide. Bursa Malaysia Berhad.</w:t>
      </w:r>
    </w:p>
    <w:p>
      <w:pPr>
        <w:spacing w:line="480" w:lineRule="auto" w:after="80" w:before="0"/>
        <w:ind w:left="432" w:hanging="432"/>
      </w:pPr>
      <w:r>
        <w:rPr/>
        <w:t>Callaway, B., &amp; Sant'Anna, P. H. C. (2021). Difference-in-differences with multiple time periods. Journal of Econometrics, 225(2), 200–230. https://doi.org/10.1016/j.jeconom.2020.12.001</w:t>
      </w:r>
    </w:p>
    <w:p>
      <w:pPr>
        <w:spacing w:line="480" w:lineRule="auto" w:after="80" w:before="0"/>
        <w:ind w:left="432" w:hanging="432"/>
      </w:pPr>
      <w:r>
        <w:rPr/>
        <w:t>Chen, H., Noronha, G., &amp; Singal, V. (2004). The price response to S&amp;P 500 index additions and deletions: Evidence of asymmetry and a new explanation. The Journal of Finance, 59(4), 1901–1929. https://doi.org/10.1111/j.1540-6261.2004.00683.x</w:t>
      </w:r>
    </w:p>
    <w:p>
      <w:pPr>
        <w:spacing w:line="480" w:lineRule="auto" w:after="80" w:before="0"/>
        <w:ind w:left="432" w:hanging="432"/>
      </w:pPr>
      <w:r>
        <w:rPr/>
        <w:t>Christensen, D. M., Serafeim, G., &amp; Sikochi, A. (2022). Why is corporate virtue in the eye of the beholder? The case of ESG ratings. The Accounting Review, 97(1), 147–175. https://doi.org/10.2308/TAR-2019-0506</w:t>
      </w:r>
    </w:p>
    <w:p>
      <w:pPr>
        <w:spacing w:line="480" w:lineRule="auto" w:after="80" w:before="0"/>
        <w:ind w:left="432" w:hanging="432"/>
      </w:pPr>
      <w:r>
        <w:rPr/>
        <w:t>Demiroglu, C., &amp; Ryngaert, M. D. (2010). The first analyst coverage of neglected stocks. Financial Management, 39(2), 555–584. https://doi.org/10.1111/j.1755-053X.2010.01084.x</w:t>
      </w:r>
    </w:p>
    <w:p>
      <w:pPr>
        <w:spacing w:line="480" w:lineRule="auto" w:after="80" w:before="0"/>
        <w:ind w:left="432" w:hanging="432"/>
      </w:pPr>
      <w:r>
        <w:rPr/>
        <w:t>Dobrick, J., Klein, C., &amp; Zwergel, B. (2023). Size bias in Refinitiv ESG data. Finance Research Letters, 55, Article 104014. https://doi.org/10.1016/j.frl.2023.104014</w:t>
      </w:r>
    </w:p>
    <w:p>
      <w:pPr>
        <w:spacing w:line="480" w:lineRule="auto" w:after="80" w:before="0"/>
        <w:ind w:left="432" w:hanging="432"/>
      </w:pPr>
      <w:r>
        <w:rPr/>
        <w:t>Drempetic, S., Klein, C., &amp; Zwergel, B. (2020). The influence of firm size on the ESG score: Corporate sustainability ratings under review. Journal of Business Ethics, 167(2), 333–360. https://doi.org/10.1007/s10551-019-04164-1</w:t>
      </w:r>
    </w:p>
    <w:p>
      <w:pPr>
        <w:spacing w:line="480" w:lineRule="auto" w:after="80" w:before="0"/>
        <w:ind w:left="432" w:hanging="432"/>
      </w:pPr>
      <w:r>
        <w:rPr/>
        <w:t>Durand, R., Paugam, L., &amp; Stolowy, H. (2019). Do investors actually value sustainability indices? Replication, development, and new evidence on CSR visibility. Strategic Management Journal, 40(9), 1471–1490. https://doi.org/10.1002/smj.3035</w:t>
      </w:r>
    </w:p>
    <w:p>
      <w:pPr>
        <w:spacing w:line="480" w:lineRule="auto" w:after="80" w:before="0"/>
        <w:ind w:left="432" w:hanging="432"/>
      </w:pPr>
      <w:r>
        <w:rPr/>
        <w:t>Gibson Brandon, R., Krueger, P., &amp; Schmidt, P. S. (2021). ESG rating disagreement and stock returns. Financial Analysts Journal, 77(4), 104–127. https://doi.org/10.1080/0015198X.2021.1963186</w:t>
      </w:r>
    </w:p>
    <w:p>
      <w:pPr>
        <w:spacing w:line="480" w:lineRule="auto" w:after="80" w:before="0"/>
        <w:ind w:left="432" w:hanging="432"/>
      </w:pPr>
      <w:r>
        <w:rPr/>
        <w:t>Goodman-Bacon, A. (2021). Difference-in-differences with variation in treatment timing. Journal of Econometrics, 225(2), 254–277. https://doi.org/10.1016/j.jeconom.2021.03.014</w:t>
      </w:r>
    </w:p>
    <w:p>
      <w:pPr>
        <w:spacing w:line="480" w:lineRule="auto" w:after="80" w:before="0"/>
        <w:ind w:left="432" w:hanging="432"/>
      </w:pPr>
      <w:r>
        <w:rPr/>
        <w:t>Harris, L., &amp; Gurel, E. (1986). Price and volume effects associated with changes in the S&amp;P 500 list: New evidence for the existence of price pressures. The Journal of Finance, 41(4), 815–829. https://doi.org/10.1111/j.1540-6261.1986.tb04550.x</w:t>
      </w:r>
    </w:p>
    <w:p>
      <w:pPr>
        <w:spacing w:line="480" w:lineRule="auto" w:after="80" w:before="0"/>
        <w:ind w:left="432" w:hanging="432"/>
      </w:pPr>
      <w:r>
        <w:rPr/>
        <w:t>Hartzmark, S. M., &amp; Sussman, A. B. (2019). Do investors value sustainability? A natural experiment examining ranking and fund flows. The Journal of Finance, 74(6), 2789–2837. https://doi.org/10.1111/jofi.12841</w:t>
      </w:r>
    </w:p>
    <w:p>
      <w:pPr>
        <w:spacing w:line="480" w:lineRule="auto" w:after="80" w:before="0"/>
        <w:ind w:left="432" w:hanging="432"/>
      </w:pPr>
      <w:r>
        <w:rPr/>
        <w:t>Hawn, O., Chatterji, A. K., &amp; Mitchell, W. (2018). Do investors actually value sustainability? New evidence from investor reactions to the Dow Jones Sustainability Index (DJSI). Strategic Management Journal, 39(4), 949–976. https://doi.org/10.1002/smj.2752</w:t>
      </w:r>
    </w:p>
    <w:p>
      <w:pPr>
        <w:spacing w:line="480" w:lineRule="auto" w:after="80" w:before="0"/>
        <w:ind w:left="432" w:hanging="432"/>
      </w:pPr>
      <w:r>
        <w:rPr/>
        <w:t>Kelly, B., &amp; Ljungqvist, A. (2012). Testing asymmetric-information asset pricing models. The Review of Financial Studies, 25(5), 1366–1413. https://doi.org/10.1093/rfs/hhr134</w:t>
      </w:r>
    </w:p>
    <w:p>
      <w:pPr>
        <w:spacing w:line="480" w:lineRule="auto" w:after="80" w:before="0"/>
        <w:ind w:left="432" w:hanging="432"/>
      </w:pPr>
      <w:r>
        <w:rPr/>
        <w:t>Krueger, P., Sautner, Z., Tang, D. Y., &amp; Zhong, R. (2024). The effects of mandatory ESG disclosure around the world. Journal of Accounting Research, 62(5), 1795–1847. https://doi.org/10.1111/1475-679X.12548</w:t>
      </w:r>
    </w:p>
    <w:p>
      <w:pPr>
        <w:spacing w:line="480" w:lineRule="auto" w:after="80" w:before="0"/>
        <w:ind w:left="432" w:hanging="432"/>
      </w:pPr>
      <w:r>
        <w:rPr/>
        <w:t>LSEG. (2025). LSEG ESG scores (ESG score field), annual, 2014–2024 [Data set]. LSEG Workspace.</w:t>
      </w:r>
    </w:p>
    <w:p>
      <w:pPr>
        <w:spacing w:line="480" w:lineRule="auto" w:after="80" w:before="0"/>
        <w:ind w:left="432" w:hanging="432"/>
      </w:pPr>
      <w:r>
        <w:rPr/>
        <w:t>Merton, R. C. (1987). A simple model of capital market equilibrium with incomplete information. The Journal of Finance, 42(3), 483–510. https://doi.org/10.1111/j.1540-6261.1987.tb04565.x</w:t>
      </w:r>
    </w:p>
    <w:p>
      <w:pPr>
        <w:spacing w:line="480" w:lineRule="auto" w:after="80" w:before="0"/>
        <w:ind w:left="432" w:hanging="432"/>
      </w:pPr>
      <w:r>
        <w:rPr/>
        <w:t>Otoritas Jasa Keuangan. (2017). Peraturan Otoritas Jasa Keuangan Nomor 51/POJK.03/2017 tentang penerapan keuangan berkelanjutan bagi lembaga jasa keuangan, emiten, dan perusahaan publik [Regulation on the application of sustainable finance to financial services institutions, issuers, and public companies].</w:t>
      </w:r>
    </w:p>
    <w:p>
      <w:pPr>
        <w:spacing w:line="480" w:lineRule="auto" w:after="80" w:before="0"/>
        <w:ind w:left="432" w:hanging="432"/>
      </w:pPr>
      <w:r>
        <w:rPr/>
        <w:t>Pástor, Ľ., Stambaugh, R. F., &amp; Taylor, L. A. (2021). Sustainable investing in equilibrium. Journal of Financial Economics, 142(2), 550–571. https://doi.org/10.1016/j.jfineco.2020.12.011</w:t>
      </w:r>
    </w:p>
    <w:p>
      <w:pPr>
        <w:spacing w:line="480" w:lineRule="auto" w:after="80" w:before="0"/>
        <w:ind w:left="432" w:hanging="432"/>
      </w:pPr>
      <w:r>
        <w:rPr/>
        <w:t>Pástor, Ľ., Stambaugh, R. F., &amp; Taylor, L. A. (2022). Dissecting green returns. Journal of Financial Economics, 146(2), 403–424. https://doi.org/10.1016/j.jfineco.2022.07.007</w:t>
      </w:r>
    </w:p>
    <w:p>
      <w:pPr>
        <w:spacing w:line="480" w:lineRule="auto" w:after="80" w:before="0"/>
        <w:ind w:left="432" w:hanging="432"/>
      </w:pPr>
      <w:r>
        <w:rPr/>
        <w:t>Pedersen, L. H., Fitzgibbons, S., &amp; Pomorski, L. (2021). Responsible investing: The ESG-efficient frontier. Journal of Financial Economics, 142(2), 572–597. https://doi.org/10.1016/j.jfineco.2020.11.001</w:t>
      </w:r>
    </w:p>
    <w:p>
      <w:pPr>
        <w:spacing w:line="480" w:lineRule="auto" w:after="80" w:before="0"/>
        <w:ind w:left="432" w:hanging="432"/>
      </w:pPr>
      <w:r>
        <w:rPr/>
        <w:t>Rambachan, A., &amp; Roth, J. (2023). A more credible approach to parallel trends. The Review of Economic Studies, 90(5), 2555–2591. https://doi.org/10.1093/restud/rdad018</w:t>
      </w:r>
    </w:p>
    <w:p>
      <w:pPr>
        <w:spacing w:line="480" w:lineRule="auto" w:after="80" w:before="0"/>
        <w:ind w:left="432" w:hanging="432"/>
      </w:pPr>
      <w:r>
        <w:rPr/>
        <w:t>Roth, J. (2022). Pretest with caution: Event-study estimates after testing for parallel trends. American Economic Review: Insights, 4(3), 305–322. https://doi.org/10.1257/aeri.20210236</w:t>
      </w:r>
    </w:p>
    <w:p>
      <w:pPr>
        <w:spacing w:line="480" w:lineRule="auto" w:after="80" w:before="0"/>
        <w:ind w:left="432" w:hanging="432"/>
      </w:pPr>
      <w:r>
        <w:rPr/>
        <w:t>Sahin, Ö., Bax, K., Paterlini, S., &amp; Czado, C. (2023). The pitfalls of (non-definitive) environmental, social, and governance scoring methodology. Global Finance Journal, 56, Article 100780. https://doi.org/10.1016/j.gfj.2022.100780</w:t>
      </w:r>
    </w:p>
    <w:p>
      <w:pPr>
        <w:spacing w:line="480" w:lineRule="auto" w:after="80" w:before="0"/>
        <w:ind w:left="432" w:hanging="432"/>
      </w:pPr>
      <w:r>
        <w:rPr/>
        <w:t>Sant'Anna, P. H. C., &amp; Zhao, J. (2020). Doubly robust difference-in-differences estimators. Journal of Econometrics, 219(1), 101–122. https://doi.org/10.1016/j.jeconom.2020.06.003</w:t>
      </w:r>
    </w:p>
    <w:p>
      <w:pPr>
        <w:spacing w:line="480" w:lineRule="auto" w:after="80" w:before="0"/>
        <w:ind w:left="432" w:hanging="432"/>
      </w:pPr>
      <w:r>
        <w:rPr/>
        <w:t>Securities and Exchange Commission Philippines. (2019). Memorandum Circular No. 4, series of 2019: Sustainability reporting guidelines for publicly-listed companies. https://www.sec.gov.ph/wp-content/uploads/2020/09/2019MCNo4.pdf</w:t>
      </w:r>
    </w:p>
    <w:p>
      <w:pPr>
        <w:spacing w:line="480" w:lineRule="auto" w:after="80" w:before="0"/>
        <w:ind w:left="432" w:hanging="432"/>
      </w:pPr>
      <w:r>
        <w:rPr/>
        <w:t>Serafeim, G., &amp; Yoon, A. (2023). Stock price reactions to ESG news: The role of ESG ratings and disagreement. Review of Accounting Studies, 28(3), 1500–1530. https://doi.org/10.1007/s11142-022-09675-3</w:t>
      </w:r>
    </w:p>
    <w:p>
      <w:pPr>
        <w:spacing w:line="480" w:lineRule="auto" w:after="80" w:before="0"/>
        <w:ind w:left="432" w:hanging="432"/>
      </w:pPr>
      <w:r>
        <w:rPr/>
        <w:t>Shanaev, S., &amp; Ghimire, B. (2022). When ESG meets AAA: The effect of ESG rating changes on stock returns. Finance Research Letters, 46(Part A), Article 102302. https://doi.org/10.1016/j.frl.2021.102302</w:t>
      </w:r>
    </w:p>
    <w:p>
      <w:pPr>
        <w:spacing w:line="480" w:lineRule="auto" w:after="80" w:before="0"/>
        <w:ind w:left="432" w:hanging="432"/>
      </w:pPr>
      <w:r>
        <w:rPr/>
        <w:t>Shleifer, A. (1986). Do demand curves for stocks slope down? The Journal of Finance, 41(3), 579–590. https://doi.org/10.1111/j.1540-6261.1986.tb04518.x</w:t>
      </w:r>
    </w:p>
    <w:p>
      <w:pPr>
        <w:spacing w:line="480" w:lineRule="auto" w:after="80" w:before="0"/>
        <w:ind w:left="432" w:hanging="432"/>
      </w:pPr>
      <w:r>
        <w:rPr/>
        <w:t>Singapore Exchange. (2016). SGX Mainboard Rules 711A and 711B: Sustainability report [Listing rules]. SGX Rulebook. https://rulebook.sgx.com/rulebook/711a</w:t>
      </w:r>
    </w:p>
    <w:p>
      <w:pPr>
        <w:spacing w:line="480" w:lineRule="auto" w:after="80" w:before="0"/>
        <w:ind w:left="432" w:hanging="432"/>
      </w:pPr>
      <w:r>
        <w:rPr/>
        <w:t>S&amp;P Global Market Intelligence. (2025). Compustat Global, annual fundamentals, 2014–2024 [Data set].</w:t>
      </w:r>
    </w:p>
    <w:p>
      <w:pPr>
        <w:spacing w:line="480" w:lineRule="auto" w:after="80" w:before="0"/>
        <w:ind w:left="432" w:hanging="432"/>
      </w:pPr>
      <w:r>
        <w:rPr/>
        <w:t>Tilleke &amp; Gibbins. (2020, September). Thailand's SEC unifies annual report for listed companies. https://www.tilleke.com/insights/thailands-sec-unifies-annual-report-listed-companies/</w:t>
      </w:r>
    </w:p>
    <w:p>
      <w:pPr>
        <w:spacing w:line="480" w:lineRule="auto" w:after="80" w:before="0"/>
        <w:ind w:left="432" w:hanging="432"/>
      </w:pPr>
      <w:r>
        <w:rPr/>
        <w:t>Tsang, A., Wang, Y., Xiang, Y., &amp; Yu, L. (2024). The rise of ESG rating agencies and management of corporate ESG violations. Journal of Banking &amp; Finance, 169, Article 107312. https://doi.org/10.1016/j.jbankfin.2024.107312</w:t>
      </w:r>
    </w:p>
    <w:p>
      <w:pPr>
        <w:spacing w:line="480" w:lineRule="auto" w:after="80" w:before="0"/>
        <w:ind w:left="432" w:hanging="432"/>
      </w:pPr>
      <w:r>
        <w:rPr/>
        <w:t>Tsang, A., Wang, Y., Xiang, Y., &amp; Yu, L. (2025). ESG ratings and dividend changes: Evidence from the initiation of nonfinancial agency coverage. Corporate Governance: An International Review, 33(4), 554–577. https://doi.org/10.1111/corg.12615</w:t>
      </w:r>
    </w:p>
    <w:p>
      <w:r>
        <w:br w:type="page"/>
      </w:r>
    </w:p>
    <w:p>
      <w:pPr>
        <w:spacing w:line="240" w:lineRule="auto" w:after="120" w:before="0"/>
      </w:pPr>
      <w:r>
        <w:rPr>
          <w:b/>
          <w:sz w:val="20"/>
        </w:rPr>
        <w:t>Table 1.</w:t>
      </w:r>
      <w:r>
        <w:t xml:space="preserve">  </w:t>
      </w:r>
      <w:r>
        <w:rPr>
          <w:sz w:val="20"/>
        </w:rPr>
        <w:t>Characteristics of scored firms in the base year and of never-scored firm-years</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2448"/>
        <w:gridCol w:w="936"/>
        <w:gridCol w:w="936"/>
        <w:gridCol w:w="792"/>
        <w:gridCol w:w="1007"/>
        <w:gridCol w:w="1007"/>
        <w:gridCol w:w="936"/>
        <w:gridCol w:w="1152"/>
      </w:tblGrid>
      <w:tr>
        <w:tc>
          <w:tcPr>
            <w:tcW w:type="dxa" w:w="2448"/>
            <w:tcBorders>
              <w:top w:val="single" w:sz="6" w:color="000000"/>
              <w:bottom w:val="single" w:sz="6" w:color="000000"/>
            </w:tcBorders>
          </w:tcPr>
          <w:p>
            <w:pPr>
              <w:spacing w:after="0" w:line="240" w:lineRule="auto"/>
            </w:pPr>
            <w:r/>
            <w:r>
              <w:rPr>
                <w:sz w:val="18"/>
              </w:rPr>
              <w:t>Variable</w:t>
            </w:r>
          </w:p>
        </w:tc>
        <w:tc>
          <w:tcPr>
            <w:tcW w:type="dxa" w:w="936"/>
            <w:tcBorders>
              <w:top w:val="single" w:sz="6" w:color="000000"/>
              <w:bottom w:val="single" w:sz="6" w:color="000000"/>
            </w:tcBorders>
          </w:tcPr>
          <w:p>
            <w:pPr>
              <w:spacing w:after="0" w:line="240" w:lineRule="auto"/>
              <w:jc w:val="center"/>
            </w:pPr>
            <w:r/>
            <w:r>
              <w:rPr>
                <w:sz w:val="18"/>
              </w:rPr>
              <w:t>Scored mean</w:t>
            </w:r>
          </w:p>
        </w:tc>
        <w:tc>
          <w:tcPr>
            <w:tcW w:type="dxa" w:w="936"/>
            <w:tcBorders>
              <w:top w:val="single" w:sz="6" w:color="000000"/>
              <w:bottom w:val="single" w:sz="6" w:color="000000"/>
            </w:tcBorders>
          </w:tcPr>
          <w:p>
            <w:pPr>
              <w:spacing w:after="0" w:line="240" w:lineRule="auto"/>
              <w:jc w:val="center"/>
            </w:pPr>
            <w:r/>
            <w:r>
              <w:rPr>
                <w:sz w:val="18"/>
              </w:rPr>
              <w:t>Scored median</w:t>
            </w:r>
          </w:p>
        </w:tc>
        <w:tc>
          <w:tcPr>
            <w:tcW w:type="dxa" w:w="792"/>
            <w:tcBorders>
              <w:top w:val="single" w:sz="6" w:color="000000"/>
              <w:bottom w:val="single" w:sz="6" w:color="000000"/>
            </w:tcBorders>
          </w:tcPr>
          <w:p>
            <w:pPr>
              <w:spacing w:after="0" w:line="240" w:lineRule="auto"/>
              <w:jc w:val="center"/>
            </w:pPr>
            <w:r/>
            <w:r>
              <w:rPr>
                <w:sz w:val="18"/>
              </w:rPr>
              <w:t>Scored N</w:t>
            </w:r>
          </w:p>
        </w:tc>
        <w:tc>
          <w:tcPr>
            <w:tcW w:type="dxa" w:w="1008"/>
            <w:tcBorders>
              <w:top w:val="single" w:sz="6" w:color="000000"/>
              <w:bottom w:val="single" w:sz="6" w:color="000000"/>
            </w:tcBorders>
          </w:tcPr>
          <w:p>
            <w:pPr>
              <w:spacing w:after="0" w:line="240" w:lineRule="auto"/>
              <w:jc w:val="center"/>
            </w:pPr>
            <w:r/>
            <w:r>
              <w:rPr>
                <w:sz w:val="18"/>
              </w:rPr>
              <w:t>Never-scored mean</w:t>
            </w:r>
          </w:p>
        </w:tc>
        <w:tc>
          <w:tcPr>
            <w:tcW w:type="dxa" w:w="1008"/>
            <w:tcBorders>
              <w:top w:val="single" w:sz="6" w:color="000000"/>
              <w:bottom w:val="single" w:sz="6" w:color="000000"/>
            </w:tcBorders>
          </w:tcPr>
          <w:p>
            <w:pPr>
              <w:spacing w:after="0" w:line="240" w:lineRule="auto"/>
              <w:jc w:val="center"/>
            </w:pPr>
            <w:r/>
            <w:r>
              <w:rPr>
                <w:sz w:val="18"/>
              </w:rPr>
              <w:t>Never-scored median</w:t>
            </w:r>
          </w:p>
        </w:tc>
        <w:tc>
          <w:tcPr>
            <w:tcW w:type="dxa" w:w="936"/>
            <w:tcBorders>
              <w:top w:val="single" w:sz="6" w:color="000000"/>
              <w:bottom w:val="single" w:sz="6" w:color="000000"/>
            </w:tcBorders>
          </w:tcPr>
          <w:p>
            <w:pPr>
              <w:spacing w:after="0" w:line="240" w:lineRule="auto"/>
              <w:jc w:val="center"/>
            </w:pPr>
            <w:r/>
            <w:r>
              <w:rPr>
                <w:sz w:val="18"/>
              </w:rPr>
              <w:t>Never-scored N</w:t>
            </w:r>
          </w:p>
        </w:tc>
        <w:tc>
          <w:tcPr>
            <w:tcW w:type="dxa" w:w="1152"/>
            <w:tcBorders>
              <w:top w:val="single" w:sz="6" w:color="000000"/>
              <w:bottom w:val="single" w:sz="6" w:color="000000"/>
            </w:tcBorders>
          </w:tcPr>
          <w:p>
            <w:pPr>
              <w:spacing w:after="0" w:line="240" w:lineRule="auto"/>
              <w:jc w:val="center"/>
            </w:pPr>
            <w:r/>
            <w:r>
              <w:rPr>
                <w:sz w:val="18"/>
              </w:rPr>
              <w:t>Norm. diff.</w:t>
            </w:r>
          </w:p>
        </w:tc>
      </w:tr>
      <w:tr>
        <w:tc>
          <w:tcPr>
            <w:tcW w:type="dxa" w:w="2448"/>
          </w:tcPr>
          <w:p>
            <w:pPr>
              <w:spacing w:after="0" w:line="240" w:lineRule="auto"/>
            </w:pPr>
            <w:r/>
            <w:r>
              <w:rPr>
                <w:sz w:val="18"/>
              </w:rPr>
              <w:t>Market-to-book ratio</w:t>
            </w:r>
          </w:p>
        </w:tc>
        <w:tc>
          <w:tcPr>
            <w:tcW w:type="dxa" w:w="936"/>
          </w:tcPr>
          <w:p>
            <w:pPr>
              <w:spacing w:after="0" w:line="240" w:lineRule="auto"/>
              <w:jc w:val="center"/>
            </w:pPr>
            <w:r/>
            <w:r>
              <w:rPr>
                <w:sz w:val="18"/>
              </w:rPr>
              <w:t>2.37</w:t>
            </w:r>
          </w:p>
        </w:tc>
        <w:tc>
          <w:tcPr>
            <w:tcW w:type="dxa" w:w="936"/>
          </w:tcPr>
          <w:p>
            <w:pPr>
              <w:spacing w:after="0" w:line="240" w:lineRule="auto"/>
              <w:jc w:val="center"/>
            </w:pPr>
            <w:r/>
            <w:r>
              <w:rPr>
                <w:sz w:val="18"/>
              </w:rPr>
              <w:t>1.26</w:t>
            </w:r>
          </w:p>
        </w:tc>
        <w:tc>
          <w:tcPr>
            <w:tcW w:type="dxa" w:w="792"/>
          </w:tcPr>
          <w:p>
            <w:pPr>
              <w:spacing w:after="0" w:line="240" w:lineRule="auto"/>
              <w:jc w:val="center"/>
            </w:pPr>
            <w:r/>
            <w:r>
              <w:rPr>
                <w:sz w:val="18"/>
              </w:rPr>
              <w:t>629</w:t>
            </w:r>
          </w:p>
        </w:tc>
        <w:tc>
          <w:tcPr>
            <w:tcW w:type="dxa" w:w="1008"/>
          </w:tcPr>
          <w:p>
            <w:pPr>
              <w:spacing w:after="0" w:line="240" w:lineRule="auto"/>
              <w:jc w:val="center"/>
            </w:pPr>
            <w:r/>
            <w:r>
              <w:rPr>
                <w:sz w:val="18"/>
              </w:rPr>
              <w:t>1.84</w:t>
            </w:r>
          </w:p>
        </w:tc>
        <w:tc>
          <w:tcPr>
            <w:tcW w:type="dxa" w:w="1008"/>
          </w:tcPr>
          <w:p>
            <w:pPr>
              <w:spacing w:after="0" w:line="240" w:lineRule="auto"/>
              <w:jc w:val="center"/>
            </w:pPr>
            <w:r/>
            <w:r>
              <w:rPr>
                <w:sz w:val="18"/>
              </w:rPr>
              <w:t>0.95</w:t>
            </w:r>
          </w:p>
        </w:tc>
        <w:tc>
          <w:tcPr>
            <w:tcW w:type="dxa" w:w="936"/>
          </w:tcPr>
          <w:p>
            <w:pPr>
              <w:spacing w:after="0" w:line="240" w:lineRule="auto"/>
              <w:jc w:val="center"/>
            </w:pPr>
            <w:r/>
            <w:r>
              <w:rPr>
                <w:sz w:val="18"/>
              </w:rPr>
              <w:t>20,706</w:t>
            </w:r>
          </w:p>
        </w:tc>
        <w:tc>
          <w:tcPr>
            <w:tcW w:type="dxa" w:w="1152"/>
          </w:tcPr>
          <w:p>
            <w:pPr>
              <w:spacing w:after="0" w:line="240" w:lineRule="auto"/>
              <w:jc w:val="center"/>
            </w:pPr>
            <w:r/>
            <w:r>
              <w:rPr>
                <w:sz w:val="18"/>
              </w:rPr>
              <w:t>0.17</w:t>
            </w:r>
          </w:p>
        </w:tc>
      </w:tr>
      <w:tr>
        <w:tc>
          <w:tcPr>
            <w:tcW w:type="dxa" w:w="2448"/>
          </w:tcPr>
          <w:p>
            <w:pPr>
              <w:spacing w:after="0" w:line="240" w:lineRule="auto"/>
            </w:pPr>
            <w:r/>
            <w:r>
              <w:rPr>
                <w:sz w:val="18"/>
              </w:rPr>
              <w:t>Market capitalization (USD million)</w:t>
            </w:r>
          </w:p>
        </w:tc>
        <w:tc>
          <w:tcPr>
            <w:tcW w:type="dxa" w:w="936"/>
          </w:tcPr>
          <w:p>
            <w:pPr>
              <w:spacing w:after="0" w:line="240" w:lineRule="auto"/>
              <w:jc w:val="center"/>
            </w:pPr>
            <w:r/>
            <w:r>
              <w:rPr>
                <w:sz w:val="18"/>
              </w:rPr>
              <w:t>762.5</w:t>
            </w:r>
          </w:p>
        </w:tc>
        <w:tc>
          <w:tcPr>
            <w:tcW w:type="dxa" w:w="936"/>
          </w:tcPr>
          <w:p>
            <w:pPr>
              <w:spacing w:after="0" w:line="240" w:lineRule="auto"/>
              <w:jc w:val="center"/>
            </w:pPr>
            <w:r/>
            <w:r>
              <w:rPr>
                <w:sz w:val="18"/>
              </w:rPr>
              <w:t>203.2</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157.3</w:t>
            </w:r>
          </w:p>
        </w:tc>
        <w:tc>
          <w:tcPr>
            <w:tcW w:type="dxa" w:w="1008"/>
          </w:tcPr>
          <w:p>
            <w:pPr>
              <w:spacing w:after="0" w:line="240" w:lineRule="auto"/>
              <w:jc w:val="center"/>
            </w:pPr>
            <w:r/>
            <w:r>
              <w:rPr>
                <w:sz w:val="18"/>
              </w:rPr>
              <w:t>42.2</w:t>
            </w:r>
          </w:p>
        </w:tc>
        <w:tc>
          <w:tcPr>
            <w:tcW w:type="dxa" w:w="936"/>
          </w:tcPr>
          <w:p>
            <w:pPr>
              <w:spacing w:after="0" w:line="240" w:lineRule="auto"/>
              <w:jc w:val="center"/>
            </w:pPr>
            <w:r/>
            <w:r>
              <w:rPr>
                <w:sz w:val="18"/>
              </w:rPr>
              <w:t>22,417</w:t>
            </w:r>
          </w:p>
        </w:tc>
        <w:tc>
          <w:tcPr>
            <w:tcW w:type="dxa" w:w="1152"/>
          </w:tcPr>
          <w:p>
            <w:pPr>
              <w:spacing w:after="0" w:line="240" w:lineRule="auto"/>
              <w:jc w:val="center"/>
            </w:pPr>
            <w:r/>
            <w:r>
              <w:rPr>
                <w:sz w:val="18"/>
              </w:rPr>
              <w:t>0.69</w:t>
            </w:r>
          </w:p>
        </w:tc>
      </w:tr>
      <w:tr>
        <w:tc>
          <w:tcPr>
            <w:tcW w:type="dxa" w:w="2448"/>
          </w:tcPr>
          <w:p>
            <w:pPr>
              <w:spacing w:after="0" w:line="240" w:lineRule="auto"/>
            </w:pPr>
            <w:r/>
            <w:r>
              <w:rPr>
                <w:sz w:val="18"/>
              </w:rPr>
              <w:t>Book leverage</w:t>
            </w:r>
          </w:p>
        </w:tc>
        <w:tc>
          <w:tcPr>
            <w:tcW w:type="dxa" w:w="936"/>
          </w:tcPr>
          <w:p>
            <w:pPr>
              <w:spacing w:after="0" w:line="240" w:lineRule="auto"/>
              <w:jc w:val="center"/>
            </w:pPr>
            <w:r/>
            <w:r>
              <w:rPr>
                <w:sz w:val="18"/>
              </w:rPr>
              <w:t>0.235</w:t>
            </w:r>
          </w:p>
        </w:tc>
        <w:tc>
          <w:tcPr>
            <w:tcW w:type="dxa" w:w="936"/>
          </w:tcPr>
          <w:p>
            <w:pPr>
              <w:spacing w:after="0" w:line="240" w:lineRule="auto"/>
              <w:jc w:val="center"/>
            </w:pPr>
            <w:r/>
            <w:r>
              <w:rPr>
                <w:sz w:val="18"/>
              </w:rPr>
              <w:t>0.217</w:t>
            </w:r>
          </w:p>
        </w:tc>
        <w:tc>
          <w:tcPr>
            <w:tcW w:type="dxa" w:w="792"/>
          </w:tcPr>
          <w:p>
            <w:pPr>
              <w:spacing w:after="0" w:line="240" w:lineRule="auto"/>
              <w:jc w:val="center"/>
            </w:pPr>
            <w:r/>
            <w:r>
              <w:rPr>
                <w:sz w:val="18"/>
              </w:rPr>
              <w:t>632</w:t>
            </w:r>
          </w:p>
        </w:tc>
        <w:tc>
          <w:tcPr>
            <w:tcW w:type="dxa" w:w="1008"/>
          </w:tcPr>
          <w:p>
            <w:pPr>
              <w:spacing w:after="0" w:line="240" w:lineRule="auto"/>
              <w:jc w:val="center"/>
            </w:pPr>
            <w:r/>
            <w:r>
              <w:rPr>
                <w:sz w:val="18"/>
              </w:rPr>
              <w:t>0.241</w:t>
            </w:r>
          </w:p>
        </w:tc>
        <w:tc>
          <w:tcPr>
            <w:tcW w:type="dxa" w:w="1008"/>
          </w:tcPr>
          <w:p>
            <w:pPr>
              <w:spacing w:after="0" w:line="240" w:lineRule="auto"/>
              <w:jc w:val="center"/>
            </w:pPr>
            <w:r/>
            <w:r>
              <w:rPr>
                <w:sz w:val="18"/>
              </w:rPr>
              <w:t>0.205</w:t>
            </w:r>
          </w:p>
        </w:tc>
        <w:tc>
          <w:tcPr>
            <w:tcW w:type="dxa" w:w="936"/>
          </w:tcPr>
          <w:p>
            <w:pPr>
              <w:spacing w:after="0" w:line="240" w:lineRule="auto"/>
              <w:jc w:val="center"/>
            </w:pPr>
            <w:r/>
            <w:r>
              <w:rPr>
                <w:sz w:val="18"/>
              </w:rPr>
              <w:t>22,333</w:t>
            </w:r>
          </w:p>
        </w:tc>
        <w:tc>
          <w:tcPr>
            <w:tcW w:type="dxa" w:w="1152"/>
          </w:tcPr>
          <w:p>
            <w:pPr>
              <w:spacing w:after="0" w:line="240" w:lineRule="auto"/>
              <w:jc w:val="center"/>
            </w:pPr>
            <w:r/>
            <w:r>
              <w:rPr>
                <w:sz w:val="18"/>
              </w:rPr>
              <w:t>−0.04</w:t>
            </w:r>
          </w:p>
        </w:tc>
      </w:tr>
      <w:tr>
        <w:tc>
          <w:tcPr>
            <w:tcW w:type="dxa" w:w="2448"/>
          </w:tcPr>
          <w:p>
            <w:pPr>
              <w:spacing w:after="0" w:line="240" w:lineRule="auto"/>
            </w:pPr>
            <w:r/>
            <w:r>
              <w:rPr>
                <w:sz w:val="18"/>
              </w:rPr>
              <w:t>Total assets (USD million)</w:t>
            </w:r>
          </w:p>
        </w:tc>
        <w:tc>
          <w:tcPr>
            <w:tcW w:type="dxa" w:w="936"/>
          </w:tcPr>
          <w:p>
            <w:pPr>
              <w:spacing w:after="0" w:line="240" w:lineRule="auto"/>
              <w:jc w:val="center"/>
            </w:pPr>
            <w:r/>
            <w:r>
              <w:rPr>
                <w:sz w:val="18"/>
              </w:rPr>
              <w:t>882.1</w:t>
            </w:r>
          </w:p>
        </w:tc>
        <w:tc>
          <w:tcPr>
            <w:tcW w:type="dxa" w:w="936"/>
          </w:tcPr>
          <w:p>
            <w:pPr>
              <w:spacing w:after="0" w:line="240" w:lineRule="auto"/>
              <w:jc w:val="center"/>
            </w:pPr>
            <w:r/>
            <w:r>
              <w:rPr>
                <w:sz w:val="18"/>
              </w:rPr>
              <w:t>294.3</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238.0</w:t>
            </w:r>
          </w:p>
        </w:tc>
        <w:tc>
          <w:tcPr>
            <w:tcW w:type="dxa" w:w="1008"/>
          </w:tcPr>
          <w:p>
            <w:pPr>
              <w:spacing w:after="0" w:line="240" w:lineRule="auto"/>
              <w:jc w:val="center"/>
            </w:pPr>
            <w:r/>
            <w:r>
              <w:rPr>
                <w:sz w:val="18"/>
              </w:rPr>
              <w:t>68.7</w:t>
            </w:r>
          </w:p>
        </w:tc>
        <w:tc>
          <w:tcPr>
            <w:tcW w:type="dxa" w:w="936"/>
          </w:tcPr>
          <w:p>
            <w:pPr>
              <w:spacing w:after="0" w:line="240" w:lineRule="auto"/>
              <w:jc w:val="center"/>
            </w:pPr>
            <w:r/>
            <w:r>
              <w:rPr>
                <w:sz w:val="18"/>
              </w:rPr>
              <w:t>24,814</w:t>
            </w:r>
          </w:p>
        </w:tc>
        <w:tc>
          <w:tcPr>
            <w:tcW w:type="dxa" w:w="1152"/>
          </w:tcPr>
          <w:p>
            <w:pPr>
              <w:spacing w:after="0" w:line="240" w:lineRule="auto"/>
              <w:jc w:val="center"/>
            </w:pPr>
            <w:r/>
            <w:r>
              <w:rPr>
                <w:sz w:val="18"/>
              </w:rPr>
              <w:t>0.61</w:t>
            </w:r>
          </w:p>
        </w:tc>
      </w:tr>
      <w:t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152"/>
            <w:tcBorders>
              <w:bottom w:val="single" w:sz="6" w:color="000000"/>
            </w:tcBorders>
          </w:tcPr>
          <w:p>
            <w:pPr>
              <w:spacing w:after="0" w:line="240" w:lineRule="auto"/>
              <w:jc w:val="center"/>
            </w:pPr>
            <w:r/>
            <w:r>
              <w:rPr>
                <w:sz w:val="18"/>
              </w:rPr>
              <w:t>0.21</w:t>
            </w:r>
          </w:p>
        </w:tc>
      </w:tr>
    </w:tbl>
    <w:p>
      <w:pPr>
        <w:spacing w:line="240" w:lineRule="auto" w:after="40" w:before="0"/>
      </w:pPr>
      <w:r>
        <w:rPr>
          <w:b/>
          <w:sz w:val="18"/>
        </w:rPr>
        <w:t>Note:</w:t>
      </w:r>
      <w:r>
        <w:t xml:space="preserve"> </w:t>
      </w:r>
      <w:r>
        <w:rPr>
          <w:sz w:val="18"/>
        </w:rPr>
        <w:t>Scored firms are measured in the year before their first LSEG ESG score; never-scored firms contribute all firm-years from 2014 to 2024. Norm. diff. is the difference in means divided by the square root of the average of the two variances.</w:t>
      </w:r>
    </w:p>
    <w:p>
      <w:pPr>
        <w:spacing w:line="240" w:lineRule="auto" w:after="40" w:before="0"/>
      </w:pPr>
      <w:r>
        <w:rPr>
          <w:b/>
          <w:sz w:val="18"/>
        </w:rPr>
        <w:t>Source:</w:t>
      </w:r>
      <w:r>
        <w:t xml:space="preserve"> </w:t>
      </w:r>
      <w:r>
        <w:rPr>
          <w:sz w:val="18"/>
        </w:rPr>
        <w:t>Author's calculations from LSEG ESG scores and Compustat Global.</w:t>
      </w:r>
    </w:p>
    <w:p>
      <w:r>
        <w:br w:type="page"/>
      </w:r>
    </w:p>
    <w:p>
      <w:pPr>
        <w:spacing w:line="240" w:lineRule="auto" w:after="120" w:before="0"/>
      </w:pPr>
      <w:r>
        <w:rPr>
          <w:b/>
          <w:sz w:val="20"/>
        </w:rPr>
        <w:t>Table 2.</w:t>
      </w:r>
      <w:r>
        <w:t xml:space="preserve">  </w:t>
      </w:r>
      <w:r>
        <w:rPr>
          <w:sz w:val="20"/>
        </w:rPr>
        <w:t>Average effect of the first LSEG ESG score over event years 0 to 3</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2232"/>
        <w:gridCol w:w="864"/>
        <w:gridCol w:w="720"/>
        <w:gridCol w:w="1655"/>
        <w:gridCol w:w="864"/>
        <w:gridCol w:w="720"/>
        <w:gridCol w:w="864"/>
        <w:gridCol w:w="792"/>
        <w:gridCol w:w="864"/>
      </w:tblGrid>
      <w:tr>
        <w:tc>
          <w:tcPr>
            <w:tcW w:type="dxa" w:w="2232"/>
            <w:tcBorders>
              <w:top w:val="single" w:sz="6" w:color="000000"/>
              <w:bottom w:val="single" w:sz="6" w:color="000000"/>
            </w:tcBorders>
          </w:tcPr>
          <w:p>
            <w:pPr>
              <w:spacing w:after="0" w:line="240" w:lineRule="auto"/>
            </w:pPr>
            <w:r/>
            <w:r>
              <w:rPr>
                <w:sz w:val="18"/>
              </w:rPr>
              <w:t>Outcome</w:t>
            </w:r>
          </w:p>
        </w:tc>
        <w:tc>
          <w:tcPr>
            <w:tcW w:type="dxa" w:w="864"/>
            <w:tcBorders>
              <w:top w:val="single" w:sz="6" w:color="000000"/>
              <w:bottom w:val="single" w:sz="6" w:color="000000"/>
            </w:tcBorders>
          </w:tcPr>
          <w:p>
            <w:pPr>
              <w:spacing w:after="0" w:line="240" w:lineRule="auto"/>
              <w:jc w:val="center"/>
            </w:pPr>
            <w:r/>
            <w:r>
              <w:rPr>
                <w:sz w:val="18"/>
              </w:rPr>
              <w:t>ATT</w:t>
            </w:r>
          </w:p>
        </w:tc>
        <w:tc>
          <w:tcPr>
            <w:tcW w:type="dxa" w:w="720"/>
            <w:tcBorders>
              <w:top w:val="single" w:sz="6" w:color="000000"/>
              <w:bottom w:val="single" w:sz="6" w:color="000000"/>
            </w:tcBorders>
          </w:tcPr>
          <w:p>
            <w:pPr>
              <w:spacing w:after="0" w:line="240" w:lineRule="auto"/>
              <w:jc w:val="center"/>
            </w:pPr>
            <w:r/>
            <w:r>
              <w:rPr>
                <w:sz w:val="18"/>
              </w:rPr>
              <w:t>SE</w:t>
            </w:r>
          </w:p>
        </w:tc>
        <w:tc>
          <w:tcPr>
            <w:tcW w:type="dxa" w:w="1656"/>
            <w:tcBorders>
              <w:top w:val="single" w:sz="6" w:color="000000"/>
              <w:bottom w:val="single" w:sz="6" w:color="000000"/>
            </w:tcBorders>
          </w:tcPr>
          <w:p>
            <w:pPr>
              <w:spacing w:after="0" w:line="240" w:lineRule="auto"/>
              <w:jc w:val="center"/>
            </w:pPr>
            <w:r/>
            <w:r>
              <w:rPr>
                <w:sz w:val="18"/>
              </w:rPr>
              <w:t>95% CI</w:t>
            </w:r>
          </w:p>
        </w:tc>
        <w:tc>
          <w:tcPr>
            <w:tcW w:type="dxa" w:w="864"/>
            <w:tcBorders>
              <w:top w:val="single" w:sz="6" w:color="000000"/>
              <w:bottom w:val="single" w:sz="6" w:color="000000"/>
            </w:tcBorders>
          </w:tcPr>
          <w:p>
            <w:pPr>
              <w:spacing w:after="0" w:line="240" w:lineRule="auto"/>
              <w:jc w:val="center"/>
            </w:pPr>
            <w:r/>
            <w:r>
              <w:rPr>
                <w:sz w:val="18"/>
              </w:rPr>
              <w:t>p-value</w:t>
            </w:r>
          </w:p>
        </w:tc>
        <w:tc>
          <w:tcPr>
            <w:tcW w:type="dxa" w:w="720"/>
            <w:tcBorders>
              <w:top w:val="single" w:sz="6" w:color="000000"/>
              <w:bottom w:val="single" w:sz="6" w:color="000000"/>
            </w:tcBorders>
          </w:tcPr>
          <w:p>
            <w:pPr>
              <w:spacing w:after="0" w:line="240" w:lineRule="auto"/>
              <w:jc w:val="center"/>
            </w:pPr>
            <w:r/>
            <w:r>
              <w:rPr>
                <w:sz w:val="18"/>
              </w:rPr>
              <w:t>MDE</w:t>
            </w:r>
          </w:p>
        </w:tc>
        <w:tc>
          <w:tcPr>
            <w:tcW w:type="dxa" w:w="864"/>
            <w:tcBorders>
              <w:top w:val="single" w:sz="6" w:color="000000"/>
              <w:bottom w:val="single" w:sz="6" w:color="000000"/>
            </w:tcBorders>
          </w:tcPr>
          <w:p>
            <w:pPr>
              <w:spacing w:after="0" w:line="240" w:lineRule="auto"/>
              <w:jc w:val="center"/>
            </w:pPr>
            <w:r/>
            <w:r>
              <w:rPr>
                <w:sz w:val="18"/>
              </w:rPr>
              <w:t>Pre-trend p</w:t>
            </w:r>
          </w:p>
        </w:tc>
        <w:tc>
          <w:tcPr>
            <w:tcW w:type="dxa" w:w="792"/>
            <w:tcBorders>
              <w:top w:val="single" w:sz="6" w:color="000000"/>
              <w:bottom w:val="single" w:sz="6" w:color="000000"/>
            </w:tcBorders>
          </w:tcPr>
          <w:p>
            <w:pPr>
              <w:spacing w:after="0" w:line="240" w:lineRule="auto"/>
              <w:jc w:val="center"/>
            </w:pPr>
            <w:r/>
            <w:r>
              <w:rPr>
                <w:sz w:val="18"/>
              </w:rPr>
              <w:t>Scored firms</w:t>
            </w:r>
          </w:p>
        </w:tc>
        <w:tc>
          <w:tcPr>
            <w:tcW w:type="dxa" w:w="864"/>
            <w:tcBorders>
              <w:top w:val="single" w:sz="6" w:color="000000"/>
              <w:bottom w:val="single" w:sz="6" w:color="000000"/>
            </w:tcBorders>
          </w:tcPr>
          <w:p>
            <w:pPr>
              <w:spacing w:after="0" w:line="240" w:lineRule="auto"/>
              <w:jc w:val="center"/>
            </w:pPr>
            <w:r/>
            <w:r>
              <w:rPr>
                <w:sz w:val="18"/>
              </w:rPr>
              <w:t>Control firms</w:t>
            </w:r>
          </w:p>
        </w:tc>
      </w:tr>
      <w:tr>
        <w:tc>
          <w:tcPr>
            <w:tcW w:type="dxa" w:w="2232"/>
          </w:tcPr>
          <w:p>
            <w:pPr>
              <w:spacing w:after="0" w:line="240" w:lineRule="auto"/>
            </w:pPr>
            <w:r/>
            <w:r>
              <w:rPr>
                <w:sz w:val="18"/>
              </w:rPr>
              <w:t>ln(MTB)</w:t>
            </w:r>
          </w:p>
        </w:tc>
        <w:tc>
          <w:tcPr>
            <w:tcW w:type="dxa" w:w="864"/>
          </w:tcPr>
          <w:p>
            <w:pPr>
              <w:spacing w:after="0" w:line="240" w:lineRule="auto"/>
              <w:jc w:val="center"/>
            </w:pPr>
            <w:r/>
            <w:r>
              <w:rPr>
                <w:sz w:val="18"/>
              </w:rPr>
              <w:t>0.002</w:t>
            </w:r>
          </w:p>
        </w:tc>
        <w:tc>
          <w:tcPr>
            <w:tcW w:type="dxa" w:w="720"/>
          </w:tcPr>
          <w:p>
            <w:pPr>
              <w:spacing w:after="0" w:line="240" w:lineRule="auto"/>
              <w:jc w:val="center"/>
            </w:pPr>
            <w:r/>
            <w:r>
              <w:rPr>
                <w:sz w:val="18"/>
              </w:rPr>
              <w:t>0.024</w:t>
            </w:r>
          </w:p>
        </w:tc>
        <w:tc>
          <w:tcPr>
            <w:tcW w:type="dxa" w:w="1656"/>
          </w:tcPr>
          <w:p>
            <w:pPr>
              <w:spacing w:after="0" w:line="240" w:lineRule="auto"/>
              <w:jc w:val="center"/>
            </w:pPr>
            <w:r/>
            <w:r>
              <w:rPr>
                <w:sz w:val="18"/>
              </w:rPr>
              <w:t>[−0.046, 0.048]</w:t>
            </w:r>
          </w:p>
        </w:tc>
        <w:tc>
          <w:tcPr>
            <w:tcW w:type="dxa" w:w="864"/>
          </w:tcPr>
          <w:p>
            <w:pPr>
              <w:spacing w:after="0" w:line="240" w:lineRule="auto"/>
              <w:jc w:val="center"/>
            </w:pPr>
            <w:r/>
            <w:r>
              <w:rPr>
                <w:sz w:val="18"/>
              </w:rPr>
              <w:t>0.936</w:t>
            </w:r>
          </w:p>
        </w:tc>
        <w:tc>
          <w:tcPr>
            <w:tcW w:type="dxa" w:w="720"/>
          </w:tcPr>
          <w:p>
            <w:pPr>
              <w:spacing w:after="0" w:line="240" w:lineRule="auto"/>
              <w:jc w:val="center"/>
            </w:pPr>
            <w:r/>
            <w:r>
              <w:rPr>
                <w:sz w:val="18"/>
              </w:rPr>
              <w:t>0.067</w:t>
            </w:r>
          </w:p>
        </w:tc>
        <w:tc>
          <w:tcPr>
            <w:tcW w:type="dxa" w:w="864"/>
          </w:tcPr>
          <w:p>
            <w:pPr>
              <w:spacing w:after="0" w:line="240" w:lineRule="auto"/>
              <w:jc w:val="center"/>
            </w:pPr>
            <w:r/>
            <w:r>
              <w:rPr>
                <w:sz w:val="18"/>
              </w:rPr>
              <w:t>0.074</w:t>
            </w:r>
          </w:p>
        </w:tc>
        <w:tc>
          <w:tcPr>
            <w:tcW w:type="dxa" w:w="792"/>
          </w:tcPr>
          <w:p>
            <w:pPr>
              <w:spacing w:after="0" w:line="240" w:lineRule="auto"/>
              <w:jc w:val="center"/>
            </w:pPr>
            <w:r/>
            <w:r>
              <w:rPr>
                <w:sz w:val="18"/>
              </w:rPr>
              <w:t>628</w:t>
            </w:r>
          </w:p>
        </w:tc>
        <w:tc>
          <w:tcPr>
            <w:tcW w:type="dxa" w:w="864"/>
          </w:tcPr>
          <w:p>
            <w:pPr>
              <w:spacing w:after="0" w:line="240" w:lineRule="auto"/>
              <w:jc w:val="center"/>
            </w:pPr>
            <w:r/>
            <w:r>
              <w:rPr>
                <w:sz w:val="18"/>
              </w:rPr>
              <w:t>2,412</w:t>
            </w:r>
          </w:p>
        </w:tc>
      </w:tr>
      <w:tr>
        <w:tc>
          <w:tcPr>
            <w:tcW w:type="dxa" w:w="2232"/>
          </w:tcPr>
          <w:p>
            <w:pPr>
              <w:spacing w:after="0" w:line="240" w:lineRule="auto"/>
            </w:pPr>
            <w:r/>
            <w:r>
              <w:rPr>
                <w:sz w:val="18"/>
              </w:rPr>
              <w:t>ln(market cap)</w:t>
            </w:r>
          </w:p>
        </w:tc>
        <w:tc>
          <w:tcPr>
            <w:tcW w:type="dxa" w:w="864"/>
          </w:tcPr>
          <w:p>
            <w:pPr>
              <w:spacing w:after="0" w:line="240" w:lineRule="auto"/>
              <w:jc w:val="center"/>
            </w:pPr>
            <w:r/>
            <w:r>
              <w:rPr>
                <w:sz w:val="18"/>
              </w:rPr>
              <w:t>−0.055</w:t>
            </w:r>
          </w:p>
        </w:tc>
        <w:tc>
          <w:tcPr>
            <w:tcW w:type="dxa" w:w="720"/>
          </w:tcPr>
          <w:p>
            <w:pPr>
              <w:spacing w:after="0" w:line="240" w:lineRule="auto"/>
              <w:jc w:val="center"/>
            </w:pPr>
            <w:r/>
            <w:r>
              <w:rPr>
                <w:sz w:val="18"/>
              </w:rPr>
              <w:t>0.030</w:t>
            </w:r>
          </w:p>
        </w:tc>
        <w:tc>
          <w:tcPr>
            <w:tcW w:type="dxa" w:w="1656"/>
          </w:tcPr>
          <w:p>
            <w:pPr>
              <w:spacing w:after="0" w:line="240" w:lineRule="auto"/>
              <w:jc w:val="center"/>
            </w:pPr>
            <w:r/>
            <w:r>
              <w:rPr>
                <w:sz w:val="18"/>
              </w:rPr>
              <w:t>[−0.109, 0.003]</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0.084</w:t>
            </w:r>
          </w:p>
        </w:tc>
        <w:tc>
          <w:tcPr>
            <w:tcW w:type="dxa" w:w="864"/>
          </w:tcPr>
          <w:p>
            <w:pPr>
              <w:spacing w:after="0" w:line="240" w:lineRule="auto"/>
              <w:jc w:val="center"/>
            </w:pPr>
            <w:r/>
            <w:r>
              <w:rPr>
                <w:sz w:val="18"/>
              </w:rPr>
              <w:t>0.022</w:t>
            </w:r>
          </w:p>
        </w:tc>
        <w:tc>
          <w:tcPr>
            <w:tcW w:type="dxa" w:w="792"/>
          </w:tcPr>
          <w:p>
            <w:pPr>
              <w:spacing w:after="0" w:line="240" w:lineRule="auto"/>
              <w:jc w:val="center"/>
            </w:pPr>
            <w:r/>
            <w:r>
              <w:rPr>
                <w:sz w:val="18"/>
              </w:rPr>
              <w:t>635</w:t>
            </w:r>
          </w:p>
        </w:tc>
        <w:tc>
          <w:tcPr>
            <w:tcW w:type="dxa" w:w="864"/>
          </w:tcPr>
          <w:p>
            <w:pPr>
              <w:spacing w:after="0" w:line="240" w:lineRule="auto"/>
              <w:jc w:val="center"/>
            </w:pPr>
            <w:r/>
            <w:r>
              <w:rPr>
                <w:sz w:val="18"/>
              </w:rPr>
              <w:t>2,447</w:t>
            </w:r>
          </w:p>
        </w:tc>
      </w:tr>
      <w:tr>
        <w:tc>
          <w:tcPr>
            <w:tcW w:type="dxa" w:w="2232"/>
          </w:tcPr>
          <w:p>
            <w:pPr>
              <w:spacing w:after="0" w:line="240" w:lineRule="auto"/>
            </w:pPr>
            <w:r/>
            <w:r>
              <w:rPr>
                <w:sz w:val="18"/>
              </w:rPr>
              <w:t>Leverage (ratio)</w:t>
            </w:r>
          </w:p>
        </w:tc>
        <w:tc>
          <w:tcPr>
            <w:tcW w:type="dxa" w:w="864"/>
          </w:tcPr>
          <w:p>
            <w:pPr>
              <w:spacing w:after="0" w:line="240" w:lineRule="auto"/>
              <w:jc w:val="center"/>
            </w:pPr>
            <w:r/>
            <w:r>
              <w:rPr>
                <w:sz w:val="18"/>
              </w:rPr>
              <w:t>0.008</w:t>
            </w:r>
          </w:p>
        </w:tc>
        <w:tc>
          <w:tcPr>
            <w:tcW w:type="dxa" w:w="720"/>
          </w:tcPr>
          <w:p>
            <w:pPr>
              <w:spacing w:after="0" w:line="240" w:lineRule="auto"/>
              <w:jc w:val="center"/>
            </w:pPr>
            <w:r/>
            <w:r>
              <w:rPr>
                <w:sz w:val="18"/>
              </w:rPr>
              <w:t>0.005</w:t>
            </w:r>
          </w:p>
        </w:tc>
        <w:tc>
          <w:tcPr>
            <w:tcW w:type="dxa" w:w="1656"/>
          </w:tcPr>
          <w:p>
            <w:pPr>
              <w:spacing w:after="0" w:line="240" w:lineRule="auto"/>
              <w:jc w:val="center"/>
            </w:pPr>
            <w:r/>
            <w:r>
              <w:rPr>
                <w:sz w:val="18"/>
              </w:rPr>
              <w:t>[−0.001, 0.018]</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0.014</w:t>
            </w:r>
          </w:p>
        </w:tc>
        <w:tc>
          <w:tcPr>
            <w:tcW w:type="dxa" w:w="864"/>
          </w:tcPr>
          <w:p>
            <w:pPr>
              <w:spacing w:after="0" w:line="240" w:lineRule="auto"/>
              <w:jc w:val="center"/>
            </w:pPr>
            <w:r/>
            <w:r>
              <w:rPr>
                <w:sz w:val="18"/>
              </w:rPr>
              <w:t>0.002</w:t>
            </w:r>
          </w:p>
        </w:tc>
        <w:tc>
          <w:tcPr>
            <w:tcW w:type="dxa" w:w="792"/>
          </w:tcPr>
          <w:p>
            <w:pPr>
              <w:spacing w:after="0" w:line="240" w:lineRule="auto"/>
              <w:jc w:val="center"/>
            </w:pPr>
            <w:r/>
            <w:r>
              <w:rPr>
                <w:sz w:val="18"/>
              </w:rPr>
              <w:t>631</w:t>
            </w:r>
          </w:p>
        </w:tc>
        <w:tc>
          <w:tcPr>
            <w:tcW w:type="dxa" w:w="864"/>
          </w:tcPr>
          <w:p>
            <w:pPr>
              <w:spacing w:after="0" w:line="240" w:lineRule="auto"/>
              <w:jc w:val="center"/>
            </w:pPr>
            <w:r/>
            <w:r>
              <w:rPr>
                <w:sz w:val="18"/>
              </w:rPr>
              <w:t>2,520</w:t>
            </w:r>
          </w:p>
        </w:tc>
      </w:tr>
      <w:tr>
        <w:tc>
          <w:tcPr>
            <w:tcW w:type="dxa" w:w="2232"/>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792"/>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0"/>
      </w:pPr>
      <w:r>
        <w:rPr>
          <w:b/>
          <w:sz w:val="18"/>
        </w:rPr>
        <w:t>Note:</w:t>
      </w:r>
      <w:r>
        <w:t xml:space="preserve"> </w:t>
      </w:r>
      <w:r>
        <w:rPr>
          <w:sz w:val="18"/>
        </w:rPr>
        <w:t>ATT is the average effect over event years 0 to 3 (Eq. 6), with bootstrap standard errors and unadjusted 95% confidence intervals (CI); p-values of the three secondary outcomes are Holm-adjusted. MDE is the minimum detectable effect at 80% power, and pre-trend p is the joint test of Eq. (8).</w:t>
      </w:r>
    </w:p>
    <w:p>
      <w:pPr>
        <w:spacing w:line="240" w:lineRule="auto" w:after="40" w:before="0"/>
      </w:pPr>
      <w:r>
        <w:rPr>
          <w:b/>
          <w:sz w:val="18"/>
        </w:rPr>
        <w:t>Source:</w:t>
      </w:r>
      <w:r>
        <w:t xml:space="preserve"> </w:t>
      </w:r>
      <w:r>
        <w:rPr>
          <w:sz w:val="18"/>
        </w:rPr>
        <w:t>Author's calculations from LSEG ESG scores and Compustat Global.</w:t>
      </w:r>
    </w:p>
    <w:p>
      <w:r>
        <w:br w:type="page"/>
      </w:r>
    </w:p>
    <w:p>
      <w:pPr>
        <w:jc w:val="center"/>
      </w:pPr>
      <w:r>
        <w:drawing>
          <wp:inline xmlns:a="http://schemas.openxmlformats.org/drawingml/2006/main" xmlns:pic="http://schemas.openxmlformats.org/drawingml/2006/picture">
            <wp:extent cx="5486400" cy="422030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486400" cy="4220308"/>
                    </a:xfrm>
                    <a:prstGeom prst="rect"/>
                  </pic:spPr>
                </pic:pic>
              </a:graphicData>
            </a:graphic>
          </wp:inline>
        </w:drawing>
      </w:r>
    </w:p>
    <w:p>
      <w:pPr>
        <w:spacing w:line="240" w:lineRule="auto" w:after="120" w:before="0"/>
      </w:pPr>
      <w:r>
        <w:rPr>
          <w:b/>
          <w:sz w:val="20"/>
        </w:rPr>
        <w:t>Figure 1.</w:t>
      </w:r>
      <w:r>
        <w:t xml:space="preserve">  </w:t>
      </w:r>
      <w:r>
        <w:rPr>
          <w:sz w:val="20"/>
        </w:rPr>
        <w:t>Event-time effects of the first LSEG ESG score on market-to-book ratio, market capitalization, leverage, and total assets</w:t>
      </w:r>
    </w:p>
    <w:p>
      <w:pPr>
        <w:spacing w:line="240" w:lineRule="auto" w:after="40" w:before="0"/>
      </w:pPr>
      <w:r>
        <w:rPr>
          <w:b/>
          <w:sz w:val="18"/>
        </w:rPr>
        <w:t>Note:</w:t>
      </w:r>
      <w:r>
        <w:t xml:space="preserve"> </w:t>
      </w:r>
      <w:r>
        <w:rPr>
          <w:sz w:val="18"/>
        </w:rPr>
        <w:t>Markers show the estimates of Eq. (5) relative to event year −1 (set to zero), with bootstrap 95% intervals; open markers and dotted bars are years before the first score. Event year 4 is not part of Eq. (6).</w:t>
      </w:r>
    </w:p>
    <w:p>
      <w:pPr>
        <w:spacing w:line="240" w:lineRule="auto" w:after="40" w:before="0"/>
      </w:pPr>
      <w:r>
        <w:rPr>
          <w:b/>
          <w:sz w:val="18"/>
        </w:rPr>
        <w:t>Source:</w:t>
      </w:r>
      <w:r>
        <w:t xml:space="preserve"> </w:t>
      </w:r>
      <w:r>
        <w:rPr>
          <w:sz w:val="18"/>
        </w:rPr>
        <w:t>Author's calculations from LSEG ESG scores and Compustat Global.</w:t>
      </w:r>
    </w:p>
    <w:p>
      <w:r>
        <w:br w:type="page"/>
      </w:r>
    </w:p>
    <w:p>
      <w:pPr>
        <w:jc w:val="center"/>
      </w:pPr>
      <w:r>
        <w:drawing>
          <wp:inline xmlns:a="http://schemas.openxmlformats.org/drawingml/2006/main" xmlns:pic="http://schemas.openxmlformats.org/drawingml/2006/picture">
            <wp:extent cx="5486400" cy="506436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486400" cy="5064369"/>
                    </a:xfrm>
                    <a:prstGeom prst="rect"/>
                  </pic:spPr>
                </pic:pic>
              </a:graphicData>
            </a:graphic>
          </wp:inline>
        </w:drawing>
      </w:r>
    </w:p>
    <w:p>
      <w:pPr>
        <w:spacing w:line="240" w:lineRule="auto" w:after="120" w:before="0"/>
      </w:pPr>
      <w:r>
        <w:rPr>
          <w:b/>
          <w:sz w:val="20"/>
        </w:rPr>
        <w:t>Figure 2.</w:t>
      </w:r>
      <w:r>
        <w:t xml:space="preserve">  </w:t>
      </w:r>
      <w:r>
        <w:rPr>
          <w:sz w:val="20"/>
        </w:rPr>
        <w:t>Event-time effects on market-to-book ratio and market capitalization by coverage wave</w:t>
      </w:r>
    </w:p>
    <w:p>
      <w:pPr>
        <w:spacing w:line="240" w:lineRule="auto" w:after="40" w:before="0"/>
      </w:pPr>
      <w:r>
        <w:rPr>
          <w:b/>
          <w:sz w:val="18"/>
        </w:rPr>
        <w:t>Note:</w:t>
      </w:r>
      <w:r>
        <w:t xml:space="preserve"> </w:t>
      </w:r>
      <w:r>
        <w:rPr>
          <w:sz w:val="18"/>
        </w:rPr>
        <w:t>Markers show the estimates of Eq. (5) for each wave against all never-scored firms, with bootstrap 95% intervals; marker shape and line type identify the wave. All other cohorts are firms first scored outside the two waves.</w:t>
      </w:r>
    </w:p>
    <w:p>
      <w:pPr>
        <w:spacing w:line="240" w:lineRule="auto" w:after="40" w:before="0"/>
      </w:pPr>
      <w:r>
        <w:rPr>
          <w:b/>
          <w:sz w:val="18"/>
        </w:rPr>
        <w:t>Source:</w:t>
      </w:r>
      <w:r>
        <w:t xml:space="preserve"> </w:t>
      </w:r>
      <w:r>
        <w:rPr>
          <w:sz w:val="18"/>
        </w:rPr>
        <w:t>Author's calculations from LSEG ESG scores and Compustat Global.</w:t>
      </w:r>
    </w:p>
    <w:p>
      <w:r>
        <w:br w:type="page"/>
      </w:r>
    </w:p>
    <w:p>
      <w:pPr>
        <w:spacing w:line="240" w:lineRule="auto" w:after="120" w:before="0"/>
      </w:pPr>
      <w:r>
        <w:rPr>
          <w:b/>
          <w:sz w:val="20"/>
        </w:rPr>
        <w:t>Table 3.</w:t>
      </w:r>
      <w:r>
        <w:t xml:space="preserve">  </w:t>
      </w:r>
      <w:r>
        <w:rPr>
          <w:sz w:val="20"/>
        </w:rPr>
        <w:t>Robustness checks, timing of coverage, and heterogeneity by initial ESG score</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sz w:val="18"/>
              </w:rPr>
              <w:t>Specification</w:t>
            </w:r>
          </w:p>
        </w:tc>
        <w:tc>
          <w:tcPr>
            <w:tcW w:type="dxa" w:w="1656"/>
            <w:tcBorders>
              <w:top w:val="single" w:sz="6" w:color="000000"/>
              <w:bottom w:val="single" w:sz="6" w:color="000000"/>
            </w:tcBorders>
          </w:tcPr>
          <w:p>
            <w:pPr>
              <w:spacing w:after="0" w:line="240" w:lineRule="auto"/>
              <w:jc w:val="center"/>
            </w:pPr>
            <w:r/>
            <w:r>
              <w:rPr>
                <w:sz w:val="18"/>
              </w:rPr>
              <w:t>ln(MTB)</w:t>
            </w:r>
          </w:p>
        </w:tc>
        <w:tc>
          <w:tcPr>
            <w:tcW w:type="dxa" w:w="1656"/>
            <w:tcBorders>
              <w:top w:val="single" w:sz="6" w:color="000000"/>
              <w:bottom w:val="single" w:sz="6" w:color="000000"/>
            </w:tcBorders>
          </w:tcPr>
          <w:p>
            <w:pPr>
              <w:spacing w:after="0" w:line="240" w:lineRule="auto"/>
              <w:jc w:val="center"/>
            </w:pPr>
            <w:r/>
            <w:r>
              <w:rPr>
                <w:sz w:val="18"/>
              </w:rPr>
              <w:t>ln(market cap)</w:t>
            </w:r>
          </w:p>
        </w:tc>
        <w:tc>
          <w:tcPr>
            <w:tcW w:type="dxa" w:w="1656"/>
            <w:tcBorders>
              <w:top w:val="single" w:sz="6" w:color="000000"/>
              <w:bottom w:val="single" w:sz="6" w:color="000000"/>
            </w:tcBorders>
          </w:tcPr>
          <w:p>
            <w:pPr>
              <w:spacing w:after="0" w:line="240" w:lineRule="auto"/>
              <w:jc w:val="center"/>
            </w:pPr>
            <w:r/>
            <w:r>
              <w:rPr>
                <w:sz w:val="18"/>
              </w:rPr>
              <w:t>Leverage (ratio)</w:t>
            </w:r>
          </w:p>
        </w:tc>
        <w:tc>
          <w:tcPr>
            <w:tcW w:type="dxa" w:w="1656"/>
            <w:tcBorders>
              <w:top w:val="single" w:sz="6" w:color="000000"/>
              <w:bottom w:val="single" w:sz="6" w:color="000000"/>
            </w:tcBorders>
          </w:tcPr>
          <w:p>
            <w:pPr>
              <w:spacing w:after="0" w:line="240" w:lineRule="auto"/>
              <w:jc w:val="center"/>
            </w:pPr>
            <w:r/>
            <w:r>
              <w:rPr>
                <w:sz w:val="18"/>
              </w:rPr>
              <w:t>ln(assets)</w:t>
            </w:r>
          </w:p>
        </w:tc>
      </w:tr>
      <w:tr>
        <w:tc>
          <w:tcPr>
            <w:tcW w:type="dxa" w:w="2736"/>
          </w:tcPr>
          <w:p>
            <w:pPr>
              <w:spacing w:after="0" w:line="240" w:lineRule="auto"/>
            </w:pPr>
            <w:r/>
            <w:r>
              <w:rPr>
                <w:sz w:val="18"/>
              </w:rPr>
              <w:t>Baseline</w:t>
            </w:r>
          </w:p>
        </w:tc>
        <w:tc>
          <w:tcPr>
            <w:tcW w:type="dxa" w:w="1656"/>
          </w:tcPr>
          <w:p>
            <w:pPr>
              <w:spacing w:after="0" w:line="240" w:lineRule="auto"/>
              <w:jc w:val="center"/>
            </w:pPr>
            <w:r/>
            <w:r>
              <w:rPr>
                <w:sz w:val="18"/>
              </w:rPr>
              <w:t>0.002 (0.024)</w:t>
            </w:r>
          </w:p>
        </w:tc>
        <w:tc>
          <w:tcPr>
            <w:tcW w:type="dxa" w:w="1656"/>
          </w:tcPr>
          <w:p>
            <w:pPr>
              <w:spacing w:after="0" w:line="240" w:lineRule="auto"/>
              <w:jc w:val="center"/>
            </w:pPr>
            <w:r/>
            <w:r>
              <w:rPr>
                <w:sz w:val="18"/>
              </w:rPr>
              <w:t>−0.055* (0.030)</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0.044** (0.018)</w:t>
            </w:r>
          </w:p>
        </w:tc>
      </w:tr>
      <w:tr>
        <w:tc>
          <w:tcPr>
            <w:tcW w:type="dxa" w:w="2736"/>
          </w:tcPr>
          <w:p>
            <w:pPr>
              <w:spacing w:after="0" w:line="240" w:lineRule="auto"/>
            </w:pPr>
            <w:r/>
            <w:r>
              <w:rPr>
                <w:sz w:val="18"/>
              </w:rPr>
              <w:t>R1 Not-yet-scored in controls</w:t>
            </w:r>
          </w:p>
        </w:tc>
        <w:tc>
          <w:tcPr>
            <w:tcW w:type="dxa" w:w="1656"/>
          </w:tcPr>
          <w:p>
            <w:pPr>
              <w:spacing w:after="0" w:line="240" w:lineRule="auto"/>
              <w:jc w:val="center"/>
            </w:pPr>
            <w:r/>
            <w:r>
              <w:rPr>
                <w:sz w:val="18"/>
              </w:rPr>
              <w:t>−0.001 (0.024)</w:t>
            </w:r>
          </w:p>
        </w:tc>
        <w:tc>
          <w:tcPr>
            <w:tcW w:type="dxa" w:w="1656"/>
          </w:tcPr>
          <w:p>
            <w:pPr>
              <w:spacing w:after="0" w:line="240" w:lineRule="auto"/>
              <w:jc w:val="center"/>
            </w:pPr>
            <w:r/>
            <w:r>
              <w:rPr>
                <w:sz w:val="18"/>
              </w:rPr>
              <w:t>−0.053* (0.029)</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0.040** (0.017)</w:t>
            </w:r>
          </w:p>
        </w:tc>
      </w:tr>
      <w:tr>
        <w:tc>
          <w:tcPr>
            <w:tcW w:type="dxa" w:w="2736"/>
          </w:tcPr>
          <w:p>
            <w:pPr>
              <w:spacing w:after="0" w:line="240" w:lineRule="auto"/>
            </w:pPr>
            <w:r/>
            <w:r>
              <w:rPr>
                <w:sz w:val="18"/>
              </w:rPr>
              <w:t>R2 No covariates</w:t>
            </w:r>
          </w:p>
        </w:tc>
        <w:tc>
          <w:tcPr>
            <w:tcW w:type="dxa" w:w="1656"/>
          </w:tcPr>
          <w:p>
            <w:pPr>
              <w:spacing w:after="0" w:line="240" w:lineRule="auto"/>
              <w:jc w:val="center"/>
            </w:pPr>
            <w:r/>
            <w:r>
              <w:rPr>
                <w:sz w:val="18"/>
              </w:rPr>
              <w:t>0.025 (0.022)</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0.012*** (0.004)</w:t>
            </w:r>
          </w:p>
        </w:tc>
        <w:tc>
          <w:tcPr>
            <w:tcW w:type="dxa" w:w="1656"/>
          </w:tcPr>
          <w:p>
            <w:pPr>
              <w:spacing w:after="0" w:line="240" w:lineRule="auto"/>
              <w:jc w:val="center"/>
            </w:pPr>
            <w:r/>
            <w:r>
              <w:rPr>
                <w:sz w:val="18"/>
              </w:rPr>
              <w:t>0.011 (0.015)</w:t>
            </w:r>
          </w:p>
        </w:tc>
      </w:tr>
      <w:tr>
        <w:tc>
          <w:tcPr>
            <w:tcW w:type="dxa" w:w="2736"/>
          </w:tcPr>
          <w:p>
            <w:pPr>
              <w:spacing w:after="0" w:line="240" w:lineRule="auto"/>
            </w:pPr>
            <w:r/>
            <w:r>
              <w:rPr>
                <w:sz w:val="18"/>
              </w:rPr>
              <w:t>R3 No 2020–2021 cohorts</w:t>
            </w:r>
          </w:p>
        </w:tc>
        <w:tc>
          <w:tcPr>
            <w:tcW w:type="dxa" w:w="1656"/>
          </w:tcPr>
          <w:p>
            <w:pPr>
              <w:spacing w:after="0" w:line="240" w:lineRule="auto"/>
              <w:jc w:val="center"/>
            </w:pPr>
            <w:r/>
            <w:r>
              <w:rPr>
                <w:sz w:val="18"/>
              </w:rPr>
              <w:t>0.031 (0.027)</w:t>
            </w:r>
          </w:p>
        </w:tc>
        <w:tc>
          <w:tcPr>
            <w:tcW w:type="dxa" w:w="1656"/>
          </w:tcPr>
          <w:p>
            <w:pPr>
              <w:spacing w:after="0" w:line="240" w:lineRule="auto"/>
              <w:jc w:val="center"/>
            </w:pPr>
            <w:r/>
            <w:r>
              <w:rPr>
                <w:sz w:val="18"/>
              </w:rPr>
              <w:t>−0.029 (0.036)</w:t>
            </w:r>
          </w:p>
        </w:tc>
        <w:tc>
          <w:tcPr>
            <w:tcW w:type="dxa" w:w="1656"/>
          </w:tcPr>
          <w:p>
            <w:pPr>
              <w:spacing w:after="0" w:line="240" w:lineRule="auto"/>
              <w:jc w:val="center"/>
            </w:pPr>
            <w:r/>
            <w:r>
              <w:rPr>
                <w:sz w:val="18"/>
              </w:rPr>
              <w:t>0.004 (0.005)</w:t>
            </w:r>
          </w:p>
        </w:tc>
        <w:tc>
          <w:tcPr>
            <w:tcW w:type="dxa" w:w="1656"/>
          </w:tcPr>
          <w:p>
            <w:pPr>
              <w:spacing w:after="0" w:line="240" w:lineRule="auto"/>
              <w:jc w:val="center"/>
            </w:pPr>
            <w:r/>
            <w:r>
              <w:rPr>
                <w:sz w:val="18"/>
              </w:rPr>
              <w:t>0.020 (0.019)</w:t>
            </w:r>
          </w:p>
        </w:tc>
      </w:tr>
      <w:tr>
        <w:tc>
          <w:tcPr>
            <w:tcW w:type="dxa" w:w="2736"/>
          </w:tcPr>
          <w:p>
            <w:pPr>
              <w:spacing w:after="0" w:line="240" w:lineRule="auto"/>
            </w:pPr>
            <w:r/>
            <w:r>
              <w:rPr>
                <w:sz w:val="18"/>
              </w:rPr>
              <w:t>R4 Size-trimmed controls</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−0.007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0.101*** (0.017)</w:t>
            </w:r>
          </w:p>
        </w:tc>
      </w:tr>
      <w:tr>
        <w:tc>
          <w:tcPr>
            <w:tcW w:type="dxa" w:w="2736"/>
          </w:tcPr>
          <w:p>
            <w:pPr>
              <w:spacing w:after="0" w:line="240" w:lineRule="auto"/>
            </w:pPr>
            <w:r/>
            <w:r>
              <w:rPr>
                <w:sz w:val="18"/>
              </w:rPr>
              <w:t>R5 Placebo, 3 years early</w:t>
            </w:r>
          </w:p>
        </w:tc>
        <w:tc>
          <w:tcPr>
            <w:tcW w:type="dxa" w:w="1656"/>
          </w:tcPr>
          <w:p>
            <w:pPr>
              <w:spacing w:after="0" w:line="240" w:lineRule="auto"/>
              <w:jc w:val="center"/>
            </w:pPr>
            <w:r/>
            <w:r>
              <w:rPr>
                <w:sz w:val="18"/>
              </w:rPr>
              <w:t>0.059*** (0.023)</w:t>
            </w:r>
          </w:p>
        </w:tc>
        <w:tc>
          <w:tcPr>
            <w:tcW w:type="dxa" w:w="1656"/>
          </w:tcPr>
          <w:p>
            <w:pPr>
              <w:spacing w:after="0" w:line="240" w:lineRule="auto"/>
              <w:jc w:val="center"/>
            </w:pPr>
            <w:r/>
            <w:r>
              <w:rPr>
                <w:sz w:val="18"/>
              </w:rPr>
              <w:t>0.134*** (0.028)</w:t>
            </w:r>
          </w:p>
        </w:tc>
        <w:tc>
          <w:tcPr>
            <w:tcW w:type="dxa" w:w="1656"/>
          </w:tcPr>
          <w:p>
            <w:pPr>
              <w:spacing w:after="0" w:line="240" w:lineRule="auto"/>
              <w:jc w:val="center"/>
            </w:pPr>
            <w:r/>
            <w:r>
              <w:rPr>
                <w:sz w:val="18"/>
              </w:rPr>
              <w:t>−0.002 (0.005)</w:t>
            </w:r>
          </w:p>
        </w:tc>
        <w:tc>
          <w:tcPr>
            <w:tcW w:type="dxa" w:w="1656"/>
          </w:tcPr>
          <w:p>
            <w:pPr>
              <w:spacing w:after="0" w:line="240" w:lineRule="auto"/>
              <w:jc w:val="center"/>
            </w:pPr>
            <w:r/>
            <w:r>
              <w:rPr>
                <w:sz w:val="18"/>
              </w:rPr>
              <w:t>0.115*** (0.015)</w:t>
            </w:r>
          </w:p>
        </w:tc>
      </w:tr>
      <w:tr>
        <w:tc>
          <w:tcPr>
            <w:tcW w:type="dxa" w:w="2736"/>
          </w:tcPr>
          <w:p>
            <w:pPr>
              <w:spacing w:after="0" w:line="240" w:lineRule="auto"/>
            </w:pPr>
            <w:r/>
            <w:r>
              <w:rPr>
                <w:sz w:val="18"/>
              </w:rPr>
              <w:t>R6 Two-way fixed effects</w:t>
            </w:r>
          </w:p>
        </w:tc>
        <w:tc>
          <w:tcPr>
            <w:tcW w:type="dxa" w:w="1656"/>
          </w:tcPr>
          <w:p>
            <w:pPr>
              <w:spacing w:after="0" w:line="240" w:lineRule="auto"/>
              <w:jc w:val="center"/>
            </w:pPr>
            <w:r/>
            <w:r>
              <w:rPr>
                <w:sz w:val="18"/>
              </w:rPr>
              <w:t>0.064** (0.026)</w:t>
            </w:r>
          </w:p>
        </w:tc>
        <w:tc>
          <w:tcPr>
            <w:tcW w:type="dxa" w:w="1656"/>
          </w:tcPr>
          <w:p>
            <w:pPr>
              <w:spacing w:after="0" w:line="240" w:lineRule="auto"/>
              <w:jc w:val="center"/>
            </w:pPr>
            <w:r/>
            <w:r>
              <w:rPr>
                <w:sz w:val="18"/>
              </w:rPr>
              <w:t>0.185***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0.117*** (0.022)</w:t>
            </w:r>
          </w:p>
        </w:tc>
      </w:tr>
      <w:tr>
        <w:tc>
          <w:tcPr>
            <w:tcW w:type="dxa" w:w="2736"/>
          </w:tcPr>
          <w:p>
            <w:pPr>
              <w:spacing w:after="0" w:line="240" w:lineRule="auto"/>
            </w:pPr>
            <w:r/>
            <w:r>
              <w:rPr>
                <w:sz w:val="18"/>
              </w:rPr>
              <w:t>R7 Pre-trend removed</w:t>
            </w:r>
          </w:p>
        </w:tc>
        <w:tc>
          <w:tcPr>
            <w:tcW w:type="dxa" w:w="1656"/>
          </w:tcPr>
          <w:p>
            <w:pPr>
              <w:spacing w:after="0" w:line="240" w:lineRule="auto"/>
              <w:jc w:val="center"/>
            </w:pPr>
            <w:r/>
            <w:r>
              <w:rPr>
                <w:sz w:val="18"/>
              </w:rPr>
              <w:t>−0.052 (0.034)</w:t>
            </w:r>
          </w:p>
        </w:tc>
        <w:tc>
          <w:tcPr>
            <w:tcW w:type="dxa" w:w="1656"/>
          </w:tcPr>
          <w:p>
            <w:pPr>
              <w:spacing w:after="0" w:line="240" w:lineRule="auto"/>
              <w:jc w:val="center"/>
            </w:pPr>
            <w:r/>
            <w:r>
              <w:rPr>
                <w:sz w:val="18"/>
              </w:rPr>
              <w:t>−0.134*** (0.042)</w:t>
            </w:r>
          </w:p>
        </w:tc>
        <w:tc>
          <w:tcPr>
            <w:tcW w:type="dxa" w:w="1656"/>
          </w:tcPr>
          <w:p>
            <w:pPr>
              <w:spacing w:after="0" w:line="240" w:lineRule="auto"/>
              <w:jc w:val="center"/>
            </w:pPr>
            <w:r/>
            <w:r>
              <w:rPr>
                <w:sz w:val="18"/>
              </w:rPr>
              <w:t>0.023*** (0.006)</w:t>
            </w:r>
          </w:p>
        </w:tc>
        <w:tc>
          <w:tcPr>
            <w:tcW w:type="dxa" w:w="1656"/>
          </w:tcPr>
          <w:p>
            <w:pPr>
              <w:spacing w:after="0" w:line="240" w:lineRule="auto"/>
              <w:jc w:val="center"/>
            </w:pPr>
            <w:r/>
            <w:r>
              <w:rPr>
                <w:sz w:val="18"/>
              </w:rPr>
              <w:t>0.011 (0.023)</w:t>
            </w:r>
          </w:p>
        </w:tc>
      </w:tr>
      <w:tr>
        <w:tc>
          <w:tcPr>
            <w:tcW w:type="dxa" w:w="2736"/>
          </w:tcPr>
          <w:p>
            <w:pPr>
              <w:spacing w:after="0" w:line="240" w:lineRule="auto"/>
            </w:pPr>
            <w:r/>
            <w:r>
              <w:rPr>
                <w:sz w:val="18"/>
              </w:rPr>
              <w:t>R8 Pre-coverage growth</w:t>
            </w:r>
          </w:p>
        </w:tc>
        <w:tc>
          <w:tcPr>
            <w:tcW w:type="dxa" w:w="1656"/>
          </w:tcPr>
          <w:p>
            <w:pPr>
              <w:spacing w:after="0" w:line="240" w:lineRule="auto"/>
              <w:jc w:val="center"/>
            </w:pPr>
            <w:r/>
            <w:r>
              <w:rPr>
                <w:sz w:val="18"/>
              </w:rPr>
              <w:t>0.028 (0.025)</w:t>
            </w:r>
          </w:p>
        </w:tc>
        <w:tc>
          <w:tcPr>
            <w:tcW w:type="dxa" w:w="1656"/>
          </w:tcPr>
          <w:p>
            <w:pPr>
              <w:spacing w:after="0" w:line="240" w:lineRule="auto"/>
              <w:jc w:val="center"/>
            </w:pPr>
            <w:r/>
            <w:r>
              <w:rPr>
                <w:sz w:val="18"/>
              </w:rPr>
              <w:t>−0.034 (0.032)</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0.043** (0.018)</w:t>
            </w:r>
          </w:p>
        </w:tc>
      </w:tr>
      <w:tr>
        <w:tc>
          <w:tcPr>
            <w:tcW w:type="dxa" w:w="2736"/>
          </w:tcPr>
          <w:p>
            <w:pPr>
              <w:spacing w:after="0" w:line="240" w:lineRule="auto"/>
            </w:pPr>
            <w:r/>
            <w:r>
              <w:rPr>
                <w:sz w:val="18"/>
              </w:rPr>
              <w:t>R9 No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R10 Dated 1 year later</w:t>
            </w:r>
          </w:p>
        </w:tc>
        <w:tc>
          <w:tcPr>
            <w:tcW w:type="dxa" w:w="1656"/>
          </w:tcPr>
          <w:p>
            <w:pPr>
              <w:spacing w:after="0" w:line="240" w:lineRule="auto"/>
              <w:jc w:val="center"/>
            </w:pPr>
            <w:r/>
            <w:r>
              <w:rPr>
                <w:sz w:val="18"/>
              </w:rPr>
              <w:t>−0.068*** (0.024)</w:t>
            </w:r>
          </w:p>
        </w:tc>
        <w:tc>
          <w:tcPr>
            <w:tcW w:type="dxa" w:w="1656"/>
          </w:tcPr>
          <w:p>
            <w:pPr>
              <w:spacing w:after="0" w:line="240" w:lineRule="auto"/>
              <w:jc w:val="center"/>
            </w:pPr>
            <w:r/>
            <w:r>
              <w:rPr>
                <w:sz w:val="18"/>
              </w:rPr>
              <w:t>−0.073** (0.030)</w:t>
            </w:r>
          </w:p>
        </w:tc>
        <w:tc>
          <w:tcPr>
            <w:tcW w:type="dxa" w:w="1656"/>
          </w:tcPr>
          <w:p>
            <w:pPr>
              <w:spacing w:after="0" w:line="240" w:lineRule="auto"/>
              <w:jc w:val="center"/>
            </w:pPr>
            <w:r/>
            <w:r>
              <w:rPr>
                <w:sz w:val="18"/>
              </w:rPr>
              <w:t>0.007 (0.005)</w:t>
            </w:r>
          </w:p>
        </w:tc>
        <w:tc>
          <w:tcPr>
            <w:tcW w:type="dxa" w:w="1656"/>
          </w:tcPr>
          <w:p>
            <w:pPr>
              <w:spacing w:after="0" w:line="240" w:lineRule="auto"/>
              <w:jc w:val="center"/>
            </w:pPr>
            <w:r/>
            <w:r>
              <w:rPr>
                <w:sz w:val="18"/>
              </w:rPr>
              <w:t>−0.006 (0.017)</w:t>
            </w:r>
          </w:p>
        </w:tc>
      </w:tr>
      <w:tr>
        <w:tc>
          <w:tcPr>
            <w:tcW w:type="dxa" w:w="2736"/>
          </w:tcPr>
          <w:p>
            <w:pPr>
              <w:spacing w:after="0" w:line="240" w:lineRule="auto"/>
            </w:pPr>
            <w:r/>
            <w:r>
              <w:rPr>
                <w:sz w:val="18"/>
              </w:rPr>
              <w:t>R11 Cohorts to 2021</w:t>
            </w:r>
          </w:p>
        </w:tc>
        <w:tc>
          <w:tcPr>
            <w:tcW w:type="dxa" w:w="1656"/>
          </w:tcPr>
          <w:p>
            <w:pPr>
              <w:spacing w:after="0" w:line="240" w:lineRule="auto"/>
              <w:jc w:val="center"/>
            </w:pPr>
            <w:r/>
            <w:r>
              <w:rPr>
                <w:sz w:val="18"/>
              </w:rPr>
              <w:t>−0.008 (0.033)</w:t>
            </w:r>
          </w:p>
        </w:tc>
        <w:tc>
          <w:tcPr>
            <w:tcW w:type="dxa" w:w="1656"/>
          </w:tcPr>
          <w:p>
            <w:pPr>
              <w:spacing w:after="0" w:line="240" w:lineRule="auto"/>
              <w:jc w:val="center"/>
            </w:pPr>
            <w:r/>
            <w:r>
              <w:rPr>
                <w:sz w:val="18"/>
              </w:rPr>
              <w:t>−0.030 (0.037)</w:t>
            </w:r>
          </w:p>
        </w:tc>
        <w:tc>
          <w:tcPr>
            <w:tcW w:type="dxa" w:w="1656"/>
          </w:tcPr>
          <w:p>
            <w:pPr>
              <w:spacing w:after="0" w:line="240" w:lineRule="auto"/>
              <w:jc w:val="center"/>
            </w:pPr>
            <w:r/>
            <w:r>
              <w:rPr>
                <w:sz w:val="18"/>
              </w:rPr>
              <w:t>0.013* (0.007)</w:t>
            </w:r>
          </w:p>
        </w:tc>
        <w:tc>
          <w:tcPr>
            <w:tcW w:type="dxa" w:w="1656"/>
          </w:tcPr>
          <w:p>
            <w:pPr>
              <w:spacing w:after="0" w:line="240" w:lineRule="auto"/>
              <w:jc w:val="center"/>
            </w:pPr>
            <w:r/>
            <w:r>
              <w:rPr>
                <w:sz w:val="18"/>
              </w:rPr>
              <w:t>0.082*** (0.027)</w:t>
            </w:r>
          </w:p>
        </w:tc>
      </w:tr>
      <w:tr>
        <w:tc>
          <w:tcPr>
            <w:tcW w:type="dxa" w:w="2736"/>
          </w:tcPr>
          <w:p>
            <w:pPr>
              <w:spacing w:after="0" w:line="240" w:lineRule="auto"/>
            </w:pPr>
            <w:r/>
            <w:r>
              <w:rPr>
                <w:sz w:val="18"/>
              </w:rPr>
              <w:t>High initial score</w:t>
            </w:r>
          </w:p>
        </w:tc>
        <w:tc>
          <w:tcPr>
            <w:tcW w:type="dxa" w:w="1656"/>
          </w:tcPr>
          <w:p>
            <w:pPr>
              <w:spacing w:after="0" w:line="240" w:lineRule="auto"/>
              <w:jc w:val="center"/>
            </w:pPr>
            <w:r/>
            <w:r>
              <w:rPr>
                <w:sz w:val="18"/>
              </w:rPr>
              <w:t>−0.019 (0.030)</w:t>
            </w:r>
          </w:p>
        </w:tc>
        <w:tc>
          <w:tcPr>
            <w:tcW w:type="dxa" w:w="1656"/>
          </w:tcPr>
          <w:p>
            <w:pPr>
              <w:spacing w:after="0" w:line="240" w:lineRule="auto"/>
              <w:jc w:val="center"/>
            </w:pPr>
            <w:r/>
            <w:r>
              <w:rPr>
                <w:sz w:val="18"/>
              </w:rPr>
              <w:t>−0.029 (0.034)</w:t>
            </w:r>
          </w:p>
        </w:tc>
        <w:tc>
          <w:tcPr>
            <w:tcW w:type="dxa" w:w="1656"/>
          </w:tcPr>
          <w:p>
            <w:pPr>
              <w:spacing w:after="0" w:line="240" w:lineRule="auto"/>
              <w:jc w:val="center"/>
            </w:pPr>
            <w:r/>
            <w:r>
              <w:rPr>
                <w:sz w:val="18"/>
              </w:rPr>
              <w:t>0.009 (0.006)</w:t>
            </w:r>
          </w:p>
        </w:tc>
        <w:tc>
          <w:tcPr>
            <w:tcW w:type="dxa" w:w="1656"/>
          </w:tcPr>
          <w:p>
            <w:pPr>
              <w:spacing w:after="0" w:line="240" w:lineRule="auto"/>
              <w:jc w:val="center"/>
            </w:pPr>
            <w:r/>
            <w:r>
              <w:rPr>
                <w:sz w:val="18"/>
              </w:rPr>
              <w:t>0.038* (0.022)</w:t>
            </w:r>
          </w:p>
        </w:tc>
      </w:tr>
      <w:tr>
        <w:tc>
          <w:tcPr>
            <w:tcW w:type="dxa" w:w="2736"/>
          </w:tcPr>
          <w:p>
            <w:pPr>
              <w:spacing w:after="0" w:line="240" w:lineRule="auto"/>
            </w:pPr>
            <w:r/>
            <w:r>
              <w:rPr>
                <w:sz w:val="18"/>
              </w:rPr>
              <w:t>Low initial score</w:t>
            </w:r>
          </w:p>
        </w:tc>
        <w:tc>
          <w:tcPr>
            <w:tcW w:type="dxa" w:w="1656"/>
          </w:tcPr>
          <w:p>
            <w:pPr>
              <w:spacing w:after="0" w:line="240" w:lineRule="auto"/>
              <w:jc w:val="center"/>
            </w:pPr>
            <w:r/>
            <w:r>
              <w:rPr>
                <w:sz w:val="18"/>
              </w:rPr>
              <w:t>0.022 (0.033)</w:t>
            </w:r>
          </w:p>
        </w:tc>
        <w:tc>
          <w:tcPr>
            <w:tcW w:type="dxa" w:w="1656"/>
          </w:tcPr>
          <w:p>
            <w:pPr>
              <w:spacing w:after="0" w:line="240" w:lineRule="auto"/>
              <w:jc w:val="center"/>
            </w:pPr>
            <w:r/>
            <w:r>
              <w:rPr>
                <w:sz w:val="18"/>
              </w:rPr>
              <w:t>−0.081* (0.042)</w:t>
            </w:r>
          </w:p>
        </w:tc>
        <w:tc>
          <w:tcPr>
            <w:tcW w:type="dxa" w:w="1656"/>
          </w:tcPr>
          <w:p>
            <w:pPr>
              <w:spacing w:after="0" w:line="240" w:lineRule="auto"/>
              <w:jc w:val="center"/>
            </w:pPr>
            <w:r/>
            <w:r>
              <w:rPr>
                <w:sz w:val="18"/>
              </w:rPr>
              <w:t>0.007 (0.006)</w:t>
            </w:r>
          </w:p>
        </w:tc>
        <w:tc>
          <w:tcPr>
            <w:tcW w:type="dxa" w:w="1656"/>
          </w:tcPr>
          <w:p>
            <w:pPr>
              <w:spacing w:after="0" w:line="240" w:lineRule="auto"/>
              <w:jc w:val="center"/>
            </w:pPr>
            <w:r/>
            <w:r>
              <w:rPr>
                <w:sz w:val="18"/>
              </w:rPr>
              <w:t>0.049** (0.022)</w:t>
            </w:r>
          </w:p>
        </w:tc>
      </w:tr>
      <w:t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0"/>
      </w:pPr>
      <w:r>
        <w:rPr>
          <w:b/>
          <w:sz w:val="18"/>
        </w:rPr>
        <w:t>Note:</w:t>
      </w:r>
      <w:r>
        <w:t xml:space="preserve"> </w:t>
      </w:r>
      <w:r>
        <w:rPr>
          <w:sz w:val="18"/>
        </w:rPr>
        <w:t>Cells show the average effect over event years 0 to 3 (0 to 2 in R5; the Eq. (11) coefficient in R6), with bootstrap standard errors in parentheses (firm-clustered in R6); R1 to R6 are pre-specified and R7 to R11 exploratory. *, **, and *** denote significance at 10%, 5%, and 1% (unadjusted p-values).</w:t>
      </w:r>
    </w:p>
    <w:p>
      <w:pPr>
        <w:spacing w:line="240" w:lineRule="auto" w:after="40" w:before="0"/>
      </w:pPr>
      <w:r>
        <w:rPr>
          <w:b/>
          <w:sz w:val="18"/>
        </w:rPr>
        <w:t>Source:</w:t>
      </w:r>
      <w:r>
        <w:t xml:space="preserve"> </w:t>
      </w:r>
      <w:r>
        <w:rPr>
          <w:sz w:val="18"/>
        </w:rPr>
        <w:t>Author's calculations from LSEG ESG scores and Compustat Global.</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