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0" w:before="0"/>
      </w:pPr>
      <w:r>
        <w:rPr/>
        <w:t>Nguyen Van Trung (corresponding author)</w:t>
      </w:r>
    </w:p>
    <w:p>
      <w:pPr>
        <w:spacing w:line="240" w:lineRule="auto" w:after="0" w:before="0"/>
      </w:pPr>
      <w:r>
        <w:rPr/>
        <w:t>Academy of Policy and Development, Hanoi, Vietnam</w:t>
      </w:r>
    </w:p>
    <w:p>
      <w:pPr>
        <w:spacing w:line="240" w:lineRule="auto" w:after="0" w:before="0"/>
      </w:pPr>
      <w:r>
        <w:rPr/>
        <w:t>kontrungcany@gmail.com</w:t>
      </w:r>
    </w:p>
    <w:p>
      <w:pPr>
        <w:spacing w:line="240" w:lineRule="auto" w:after="0" w:before="0"/>
      </w:pPr>
    </w:p>
    <w:p>
      <w:pPr>
        <w:spacing w:line="240" w:lineRule="auto" w:after="0" w:before="0"/>
      </w:pPr>
      <w:r>
        <w:rPr/>
        <w:t>The Editor</w:t>
      </w:r>
    </w:p>
    <w:p>
      <w:pPr>
        <w:spacing w:line="240" w:lineRule="auto" w:after="0" w:before="0"/>
      </w:pPr>
      <w:r>
        <w:rPr/>
        <w:t>Asian Academy of Management Journal of Accounting and Finance</w:t>
      </w:r>
    </w:p>
    <w:p>
      <w:pPr>
        <w:spacing w:line="240" w:lineRule="auto" w:after="0" w:before="0"/>
      </w:pPr>
    </w:p>
    <w:p>
      <w:pPr>
        <w:spacing w:line="360" w:lineRule="auto" w:after="120" w:before="0"/>
        <w:jc w:val="both"/>
      </w:pPr>
      <w:r>
        <w:rPr/>
        <w:t>Dear Editor,</w:t>
      </w:r>
    </w:p>
    <w:p>
      <w:pPr>
        <w:spacing w:line="360" w:lineRule="auto" w:after="120" w:before="0"/>
        <w:jc w:val="both"/>
      </w:pPr>
      <w:r>
        <w:rPr/>
        <w:t>I submit the manuscript "Who Gets an ESG Score? Coverage Selection and Firm Value in Five Southeast Asian Markets" for consideration in the Asian Academy of Management Journal of Accounting and Finance.</w:t>
      </w:r>
    </w:p>
    <w:p>
      <w:pPr>
        <w:spacing w:line="360" w:lineRule="auto" w:after="120" w:before="0"/>
        <w:jc w:val="both"/>
      </w:pPr>
      <w:r>
        <w:rPr/>
        <w:t>The paper asks which listed firms in Southeast Asia receive an environmental, social, and governance (ESG) score and whether receiving one changes how the equity market values them. I follow 675 non-financial firms in Indonesia, Malaysia, the Philippines, Singapore, and Thailand that received a first LSEG ESG score and compare them with 2,613 never-scored firms. Scored firms had outgrown comparable never-scored firms before their first score, a pattern absent in the large Malaysian coverage wave of 2021 and 2022. Under parallel trends, I detect no rise in market-to-book ratios after the first score and no difference between high- and low-score firms, while a static two-way fixed effects regression on the same data would attribute a valuation gain of 6.6% to coverage. The paper fits the journal's interest in finance and governance in Asian capital markets and relates to the journal's earlier work on ESG coverage and credit ratings in Asia. I fixed the hypotheses, sample rules, estimator, and robustness checks in a pre-analysis plan before estimation and report all pre-specified results, including a placebo test that fails.</w:t>
      </w:r>
    </w:p>
    <w:p>
      <w:pPr>
        <w:spacing w:line="360" w:lineRule="auto" w:after="120" w:before="0"/>
        <w:jc w:val="both"/>
      </w:pPr>
      <w:r>
        <w:rPr/>
        <w:t>The manuscript is original, has not been published elsewhere, and is not under consideration by another journal. I am the sole author and declare no competing interests. The manuscript file is anonymized; my name, affiliation, and declarations are on the separate cover page. Tables and figures follow the references, each on a separate page, and their positions are marked in the text; the supplementary material contains Appendix B (additional robustness results), eight tables, and two figures. The LSEG and Compustat data are licensed and cannot be redistributed; the R code, the pre-analysis plan, and all aggregate output files are available on request.</w:t>
      </w:r>
    </w:p>
    <w:p>
      <w:pPr>
        <w:spacing w:line="360" w:lineRule="auto" w:after="120" w:before="0"/>
        <w:jc w:val="both"/>
      </w:pPr>
      <w:r>
        <w:rPr/>
        <w:t>Sincerely,</w:t>
      </w:r>
    </w:p>
    <w:p>
      <w:pPr>
        <w:spacing w:line="360" w:lineRule="auto" w:after="120" w:before="0"/>
        <w:jc w:val="both"/>
      </w:pPr>
      <w:r>
        <w:rPr/>
        <w:t>Nguyen Van Trung International School, Vietnam National University, Hanoi</w:t>
      </w:r>
    </w:p>
    <w:sectPr w:rsidR="00FC693F" w:rsidRPr="0006063C" w:rsidSect="00034616">
      <w:footerReference w:type="default" r:id="rId9"/>
      <w:pgSz w:w="12240" w:h="15840"/>
      <w:pgMar w:top="2160" w:right="1440" w:bottom="216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