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Scored firms' market capitalization and market-to-book ratios grew faster than those of comparable firms before their first scored year.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et al., 2021; Pedersen et al., 2021). Evidence from mutual funds shows that investors respond strongly to newly published sustainability ratings (Hartzmark &amp;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is likely to enter a provider's universe after it has become large, liquid, or visible enough to matter to the provider's clients, for example by joining an index, so coverage resembles an index addition. Additions to a major index raise prices around the announcement (Harris &amp; Gurel, 1986; Shleifer, 1986), part of the effect reverses within weeks (Harris &amp; Gurel, 1986), and a permanent component has been attributed to greater investor awareness (Chen et 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The studies of rating coverage that we build on use U.S. firms. Tsang et al. (2024) find that firms covered by more ESG rating agencies commit fewer ESG violations, and the same authors document dividend changes after the initiation of coverage by non-financial rating agencies (Tsang et al.,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&amp; Ljungqvist, 2012), and the first analyst report on a neglected stock earns a positive announcement return that is driven by favorable coverage rather than by coverage as such (Demiroglu &amp;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and serve as comparison firms.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(Baker et al., 2022; Goodman-Bacon, 2021). The primary outcome is the natural logarithm of the market-to-book (MTB) ratio. We recorded the hypotheses, sample rules, estimator, and robustness checks in a pre-analysis plan, which was committed to the project's version-control history before the estimation code and is included in the replication package,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From event year −5 to the base year, a span of four years, their market capitalization grew 14.1 percent more and their MTB ratio 10.0 percent more than those of comparable firms.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This decline is measured from the first scored year, the year of peak valuation, so it cannot separate a reversal of the run-up from an effect of coverage. Under parallel trends, valuations therefore peak around the first scored year and do not rise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Because the upper limit of the unadjusted interval lies just below a 5 percent increase, any such departure admits positive effects of that size. What the data support is an ordering of events: the first score follows a period of relative growth and coincides with a valuation peak, and under parallel trends no specification detects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et al., 2022), disagreement rises with disclosure (Christensen et al., 2022), and it carries a return premium and affects demand (Avramov et al., 2022; Gibson Brandon et al., 2021). The historical scores of the provider we study have been rewritten on a large scale (Berg et al., 2020), and its recent scores remain subject to revision (Sahin et al., 2023). We add emerging-market evidence on the extensive margin of coverage, measured against a large group of never-scored firms, and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methods.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et al., 2021; Pedersen et al.,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&amp; Sussman, 2019), and the holdings of ESG funds in the United States respond to the ratings of one provider more than to those of others (Berg, Heeb, et al., 2022). Scores from different providers disagree (Berg, Kölbel, et al., 2022), and disagreement is priced (Avramov et al., 2022; Gibson Brandon et al., 2021).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extend coverage to firms that belong to the indices their clients track and that disclose enough information to be scored; the provider's coverage rules are not part of our data. Mandatory sustainability reporting raises the amount of information available about listed firms (Krueger et al., 2024), which can make scoring feasible. The size of a firm also affects the score it receives: larger firms receive higher scores from the provider we study (Dobrick et al.,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Mandatory ESG disclosure raises stock liquidity most for firms with weaker information environments (Krueger et al., 2024), so a first ESG score could matter more in emerging markets than in the United States. But if providers score only firms that are already large and closely followed, the score adds least for the firms that receive it.</w:t>
      </w:r>
    </w:p>
    <w:p>
      <w:pPr>
        <w:spacing w:line="360" w:lineRule="auto" w:after="120" w:before="0"/>
        <w:ind w:firstLine="432"/>
        <w:jc w:val="both"/>
      </w:pPr>
      <w:r>
        <w:rPr/>
        <w:t>The analogy with sell-side coverage is instructive. Losing analyst coverage raises information asymmetry and lowers prices (Kelly &amp; Ljungqvist, 2012), while the first coverage of a neglected stock raises its price only when the coverage is favorable (Demiroglu &amp;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et al., 2021; Pedersen et al., 2021). The selection view predicts no effect after coverage, together with relative growth before coverage, as for firms that are added to an index after a period of growth (Chen et 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et al., 2021) and the evidence on favorable first coverage (Demiroglu &amp;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We do not document the timing of sustainability-reporting rules in Indonesia, Malaysia, the Philippines, and Thailand.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et al.,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The files do not record the date on which the scores were downloaded, so the vintage of the recent, revisable scores is not known exactly.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This is the full firm-year grid; a firm-year enters an estimate only when the outcome is observed in both the base year and the comparison year, and MTB ratios at or below zero (negative book equity) are set to missing. Table IA4 of the Internet Appendix reports the number of firm-years available for each outcome, and Table IA6 the number of scored firms by event year. Of the 274 scored firms in cohorts observed through event year 3 that have an MTB ratio in the base year, 271 (98.9 percent) also have one in event year 3; the others leave the sample through delisting or missing data. Never-scored firms are much smaller on average, and many trade thinly. Because the comparison rests on changes adjusted for size, country, and industry, it does not require similar levels, but it does require enough never-scored firms of comparable size, which the check that drops small control firms (Section 4.5) addresses.</w:t>
      </w:r>
    </w:p>
    <w:p>
      <w:pPr>
        <w:spacing w:line="360" w:lineRule="auto" w:after="120" w:before="0"/>
        <w:ind w:firstLine="432"/>
        <w:jc w:val="both"/>
      </w:pPr>
      <w:r>
        <w:rPr/>
        <w:t xml:space="preserve">The treatment year need not be the year in which investors could first see a score, for two reasons.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et al.,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never earlier, so they cannot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&amp;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given the covariates, scored firms' outcomes would have changed from year </w:t>
      </w:r>
      <w:r>
        <w:rPr>
          <w:i/>
        </w:rPr>
        <w:t>g</w:t>
      </w:r>
      <w:r>
        <w:rPr/>
        <w:t xml:space="preserve"> − 1 to year </w:t>
      </w:r>
      <w:r>
        <w:rPr>
          <w:i/>
        </w:rPr>
        <w:t>t</w:t>
      </w:r>
      <w:r>
        <w:rPr/>
        <w:t xml:space="preserve"> as those of never-scored firms did; it concerns changes, so the size differences in Table 1 do not violate it by themselves. It is violated when scored firms were on a different path before coverage, as would happen if coverage followed a period of growth of the kind that precedes index additions (Chen et 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24.6 percent of scored firms are larger in the base year than the 95th percentile of never-scored firms in the same year. Poor overlap also means that the outcome regression extrapolates for the largest scored firms, and the robustness check R4 trims control firms only from below.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et al.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scored later are likely to be growing toward the provider's universe themselves, so we add them to the controls only as a robustness check. Second, all comparisons use the year before coverage as the base year, including those for the years before coverage, so that pre-coverage and post-coverage estimates are measured against the same reference point, as the pre-trend analysis of Roth (2022) presumes. A negative pre-coverage estimate θ̂(</w:t>
      </w:r>
      <w:r>
        <w:rPr>
          <w:i/>
        </w:rPr>
        <w:t>e</w:t>
      </w:r>
      <w:r>
        <w:rPr/>
        <w:t xml:space="preserve">), </w:t>
      </w:r>
      <w:r>
        <w:rPr>
          <w:i/>
        </w:rPr>
        <w:t>e</w:t>
      </w:r>
      <w:r>
        <w:rPr/>
        <w:t xml:space="preserve"> ≤ −2, therefore means that scored firms grew faster than comparable never-scored firms from year </w:t>
      </w:r>
      <w:r>
        <w:rPr>
          <w:i/>
        </w:rPr>
        <w:t>g</w:t>
      </w:r>
      <w:r>
        <w:rPr/>
        <w:t xml:space="preserve"> + </w:t>
      </w:r>
      <w:r>
        <w:rPr>
          <w:i/>
        </w:rPr>
        <w:t>e</w:t>
      </w:r>
      <w:r>
        <w:rPr/>
        <w:t xml:space="preserve"> to year </w:t>
      </w:r>
      <w:r>
        <w:rPr>
          <w:i/>
        </w:rPr>
        <w:t>g</w:t>
      </w:r>
      <w:r>
        <w:rPr/>
        <w:t xml:space="preserve"> − 1. Third, the covariates are measured in the base year, at the end of any run-up. Because the provider's scores rise with firm size (Dobrick et al.,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keeping each firm's time series intact, and use the same 999 draws, with a fixed seed,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confidence intervals are not adjusted for multiple testing, whereas the </w:t>
      </w:r>
      <w:r>
        <w:rPr>
          <w:i/>
        </w:rPr>
        <w:t>p</w:t>
      </w:r>
      <w:r>
        <w:rPr/>
        <w:t xml:space="preserve">-values of the secondary outcomes are Holm-adjusted, so an interval that excludes zero can accompany an adjusted </w:t>
      </w:r>
      <w:r>
        <w:rPr>
          <w:i/>
        </w:rPr>
        <w:t>p</w:t>
      </w:r>
      <w:r>
        <w:rPr/>
        <w:t xml:space="preserve">-value above 5%, as for total assets in Table 2.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The firm-level bootstrap treats firms as independent draws and does not account for correlation within market-level coverage waves, so the confidence intervals and pre-trend </w:t>
      </w:r>
      <w:r>
        <w:rPr>
          <w:i/>
        </w:rPr>
        <w:t>p</w:t>
      </w:r>
      <w:r>
        <w:rPr/>
        <w:t>-values may be too narrow. Market-level differences in disclosure rules (Krueger et al., 2024; Singapore Exchange, 2016)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et al.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(Baker et al., 2022; Goodman-Bacon, 2021).</w:t>
      </w:r>
    </w:p>
    <w:p>
      <w:pPr>
        <w:spacing w:line="360" w:lineRule="auto" w:after="120" w:before="0"/>
        <w:ind w:firstLine="432"/>
        <w:jc w:val="both"/>
      </w:pPr>
      <w:r>
        <w:rPr/>
        <w:t xml:space="preserve">The pre-analysis plan fixed rows R1 to R6 of Table 3: four robustness checks, a placebo, and the benchmark regression of Eq. (11). The checks add not-yet-scored firms to the controls, which is the alternative comparison group of Callaway and Sant'Anna (2021); drop the covariates; exclude the 2020 and 2021 cohorts; and keep only control firms whose log total assets in year </w:t>
      </w:r>
      <w:r>
        <w:rPr>
          <w:i/>
        </w:rPr>
        <w:t>g</w:t>
      </w:r>
      <w:r>
        <w:rPr/>
        <w:t xml:space="preserve"> − 1 are at or above the 10th percentile of the scored firms in the cohort (a lower bound only). The placebo dates coverage three years before the first score and uses only years before the actual score. Besides the checks in Section 4.4, we added four exploratory analyses: dating coverage one year later, with its own pre-trend test and bounds;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et al., 2023). They motivate the comparison of changes and the adjustment for size, country, and industry in Eq. (3).</w:t>
      </w:r>
    </w:p>
    <w:p>
      <w:pPr>
        <w:spacing w:line="360" w:lineRule="auto" w:after="120" w:before="0"/>
        <w:ind w:firstLine="432"/>
        <w:jc w:val="both"/>
      </w:pPr>
      <w:r>
        <w:rPr/>
        <w:t>The medians agree: the median MTB ratio is 1.26 for scored firms and 0.95 for never-scored firm-years, while median leverage is almost the same (0.217 and 0.205). Return on assets is available for far fewer firm-years (Table 1), so we use it only descriptively. The higher MTB level of scored firms fits the pre-coverage growth documented in Section 5.3, as for firms added to an index (Chen et 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an effect of about 7.0 percent on the MTB ratio would be detected with 80% probability. The range of effects compatible with the data under assumption (2) is given by the confidence interval, not by the MDE, and it includes increases of a few percent.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Under assumption (2), the MTB estimate gives no sign of the positive effect that the recognition channel of Merton (1987) and the preference channel of Pástor et al. (2021) and Pedersen et al. (2021) predict. Hartzmark and Sussman (2019) show that fund flows respond strongly to newly published sustainability ratings; that channel concerns demand for funds, and our estimate indicates that it did not produce a lasting valuation gain for newly scored firms in these markets. U.S. studies find changes in firm conduct and financial policy after coverage (Bikmetova &amp; Pirinsky, 2026; Tsang et al., 2024, 2025); our outcomes differ from theirs.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for event years −5 and −4, four and three years before the base year, are −0.132 and −0.125; for MTB, they are −0.095 and −0.082. This run-up resembles the growth that precedes additions to a major index (Chen et al., 2004; Harris &amp; Gurel, 1986; Shleifer, 1986)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141 scored firms from 6 cohorts reach, the MTB estimate is −0.077 (</w:t>
      </w:r>
      <w:r>
        <w:rPr>
          <w:i/>
        </w:rPr>
        <w:t>p</w:t>
      </w:r>
      <w:r>
        <w:rPr/>
        <w:t xml:space="preserve"> = 0.209) and the market capitalization estimate is 0.088 (</w:t>
      </w:r>
      <w:r>
        <w:rPr>
          <w:i/>
        </w:rPr>
        <w:t>p</w:t>
      </w:r>
      <w:r>
        <w:rPr/>
        <w:t xml:space="preserve"> = 0.153); we plot event year 4 but exclude it from Eq. (6) for this reason.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with no mirror image of the price decline that follows a loss of analyst coverage (Kelly &amp; Ljungqvist, 2012). Falling leverage before the base year and rising total assets fit firms that raise equity or grow their assets before they enter coverage.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estimated from 646 scored and 2,412 control firms. The market capitalization effect is −0.073 (</w:t>
      </w:r>
      <w:r>
        <w:rPr>
          <w:i/>
        </w:rPr>
        <w:t>p</w:t>
      </w:r>
      <w:r>
        <w:rPr/>
        <w:t xml:space="preserve"> = 0.016), and the asset effect is −0.006. This estimate assumes parallel trends from the first scored year, which is the year of peak valuation. The joint pre-trend test for this dating gives </w:t>
      </w:r>
      <w:r>
        <w:rPr>
          <w:i/>
        </w:rPr>
        <w:t>p</w:t>
      </w:r>
      <w:r>
        <w:rPr/>
        <w:t xml:space="preserve"> = 0.072, and with M̄ = 0.25 in Eq. (10) its robust interval is −0.138 to 0.002, which includes zero; the decline is no longer significant once M̄ reaches 0.23. Two readings fit the decline. If the provider selects firms after a period of unusually high valuation and part of that valuation later reverses, the decline measures the reversal, and it can hide a positive effect of coverage that offsets part of it. If valuations would otherwise have stayed at their peak, coverage lowered them. The data cannot separate the two readings. Because scores were backfilled or revised (Berg et al., 2020; Sahin et al., 2023), later dating also moves the base year closer to the end of the run-up.</w:t>
      </w:r>
    </w:p>
    <w:p>
      <w:pPr>
        <w:spacing w:line="360" w:lineRule="auto" w:after="120" w:before="0"/>
        <w:ind w:firstLine="432"/>
        <w:jc w:val="both"/>
      </w:pPr>
      <w:r>
        <w:rPr/>
        <w:t>Restricting the sample to the 7 cohorts first scored no later than 2021, which are observed through event year 3 (row R11; 273 scored and 2,032 control firms), gives an MTB effect of −0.008 (</w:t>
      </w:r>
      <w:r>
        <w:rPr>
          <w:i/>
        </w:rPr>
        <w:t>p</w:t>
      </w:r>
      <w:r>
        <w:rPr/>
        <w:t xml:space="preserve"> = 0.806), so the change in cohort composition across event years does not explain the headline estimate, although the smaller sample widens the interval. Removing a linear pre-trend with Eq. (9) (row R7) changes the MTB effect to −0.052 (95% interval −0.118 to 0.014). The estimate is negative because a continued run-up would have raised valuations further;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&amp; Gurel, 1986), this comparison partly accounts for the reversal and shows no significant gain, but its interval, from −0.021 to 0.077, admits gains of several percent. It conditions only on the growth of market capitalization from year </w:t>
      </w:r>
      <w:r>
        <w:rPr>
          <w:i/>
        </w:rPr>
        <w:t>g</w:t>
      </w:r>
      <w:r>
        <w:rPr/>
        <w:t xml:space="preserve"> − 3 to year </w:t>
      </w:r>
      <w:r>
        <w:rPr>
          <w:i/>
        </w:rPr>
        <w:t>g</w:t>
      </w:r>
      <w:r>
        <w:rPr/>
        <w:t xml:space="preserve"> − 1, and control firms matched on past growth can themselves revert, so it does not settle the reversal question.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upper limit of the unadjusted interval, 0.048,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ranges from 0.011 without covariates to 0.101 under the size restriction, so we do not read the asset estimate in Table 2 as evidence that coverage causes growth.</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Part of the gap between row R6 and the baseline reflects the covariates and the event window, since the heterogeneity-robust estimate without covariates is 0.025 (row R2); the remainder is an example of the biases of static two-way fixed effects regressions under staggered timing described by Goodman-Bacon (2021) and Baker et al.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of interest because reporting became mandatory there from financial year 2017 (Krueger et al., 2024; Singapore Exchange, 2016),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Under assumption (2), the upper end of the headline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ratios measured at fiscal year-end would miss an announcement effect of that size that reverses within weeks, so our estimates speak to lasting revaluation, as a permanent increase in investor recognition would produce (Chen et al., 2004; Merton, 1987), and not to temporary price pressure (Harris &amp;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Under assumption (2), a lasting valuation effect as large as half of the MTB run-up would lie just outside the headline interval, so any such effect is small relative to the growth that precedes coverage, which is consistent with a provider that covers firms after they have become visible to investors (Chen et al., 2004; Merton, 1987).</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MTB path after the first score admits three readings, which differ in how the pre-coverage trend would have evolved (Rambachan &amp; Roth, 2023; Roth, 2022). Under parallel paths from the base year, coverage had no effect within the interval of Section 5.2. If the run-up would have continued, coverage lowered valuations relative to that trend, as the trend-adjusted estimate reads it. If instead the run-up was partly transitory and would have reversed, the flat path is consistent with a positive effect of coverage that offset the reversal. The last reading deserves weight: firms selected after relative growth are likely selected partly on transitory value, as the partial reversal of index-addition effects illustrates (Chen et al., 2004; Harris &amp; Gurel, 1986).</w:t>
      </w:r>
    </w:p>
    <w:p>
      <w:pPr>
        <w:spacing w:line="360" w:lineRule="auto" w:after="120" w:before="0"/>
        <w:ind w:firstLine="432"/>
        <w:jc w:val="both"/>
      </w:pPr>
      <w:r>
        <w:rPr/>
        <w:t>Three pieces of evidence speak to the reversal reading. First, when coverage is dated one year later, MTB ratios decline after the first scored year. A reversal would produce such a decline, and a positive effect of coverage could offset part of it; the estimate cannot distinguish the two. Second, when scored firms are compared with never-scored firms that grew at a similar rate before coverage, and that are therefore subject to similar reversal, the MTB effect is small and insignificant, but that comparison conditions on a single measure of past growth and its interval admits gains of several percent.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although the bounds do not exclude one,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the most scored firms, Malaysia and Thailand, both show MTB effects close to zero, and no market shows a significant positive effect. The coverage waves differ in timing across markets: the Thai and Singaporean waves came in 2019 and 2020, the Malaysian wave in 2021 and 2022. A single shock common to all five markets is therefore a less likely explanation of the pattern, although the waves may reflect market-specific changes in disclosure rules (Krueger et al., 2024; Singapore Exchange, 2016)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evidence on sell-side coverage suggests why a first ESG score might move prices: the loss of coverage lowers prices (Kelly &amp; Ljungqvist, 2012), and the first report on a neglected stock raises prices when it is favorable (Demiroglu &amp; Ryngaert, 2010). Hartzmark and Sussman (2019) document a demand channel through fund flows. Two features of ESG scores may explain why we detect no valuation gain.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 Limits on foreign ownership that apply to some listed firms in these markets could also mute a recognition channel that works through foreign ESG investors; we observe neither the limits nor foreign holdings.</w:t>
      </w:r>
    </w:p>
    <w:p>
      <w:pPr>
        <w:spacing w:line="360" w:lineRule="auto" w:after="120" w:before="0"/>
        <w:ind w:firstLine="432"/>
        <w:jc w:val="both"/>
      </w:pPr>
      <w:r>
        <w:rPr/>
        <w:t>The results also fit the evidence on rating disagreement. If ESG funds follow one provider more than others (Berg, Heeb, et al., 2022), coverage by a different provider may matter little for demand, and the dispersion of scores across providers (Berg, Kölbel, et al., 2022; Christensen et al., 2022) weakens the information content of any single score. Price effects of index additions, which the pre-coverage growth resembles, are concentrated around the announcement; part of them lasts (Chen et al., 2004; Shleifer, 1986) and part reverses (Harris &amp; Gurel, 1986), and annual data cannot isolate an effect of that kind. Our evidence complements the U.S. findings that coverage changes firm conduct (Bikmetova &amp; Pirinsky, 2026; Tsang et al., 2024)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&amp;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et al., 2021), although the evidence is conditional on assumption (2). Under that assumption, the confidence interval excludes increases of more than 4.9 percent, and smaller effects remain possible. The evidence does not speak to short-lived price effects around publication, to firms outside the scored sample, or to outcomes other than valuation and financing. For investors and exchanges, scored firms are a selected group whose valuation history differs from that of unscored firms. Whether the same ordering holds in other markets or for other providers is a question these data cannot answer.</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(including foreign holdings and foreign-ownership limits),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 erroneous value in a cohort's base year enters every group-time estimate of that cohort, and return on assets is available for a minority of firm-years. Sixth, Malaysian and Thai firms account for 84.3 percent of scored firms, so the pooled estimates weight those markets heavily,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increases above 4.9 percent but not smaller ones. Eighth, the download date of the scores is not recorded, so the vintage of revisable recent scores is not known exactly,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most of them Malaysian and Thai, grew faster than comparable never-scored firms before their first scored year and that, under parallel trends, their market-to-book ratios did not rise afterwards. The headline effect is 0.002 (95% interval −0.046 to 0.048), and dating coverage one year later gives −0.068, a decline that may reflect a reversal of the pre-coverage run-up. The first scored year therefore coincides with a valuation peak, and we detect no later gain, although departures from parallel trends of the size seen before coverage would admit effects of several percent in either direction.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(applicable to financial years ending on or after 31 December 2017).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 xml:space="preserve">ATT is the average effect over event years 0 to 3 (Eq. 6), with bootstrap standard errors and unadjusted 95% intervals; </w:t>
      </w:r>
      <w:r>
        <w:rPr>
          <w:i/>
          <w:sz w:val="20"/>
        </w:rPr>
        <w:t>p</w:t>
      </w:r>
      <w:r>
        <w:rPr>
          <w:sz w:val="20"/>
        </w:rPr>
        <w:t xml:space="preserve">-values of the three secondary outcomes are Holm-adjusted. MDE is the minimum detectable effect at 80% power, and pre-trend </w:t>
      </w:r>
      <w:r>
        <w:rPr>
          <w:i/>
          <w:sz w:val="20"/>
        </w:rPr>
        <w:t>p</w:t>
      </w:r>
      <w:r>
        <w:rPr>
          <w:sz w:val="20"/>
        </w:rPr>
        <w:t xml:space="preserve">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 xml:space="preserve">Cells show the average effect over event years 0 to 3, with bootstrap standard errors in parentheses (firm-clustered in R6); R1 to R6 are pre-specified and R7 to R11 exploratory. *, **, and *** denote significance at 10%, 5%, and 1% (unadjusted </w:t>
      </w:r>
      <w:r>
        <w:rPr>
          <w:i/>
          <w:sz w:val="20"/>
        </w:rPr>
        <w:t>p</w:t>
      </w:r>
      <w:r>
        <w:rPr>
          <w:sz w:val="20"/>
        </w:rPr>
        <w:t>-values).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